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E4A82">
      <w:pPr>
        <w:rPr>
          <w:rFonts w:cs="仿宋_GB2312"/>
          <w:sz w:val="36"/>
          <w:szCs w:val="36"/>
        </w:rPr>
      </w:pPr>
    </w:p>
    <w:p w14:paraId="179D0C5C">
      <w:pPr>
        <w:rPr>
          <w:rFonts w:cs="仿宋_GB2312"/>
          <w:sz w:val="36"/>
          <w:szCs w:val="36"/>
        </w:rPr>
      </w:pPr>
    </w:p>
    <w:p w14:paraId="7EEFE28F">
      <w:pPr>
        <w:rPr>
          <w:rFonts w:cs="仿宋_GB2312"/>
          <w:sz w:val="36"/>
          <w:szCs w:val="36"/>
        </w:rPr>
      </w:pPr>
    </w:p>
    <w:p w14:paraId="53D3908B">
      <w:pPr>
        <w:rPr>
          <w:rFonts w:cs="仿宋_GB2312"/>
          <w:sz w:val="36"/>
          <w:szCs w:val="36"/>
        </w:rPr>
      </w:pPr>
    </w:p>
    <w:p w14:paraId="765D036D">
      <w:pPr>
        <w:rPr>
          <w:rFonts w:cs="仿宋_GB2312"/>
          <w:sz w:val="36"/>
          <w:szCs w:val="36"/>
        </w:rPr>
      </w:pPr>
    </w:p>
    <w:p w14:paraId="6959721E">
      <w:pPr>
        <w:adjustRightInd w:val="0"/>
        <w:snapToGrid w:val="0"/>
        <w:jc w:val="center"/>
        <w:outlineLvl w:val="0"/>
        <w:rPr>
          <w:bCs/>
          <w:sz w:val="72"/>
          <w:szCs w:val="72"/>
        </w:rPr>
      </w:pPr>
      <w:r>
        <w:rPr>
          <w:rFonts w:hint="eastAsia"/>
          <w:bCs/>
          <w:sz w:val="72"/>
          <w:szCs w:val="72"/>
        </w:rPr>
        <w:t>建设项目环境影响报告表</w:t>
      </w:r>
    </w:p>
    <w:p w14:paraId="277BDD1D">
      <w:pPr>
        <w:adjustRightInd w:val="0"/>
        <w:snapToGrid w:val="0"/>
        <w:spacing w:before="192" w:beforeLines="80"/>
        <w:jc w:val="center"/>
        <w:rPr>
          <w:bCs/>
          <w:sz w:val="48"/>
          <w:szCs w:val="48"/>
        </w:rPr>
      </w:pPr>
      <w:r>
        <w:rPr>
          <w:rFonts w:hint="eastAsia"/>
          <w:bCs/>
          <w:sz w:val="48"/>
          <w:szCs w:val="48"/>
        </w:rPr>
        <w:t>（污染影响类）</w:t>
      </w:r>
    </w:p>
    <w:p w14:paraId="55DE70CF">
      <w:pPr>
        <w:jc w:val="center"/>
        <w:rPr>
          <w:sz w:val="52"/>
          <w:szCs w:val="52"/>
        </w:rPr>
      </w:pPr>
    </w:p>
    <w:p w14:paraId="519A95C8">
      <w:pPr>
        <w:jc w:val="center"/>
        <w:rPr>
          <w:sz w:val="52"/>
          <w:szCs w:val="52"/>
        </w:rPr>
      </w:pPr>
    </w:p>
    <w:p w14:paraId="3270F8AB">
      <w:pPr>
        <w:ind w:firstLine="1040"/>
        <w:rPr>
          <w:sz w:val="44"/>
          <w:szCs w:val="44"/>
        </w:rPr>
      </w:pPr>
    </w:p>
    <w:p w14:paraId="330077E3">
      <w:pPr>
        <w:ind w:firstLine="1040"/>
        <w:rPr>
          <w:sz w:val="44"/>
          <w:szCs w:val="44"/>
        </w:rPr>
      </w:pPr>
    </w:p>
    <w:p w14:paraId="3404090C">
      <w:pPr>
        <w:ind w:firstLine="1040"/>
        <w:rPr>
          <w:sz w:val="44"/>
          <w:szCs w:val="44"/>
        </w:rPr>
      </w:pPr>
    </w:p>
    <w:p w14:paraId="19DBD313">
      <w:pPr>
        <w:ind w:firstLine="1040"/>
        <w:rPr>
          <w:sz w:val="44"/>
          <w:szCs w:val="44"/>
        </w:rPr>
      </w:pPr>
    </w:p>
    <w:p w14:paraId="4703A687">
      <w:pPr>
        <w:adjustRightInd w:val="0"/>
        <w:snapToGrid w:val="0"/>
        <w:spacing w:line="360" w:lineRule="auto"/>
        <w:rPr>
          <w:rFonts w:hint="eastAsia"/>
          <w:b w:val="0"/>
          <w:bCs w:val="0"/>
          <w:sz w:val="36"/>
          <w:szCs w:val="36"/>
        </w:rPr>
      </w:pPr>
    </w:p>
    <w:p w14:paraId="2DB53C92">
      <w:pPr>
        <w:adjustRightInd w:val="0"/>
        <w:snapToGrid w:val="0"/>
        <w:spacing w:line="360" w:lineRule="auto"/>
        <w:rPr>
          <w:rFonts w:hint="eastAsia"/>
          <w:b w:val="0"/>
          <w:bCs w:val="0"/>
          <w:sz w:val="36"/>
          <w:szCs w:val="36"/>
        </w:rPr>
      </w:pPr>
    </w:p>
    <w:p w14:paraId="45A0AE20">
      <w:pPr>
        <w:adjustRightInd w:val="0"/>
        <w:snapToGrid w:val="0"/>
        <w:spacing w:line="360" w:lineRule="auto"/>
        <w:ind w:left="2518" w:leftChars="342" w:hanging="1800" w:hangingChars="500"/>
        <w:rPr>
          <w:b w:val="0"/>
          <w:bCs w:val="0"/>
          <w:sz w:val="24"/>
        </w:rPr>
      </w:pPr>
      <w:r>
        <w:rPr>
          <w:rFonts w:hint="eastAsia"/>
          <w:b w:val="0"/>
          <w:bCs w:val="0"/>
          <w:sz w:val="36"/>
          <w:szCs w:val="36"/>
        </w:rPr>
        <w:t>项目名称：</w:t>
      </w:r>
      <w:r>
        <w:rPr>
          <w:rFonts w:hint="eastAsia"/>
          <w:b w:val="0"/>
          <w:bCs w:val="0"/>
          <w:sz w:val="36"/>
          <w:szCs w:val="36"/>
          <w:u w:val="single"/>
        </w:rPr>
        <w:t>年产4800万米承载带、26万平方米盖带项目</w:t>
      </w:r>
    </w:p>
    <w:p w14:paraId="4044CA4E">
      <w:pPr>
        <w:adjustRightInd w:val="0"/>
        <w:snapToGrid w:val="0"/>
        <w:spacing w:line="360" w:lineRule="auto"/>
        <w:ind w:firstLine="720" w:firstLineChars="200"/>
        <w:rPr>
          <w:rFonts w:hint="default" w:eastAsia="宋体"/>
          <w:b w:val="0"/>
          <w:bCs w:val="0"/>
          <w:sz w:val="36"/>
          <w:szCs w:val="36"/>
          <w:u w:val="single"/>
          <w:lang w:val="en-US" w:eastAsia="zh-CN"/>
        </w:rPr>
      </w:pPr>
      <w:r>
        <w:rPr>
          <w:rFonts w:hint="eastAsia"/>
          <w:b w:val="0"/>
          <w:bCs w:val="0"/>
          <w:sz w:val="36"/>
          <w:szCs w:val="36"/>
        </w:rPr>
        <w:t>建设单位（盖章）：</w:t>
      </w:r>
      <w:r>
        <w:rPr>
          <w:rFonts w:hint="eastAsia"/>
          <w:b w:val="0"/>
          <w:bCs w:val="0"/>
          <w:sz w:val="36"/>
          <w:szCs w:val="36"/>
          <w:u w:val="single"/>
        </w:rPr>
        <w:t>芜湖易昌科技有限公司</w:t>
      </w:r>
      <w:r>
        <w:rPr>
          <w:rFonts w:hint="eastAsia"/>
          <w:b w:val="0"/>
          <w:bCs w:val="0"/>
          <w:sz w:val="36"/>
          <w:szCs w:val="36"/>
          <w:u w:val="single"/>
          <w:lang w:val="en-US" w:eastAsia="zh-CN"/>
        </w:rPr>
        <w:t xml:space="preserve">        </w:t>
      </w:r>
    </w:p>
    <w:p w14:paraId="2A11F385">
      <w:pPr>
        <w:adjustRightInd w:val="0"/>
        <w:snapToGrid w:val="0"/>
        <w:spacing w:line="360" w:lineRule="auto"/>
        <w:ind w:firstLine="720" w:firstLineChars="200"/>
        <w:rPr>
          <w:b w:val="0"/>
          <w:bCs w:val="0"/>
          <w:sz w:val="36"/>
          <w:szCs w:val="36"/>
          <w:u w:val="single"/>
        </w:rPr>
      </w:pPr>
      <w:r>
        <w:rPr>
          <w:rFonts w:hint="eastAsia"/>
          <w:b w:val="0"/>
          <w:bCs w:val="0"/>
          <w:sz w:val="36"/>
          <w:szCs w:val="36"/>
        </w:rPr>
        <w:t>编制日期：</w:t>
      </w:r>
      <w:r>
        <w:rPr>
          <w:b w:val="0"/>
          <w:bCs w:val="0"/>
          <w:sz w:val="36"/>
          <w:szCs w:val="36"/>
          <w:u w:val="single"/>
        </w:rPr>
        <w:t xml:space="preserve"> </w:t>
      </w:r>
      <w:r>
        <w:rPr>
          <w:rFonts w:hint="eastAsia"/>
          <w:b w:val="0"/>
          <w:bCs w:val="0"/>
          <w:sz w:val="36"/>
          <w:szCs w:val="36"/>
          <w:u w:val="single"/>
          <w:lang w:val="en-US" w:eastAsia="zh-CN"/>
        </w:rPr>
        <w:t xml:space="preserve">         </w:t>
      </w:r>
      <w:r>
        <w:rPr>
          <w:b w:val="0"/>
          <w:bCs w:val="0"/>
          <w:sz w:val="36"/>
          <w:szCs w:val="36"/>
          <w:u w:val="single"/>
        </w:rPr>
        <w:t>20</w:t>
      </w:r>
      <w:r>
        <w:rPr>
          <w:rFonts w:hint="eastAsia"/>
          <w:b w:val="0"/>
          <w:bCs w:val="0"/>
          <w:sz w:val="36"/>
          <w:szCs w:val="36"/>
          <w:u w:val="single"/>
        </w:rPr>
        <w:t>2</w:t>
      </w:r>
      <w:r>
        <w:rPr>
          <w:rFonts w:hint="eastAsia"/>
          <w:b w:val="0"/>
          <w:bCs w:val="0"/>
          <w:sz w:val="36"/>
          <w:szCs w:val="36"/>
          <w:u w:val="single"/>
          <w:lang w:val="en-US" w:eastAsia="zh-CN"/>
        </w:rPr>
        <w:t>5</w:t>
      </w:r>
      <w:r>
        <w:rPr>
          <w:rFonts w:hint="eastAsia"/>
          <w:b w:val="0"/>
          <w:bCs w:val="0"/>
          <w:sz w:val="36"/>
          <w:szCs w:val="36"/>
          <w:u w:val="single"/>
        </w:rPr>
        <w:t>年</w:t>
      </w:r>
      <w:r>
        <w:rPr>
          <w:rFonts w:hint="eastAsia"/>
          <w:b w:val="0"/>
          <w:bCs w:val="0"/>
          <w:sz w:val="36"/>
          <w:szCs w:val="36"/>
          <w:u w:val="single"/>
          <w:lang w:val="en-US" w:eastAsia="zh-CN"/>
        </w:rPr>
        <w:t>5</w:t>
      </w:r>
      <w:r>
        <w:rPr>
          <w:rFonts w:hint="eastAsia"/>
          <w:b w:val="0"/>
          <w:bCs w:val="0"/>
          <w:sz w:val="36"/>
          <w:szCs w:val="36"/>
          <w:u w:val="single"/>
        </w:rPr>
        <w:t>月</w:t>
      </w:r>
      <w:r>
        <w:rPr>
          <w:rFonts w:hint="eastAsia"/>
          <w:b w:val="0"/>
          <w:bCs w:val="0"/>
          <w:sz w:val="36"/>
          <w:szCs w:val="36"/>
          <w:u w:val="single"/>
          <w:lang w:val="en-US" w:eastAsia="zh-CN"/>
        </w:rPr>
        <w:t xml:space="preserve">               </w:t>
      </w:r>
    </w:p>
    <w:p w14:paraId="0DB7FF59">
      <w:pPr>
        <w:adjustRightInd w:val="0"/>
        <w:snapToGrid w:val="0"/>
        <w:spacing w:line="288" w:lineRule="auto"/>
        <w:ind w:firstLine="1040"/>
        <w:rPr>
          <w:sz w:val="36"/>
          <w:szCs w:val="36"/>
          <w:u w:val="single"/>
        </w:rPr>
      </w:pPr>
      <w:bookmarkStart w:id="0" w:name="_Hlk57884087"/>
    </w:p>
    <w:p w14:paraId="3157B45A">
      <w:pPr>
        <w:adjustRightInd w:val="0"/>
        <w:snapToGrid w:val="0"/>
        <w:spacing w:line="288" w:lineRule="auto"/>
        <w:rPr>
          <w:sz w:val="36"/>
          <w:szCs w:val="36"/>
        </w:rPr>
      </w:pPr>
    </w:p>
    <w:p w14:paraId="0CAEAC9A">
      <w:pPr>
        <w:adjustRightInd w:val="0"/>
        <w:snapToGrid w:val="0"/>
        <w:spacing w:line="288" w:lineRule="auto"/>
        <w:ind w:firstLine="1040"/>
        <w:rPr>
          <w:sz w:val="36"/>
          <w:szCs w:val="36"/>
        </w:rPr>
      </w:pPr>
    </w:p>
    <w:bookmarkEnd w:id="0"/>
    <w:p w14:paraId="2420437F">
      <w:pPr>
        <w:adjustRightInd w:val="0"/>
        <w:snapToGrid w:val="0"/>
        <w:spacing w:line="288" w:lineRule="auto"/>
        <w:jc w:val="center"/>
        <w:rPr>
          <w:sz w:val="36"/>
          <w:szCs w:val="36"/>
        </w:rPr>
      </w:pPr>
      <w:r>
        <w:rPr>
          <w:rFonts w:hint="eastAsia"/>
          <w:sz w:val="36"/>
          <w:szCs w:val="36"/>
        </w:rPr>
        <w:t>中华人民共和国生态环境部制</w:t>
      </w:r>
    </w:p>
    <w:p w14:paraId="304EAA03">
      <w:pPr>
        <w:adjustRightInd w:val="0"/>
        <w:snapToGrid w:val="0"/>
        <w:spacing w:line="288" w:lineRule="auto"/>
        <w:ind w:firstLine="1040"/>
        <w:rPr>
          <w:sz w:val="36"/>
          <w:szCs w:val="36"/>
        </w:rPr>
      </w:pPr>
    </w:p>
    <w:p w14:paraId="39DD9520">
      <w:pPr>
        <w:adjustRightInd w:val="0"/>
        <w:snapToGrid w:val="0"/>
        <w:spacing w:line="288" w:lineRule="auto"/>
        <w:ind w:firstLine="1040"/>
        <w:rPr>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CCAA28F">
      <w:pPr>
        <w:pStyle w:val="53"/>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一、建设项目基本情况</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14"/>
        <w:gridCol w:w="2210"/>
        <w:gridCol w:w="2043"/>
        <w:gridCol w:w="2903"/>
      </w:tblGrid>
      <w:tr w14:paraId="088BF2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64CB3CE9">
            <w:pPr>
              <w:adjustRightInd w:val="0"/>
              <w:snapToGrid w:val="0"/>
              <w:jc w:val="center"/>
              <w:rPr>
                <w:rFonts w:cs="宋体"/>
                <w:sz w:val="24"/>
              </w:rPr>
            </w:pPr>
            <w:r>
              <w:rPr>
                <w:rFonts w:hint="eastAsia" w:cs="宋体"/>
                <w:sz w:val="24"/>
              </w:rPr>
              <w:t>建设项目名称</w:t>
            </w:r>
          </w:p>
        </w:tc>
        <w:tc>
          <w:tcPr>
            <w:tcW w:w="7156" w:type="dxa"/>
            <w:gridSpan w:val="3"/>
            <w:vAlign w:val="center"/>
          </w:tcPr>
          <w:p w14:paraId="63ECA53D">
            <w:pPr>
              <w:adjustRightInd w:val="0"/>
              <w:snapToGrid w:val="0"/>
              <w:jc w:val="center"/>
              <w:rPr>
                <w:rFonts w:cs="宋体"/>
                <w:sz w:val="24"/>
              </w:rPr>
            </w:pPr>
            <w:r>
              <w:rPr>
                <w:rFonts w:hint="eastAsia"/>
                <w:sz w:val="24"/>
              </w:rPr>
              <w:t>年产4800万米承载带、26万平方米盖带项目</w:t>
            </w:r>
          </w:p>
        </w:tc>
      </w:tr>
      <w:tr w14:paraId="7C213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7BF21DF2">
            <w:pPr>
              <w:adjustRightInd w:val="0"/>
              <w:snapToGrid w:val="0"/>
              <w:jc w:val="center"/>
              <w:rPr>
                <w:rFonts w:cs="宋体"/>
                <w:sz w:val="24"/>
              </w:rPr>
            </w:pPr>
            <w:r>
              <w:rPr>
                <w:rFonts w:hint="eastAsia" w:cs="宋体"/>
                <w:sz w:val="24"/>
              </w:rPr>
              <w:t>项目代码</w:t>
            </w:r>
          </w:p>
        </w:tc>
        <w:tc>
          <w:tcPr>
            <w:tcW w:w="7156" w:type="dxa"/>
            <w:gridSpan w:val="3"/>
            <w:vAlign w:val="center"/>
          </w:tcPr>
          <w:p w14:paraId="1273B631">
            <w:pPr>
              <w:adjustRightInd w:val="0"/>
              <w:snapToGrid w:val="0"/>
              <w:jc w:val="center"/>
              <w:rPr>
                <w:rFonts w:hint="eastAsia" w:eastAsia="宋体" w:cs="宋体"/>
                <w:sz w:val="24"/>
                <w:lang w:eastAsia="zh-CN"/>
              </w:rPr>
            </w:pPr>
            <w:r>
              <w:rPr>
                <w:rFonts w:hint="eastAsia"/>
                <w:color w:val="auto"/>
                <w:sz w:val="24"/>
                <w:lang w:val="en-US" w:eastAsia="zh-CN"/>
              </w:rPr>
              <w:t>2504-340264-04-01-872072</w:t>
            </w:r>
          </w:p>
        </w:tc>
      </w:tr>
      <w:tr w14:paraId="31F903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206A0CC2">
            <w:pPr>
              <w:adjustRightInd w:val="0"/>
              <w:snapToGrid w:val="0"/>
              <w:jc w:val="center"/>
              <w:rPr>
                <w:sz w:val="24"/>
              </w:rPr>
            </w:pPr>
            <w:r>
              <w:rPr>
                <w:rFonts w:hint="eastAsia"/>
                <w:sz w:val="24"/>
              </w:rPr>
              <w:t>建设单位联系人</w:t>
            </w:r>
          </w:p>
        </w:tc>
        <w:tc>
          <w:tcPr>
            <w:tcW w:w="2210" w:type="dxa"/>
            <w:vAlign w:val="center"/>
          </w:tcPr>
          <w:p w14:paraId="1F783908">
            <w:pPr>
              <w:adjustRightInd w:val="0"/>
              <w:snapToGrid w:val="0"/>
              <w:jc w:val="center"/>
              <w:rPr>
                <w:sz w:val="24"/>
              </w:rPr>
            </w:pPr>
            <w:r>
              <w:rPr>
                <w:rFonts w:hint="eastAsia"/>
                <w:sz w:val="24"/>
              </w:rPr>
              <w:t>黄百璋</w:t>
            </w:r>
          </w:p>
        </w:tc>
        <w:tc>
          <w:tcPr>
            <w:tcW w:w="2043" w:type="dxa"/>
            <w:vAlign w:val="center"/>
          </w:tcPr>
          <w:p w14:paraId="6230B77A">
            <w:pPr>
              <w:adjustRightInd w:val="0"/>
              <w:snapToGrid w:val="0"/>
              <w:jc w:val="center"/>
              <w:rPr>
                <w:rFonts w:cs="宋体"/>
                <w:sz w:val="24"/>
              </w:rPr>
            </w:pPr>
            <w:r>
              <w:rPr>
                <w:rFonts w:hint="eastAsia" w:cs="宋体"/>
                <w:sz w:val="24"/>
              </w:rPr>
              <w:t>联系方式</w:t>
            </w:r>
          </w:p>
        </w:tc>
        <w:tc>
          <w:tcPr>
            <w:tcW w:w="2903" w:type="dxa"/>
            <w:vAlign w:val="center"/>
          </w:tcPr>
          <w:p w14:paraId="01FBBFC8">
            <w:pPr>
              <w:adjustRightInd w:val="0"/>
              <w:snapToGrid w:val="0"/>
              <w:jc w:val="center"/>
              <w:rPr>
                <w:rFonts w:cs="宋体"/>
                <w:sz w:val="24"/>
              </w:rPr>
            </w:pPr>
            <w:r>
              <w:rPr>
                <w:rFonts w:hint="eastAsia"/>
                <w:sz w:val="24"/>
              </w:rPr>
              <w:t>13812797070</w:t>
            </w:r>
          </w:p>
        </w:tc>
      </w:tr>
      <w:tr w14:paraId="065240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3914508E">
            <w:pPr>
              <w:adjustRightInd w:val="0"/>
              <w:snapToGrid w:val="0"/>
              <w:jc w:val="center"/>
              <w:rPr>
                <w:rFonts w:cs="宋体"/>
                <w:sz w:val="24"/>
              </w:rPr>
            </w:pPr>
            <w:r>
              <w:rPr>
                <w:rFonts w:hint="eastAsia" w:cs="宋体"/>
                <w:sz w:val="24"/>
              </w:rPr>
              <w:t>建设地点</w:t>
            </w:r>
          </w:p>
        </w:tc>
        <w:tc>
          <w:tcPr>
            <w:tcW w:w="7156" w:type="dxa"/>
            <w:gridSpan w:val="3"/>
            <w:vAlign w:val="center"/>
          </w:tcPr>
          <w:p w14:paraId="5B632A15">
            <w:pPr>
              <w:adjustRightInd w:val="0"/>
              <w:snapToGrid w:val="0"/>
              <w:jc w:val="center"/>
              <w:rPr>
                <w:rFonts w:hint="eastAsia" w:eastAsia="宋体" w:cs="宋体"/>
                <w:sz w:val="24"/>
                <w:lang w:eastAsia="zh-CN"/>
              </w:rPr>
            </w:pPr>
            <w:r>
              <w:rPr>
                <w:rFonts w:hint="eastAsia"/>
                <w:sz w:val="24"/>
                <w:lang w:eastAsia="zh-CN"/>
              </w:rPr>
              <w:t>芜湖经济技术开发区龙山街道大桥镇红星路41号综合楼一楼1号</w:t>
            </w:r>
          </w:p>
        </w:tc>
      </w:tr>
      <w:tr w14:paraId="37C01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1C924B2C">
            <w:pPr>
              <w:adjustRightInd w:val="0"/>
              <w:snapToGrid w:val="0"/>
              <w:jc w:val="center"/>
              <w:rPr>
                <w:rFonts w:cs="宋体"/>
                <w:sz w:val="24"/>
              </w:rPr>
            </w:pPr>
            <w:r>
              <w:rPr>
                <w:rFonts w:hint="eastAsia" w:cs="宋体"/>
                <w:sz w:val="24"/>
              </w:rPr>
              <w:t>地理坐标</w:t>
            </w:r>
          </w:p>
        </w:tc>
        <w:tc>
          <w:tcPr>
            <w:tcW w:w="7156" w:type="dxa"/>
            <w:gridSpan w:val="3"/>
            <w:vAlign w:val="center"/>
          </w:tcPr>
          <w:p w14:paraId="335AA6DC">
            <w:pPr>
              <w:jc w:val="center"/>
              <w:rPr>
                <w:rFonts w:eastAsiaTheme="minorEastAsia"/>
                <w:sz w:val="24"/>
              </w:rPr>
            </w:pPr>
            <w:r>
              <w:rPr>
                <w:rFonts w:eastAsiaTheme="minorEastAsia"/>
                <w:bCs/>
                <w:sz w:val="24"/>
              </w:rPr>
              <w:t>经度118°23'</w:t>
            </w:r>
            <w:r>
              <w:rPr>
                <w:rFonts w:hint="eastAsia" w:eastAsiaTheme="minorEastAsia"/>
                <w:bCs/>
                <w:sz w:val="24"/>
                <w:lang w:val="en-US" w:eastAsia="zh-CN"/>
              </w:rPr>
              <w:t>35.827</w:t>
            </w:r>
            <w:r>
              <w:rPr>
                <w:rFonts w:eastAsiaTheme="minorEastAsia"/>
                <w:bCs/>
                <w:sz w:val="24"/>
              </w:rPr>
              <w:t>"，纬度31°29'</w:t>
            </w:r>
            <w:r>
              <w:rPr>
                <w:rFonts w:hint="eastAsia" w:eastAsiaTheme="minorEastAsia"/>
                <w:bCs/>
                <w:sz w:val="24"/>
                <w:lang w:val="en-US" w:eastAsia="zh-CN"/>
              </w:rPr>
              <w:t>1.120</w:t>
            </w:r>
            <w:r>
              <w:rPr>
                <w:rFonts w:eastAsiaTheme="minorEastAsia"/>
                <w:bCs/>
                <w:sz w:val="24"/>
              </w:rPr>
              <w:t>"</w:t>
            </w:r>
          </w:p>
        </w:tc>
      </w:tr>
      <w:tr w14:paraId="1D5D9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14" w:type="dxa"/>
            <w:tcMar>
              <w:top w:w="16" w:type="dxa"/>
              <w:left w:w="16" w:type="dxa"/>
              <w:right w:w="16" w:type="dxa"/>
            </w:tcMar>
            <w:vAlign w:val="center"/>
          </w:tcPr>
          <w:p w14:paraId="5E6D2615">
            <w:pPr>
              <w:adjustRightInd w:val="0"/>
              <w:snapToGrid w:val="0"/>
              <w:jc w:val="center"/>
              <w:rPr>
                <w:rFonts w:cs="宋体"/>
                <w:sz w:val="24"/>
              </w:rPr>
            </w:pPr>
            <w:r>
              <w:rPr>
                <w:rFonts w:hint="eastAsia" w:cs="宋体"/>
                <w:sz w:val="24"/>
              </w:rPr>
              <w:t>国民经济</w:t>
            </w:r>
          </w:p>
          <w:p w14:paraId="1C5ADCC1">
            <w:pPr>
              <w:adjustRightInd w:val="0"/>
              <w:snapToGrid w:val="0"/>
              <w:jc w:val="center"/>
              <w:rPr>
                <w:rFonts w:cs="宋体"/>
                <w:sz w:val="24"/>
              </w:rPr>
            </w:pPr>
            <w:r>
              <w:rPr>
                <w:rFonts w:hint="eastAsia" w:cs="宋体"/>
                <w:sz w:val="24"/>
              </w:rPr>
              <w:t>行业类别</w:t>
            </w:r>
          </w:p>
        </w:tc>
        <w:tc>
          <w:tcPr>
            <w:tcW w:w="2210" w:type="dxa"/>
            <w:vAlign w:val="center"/>
          </w:tcPr>
          <w:p w14:paraId="64D3ABE2">
            <w:pPr>
              <w:adjustRightInd w:val="0"/>
              <w:snapToGrid w:val="0"/>
              <w:jc w:val="center"/>
              <w:rPr>
                <w:rFonts w:hint="default" w:eastAsia="宋体" w:cs="宋体"/>
                <w:sz w:val="24"/>
                <w:lang w:val="en-US" w:eastAsia="zh-CN"/>
              </w:rPr>
            </w:pPr>
            <w:r>
              <w:rPr>
                <w:rFonts w:hint="eastAsia" w:cs="宋体"/>
                <w:sz w:val="24"/>
                <w:lang w:val="en-US" w:eastAsia="zh-CN"/>
              </w:rPr>
              <w:t>C2929塑料零件及其他塑料制品制造</w:t>
            </w:r>
          </w:p>
        </w:tc>
        <w:tc>
          <w:tcPr>
            <w:tcW w:w="2043" w:type="dxa"/>
            <w:vAlign w:val="center"/>
          </w:tcPr>
          <w:p w14:paraId="2775D9CA">
            <w:pPr>
              <w:adjustRightInd w:val="0"/>
              <w:snapToGrid w:val="0"/>
              <w:jc w:val="center"/>
              <w:rPr>
                <w:rFonts w:cs="宋体"/>
                <w:sz w:val="24"/>
              </w:rPr>
            </w:pPr>
            <w:bookmarkStart w:id="1" w:name="_Hlk49843745"/>
            <w:r>
              <w:rPr>
                <w:rFonts w:hint="eastAsia" w:cs="宋体"/>
                <w:sz w:val="24"/>
              </w:rPr>
              <w:t>建设项目</w:t>
            </w:r>
          </w:p>
          <w:p w14:paraId="6F30E84E">
            <w:pPr>
              <w:adjustRightInd w:val="0"/>
              <w:snapToGrid w:val="0"/>
              <w:jc w:val="center"/>
              <w:rPr>
                <w:rFonts w:cs="宋体"/>
                <w:sz w:val="24"/>
              </w:rPr>
            </w:pPr>
            <w:r>
              <w:rPr>
                <w:rFonts w:hint="eastAsia" w:cs="宋体"/>
                <w:sz w:val="24"/>
              </w:rPr>
              <w:t>行业类别</w:t>
            </w:r>
            <w:bookmarkEnd w:id="1"/>
          </w:p>
        </w:tc>
        <w:tc>
          <w:tcPr>
            <w:tcW w:w="2903" w:type="dxa"/>
            <w:vAlign w:val="center"/>
          </w:tcPr>
          <w:p w14:paraId="424CF4F1">
            <w:pPr>
              <w:adjustRightInd w:val="0"/>
              <w:snapToGrid w:val="0"/>
              <w:rPr>
                <w:rFonts w:hint="default" w:eastAsia="宋体" w:cs="宋体"/>
                <w:sz w:val="24"/>
                <w:lang w:val="en-US" w:eastAsia="zh-CN"/>
              </w:rPr>
            </w:pPr>
            <w:r>
              <w:rPr>
                <w:rFonts w:hint="eastAsia" w:ascii="宋体" w:hAnsi="宋体" w:cs="宋体"/>
                <w:sz w:val="24"/>
                <w:lang w:val="en-US" w:eastAsia="zh-CN"/>
              </w:rPr>
              <w:t>二十六</w:t>
            </w:r>
            <w:r>
              <w:rPr>
                <w:rFonts w:ascii="宋体" w:hAnsi="宋体" w:cs="宋体"/>
                <w:sz w:val="24"/>
              </w:rPr>
              <w:t>“</w:t>
            </w:r>
            <w:r>
              <w:rPr>
                <w:rFonts w:hint="eastAsia"/>
                <w:sz w:val="24"/>
                <w:lang w:val="en-US" w:eastAsia="zh-CN"/>
              </w:rPr>
              <w:t>橡胶和塑料制品业29</w:t>
            </w:r>
            <w:r>
              <w:rPr>
                <w:rFonts w:ascii="宋体" w:hAnsi="宋体" w:cs="宋体"/>
                <w:sz w:val="24"/>
              </w:rPr>
              <w:t>”</w:t>
            </w:r>
            <w:r>
              <w:rPr>
                <w:rFonts w:cs="宋体"/>
                <w:sz w:val="24"/>
              </w:rPr>
              <w:t>中</w:t>
            </w:r>
            <w:r>
              <w:rPr>
                <w:rFonts w:hint="eastAsia" w:cs="宋体"/>
                <w:sz w:val="24"/>
                <w:lang w:val="en-US" w:eastAsia="zh-CN"/>
              </w:rPr>
              <w:t>53-塑料制品业</w:t>
            </w:r>
            <w:r>
              <w:rPr>
                <w:rFonts w:hint="eastAsia"/>
                <w:sz w:val="24"/>
                <w:lang w:val="en-US" w:eastAsia="zh-CN"/>
              </w:rPr>
              <w:t>292</w:t>
            </w:r>
          </w:p>
        </w:tc>
      </w:tr>
      <w:tr w14:paraId="40E10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14" w:type="dxa"/>
            <w:tcMar>
              <w:top w:w="16" w:type="dxa"/>
              <w:left w:w="16" w:type="dxa"/>
              <w:right w:w="16" w:type="dxa"/>
            </w:tcMar>
            <w:vAlign w:val="center"/>
          </w:tcPr>
          <w:p w14:paraId="2B869859">
            <w:pPr>
              <w:adjustRightInd w:val="0"/>
              <w:snapToGrid w:val="0"/>
              <w:jc w:val="center"/>
              <w:rPr>
                <w:rFonts w:cs="宋体"/>
                <w:sz w:val="24"/>
              </w:rPr>
            </w:pPr>
            <w:r>
              <w:rPr>
                <w:rFonts w:hint="eastAsia" w:cs="宋体"/>
                <w:sz w:val="24"/>
              </w:rPr>
              <w:t>建设性质</w:t>
            </w:r>
          </w:p>
        </w:tc>
        <w:tc>
          <w:tcPr>
            <w:tcW w:w="2210" w:type="dxa"/>
            <w:vAlign w:val="center"/>
          </w:tcPr>
          <w:p w14:paraId="658F4674">
            <w:pPr>
              <w:jc w:val="left"/>
              <w:rPr>
                <w:rFonts w:cs="宋体"/>
                <w:sz w:val="24"/>
              </w:rPr>
            </w:pPr>
            <w:r>
              <w:rPr>
                <w:rFonts w:hint="eastAsia"/>
                <w:sz w:val="24"/>
                <w:lang w:eastAsia="zh-CN"/>
              </w:rPr>
              <w:sym w:font="Wingdings 2" w:char="0052"/>
            </w:r>
            <w:r>
              <w:rPr>
                <w:rFonts w:hint="eastAsia"/>
                <w:sz w:val="24"/>
                <w:lang w:eastAsia="zh-CN"/>
              </w:rPr>
              <w:t>（</w:t>
            </w:r>
            <w:r>
              <w:rPr>
                <w:rFonts w:hint="eastAsia" w:cs="宋体"/>
                <w:sz w:val="24"/>
              </w:rPr>
              <w:t>新建（迁建）</w:t>
            </w:r>
          </w:p>
          <w:p w14:paraId="448EABDA">
            <w:pPr>
              <w:jc w:val="left"/>
              <w:rPr>
                <w:rFonts w:cs="宋体"/>
                <w:sz w:val="24"/>
              </w:rPr>
            </w:pPr>
            <w:r>
              <w:rPr>
                <w:rFonts w:hint="eastAsia" w:cs="宋体"/>
                <w:sz w:val="24"/>
              </w:rPr>
              <w:t>□改建</w:t>
            </w:r>
          </w:p>
          <w:p w14:paraId="3063B0A0">
            <w:pPr>
              <w:jc w:val="left"/>
              <w:rPr>
                <w:rFonts w:cs="宋体"/>
                <w:sz w:val="24"/>
              </w:rPr>
            </w:pPr>
            <w:r>
              <w:rPr>
                <w:rFonts w:hint="eastAsia" w:cs="宋体"/>
                <w:sz w:val="24"/>
              </w:rPr>
              <w:t>□扩建</w:t>
            </w:r>
          </w:p>
          <w:p w14:paraId="7B7BA936">
            <w:pPr>
              <w:jc w:val="left"/>
              <w:rPr>
                <w:rFonts w:cs="宋体"/>
                <w:sz w:val="24"/>
              </w:rPr>
            </w:pPr>
            <w:r>
              <w:rPr>
                <w:rFonts w:hint="eastAsia" w:cs="宋体"/>
                <w:sz w:val="24"/>
              </w:rPr>
              <w:t>□技术改造</w:t>
            </w:r>
          </w:p>
        </w:tc>
        <w:tc>
          <w:tcPr>
            <w:tcW w:w="2043" w:type="dxa"/>
            <w:vAlign w:val="center"/>
          </w:tcPr>
          <w:p w14:paraId="52177A92">
            <w:pPr>
              <w:adjustRightInd w:val="0"/>
              <w:snapToGrid w:val="0"/>
              <w:jc w:val="center"/>
              <w:rPr>
                <w:rFonts w:cs="宋体"/>
                <w:sz w:val="24"/>
              </w:rPr>
            </w:pPr>
            <w:r>
              <w:rPr>
                <w:rFonts w:hint="eastAsia" w:cs="宋体"/>
                <w:sz w:val="24"/>
              </w:rPr>
              <w:t>建设项目</w:t>
            </w:r>
          </w:p>
          <w:p w14:paraId="69C619EA">
            <w:pPr>
              <w:adjustRightInd w:val="0"/>
              <w:snapToGrid w:val="0"/>
              <w:jc w:val="center"/>
              <w:rPr>
                <w:rFonts w:cs="宋体"/>
                <w:sz w:val="24"/>
              </w:rPr>
            </w:pPr>
            <w:r>
              <w:rPr>
                <w:rFonts w:hint="eastAsia" w:cs="宋体"/>
                <w:sz w:val="24"/>
              </w:rPr>
              <w:t>申报情形</w:t>
            </w:r>
          </w:p>
        </w:tc>
        <w:tc>
          <w:tcPr>
            <w:tcW w:w="2903" w:type="dxa"/>
            <w:vAlign w:val="center"/>
          </w:tcPr>
          <w:p w14:paraId="6FDD0EE8">
            <w:pPr>
              <w:jc w:val="left"/>
              <w:rPr>
                <w:rFonts w:cs="宋体"/>
                <w:sz w:val="24"/>
              </w:rPr>
            </w:pPr>
            <w:bookmarkStart w:id="21" w:name="_GoBack"/>
            <w:bookmarkEnd w:id="21"/>
            <w:r>
              <w:rPr>
                <w:rFonts w:hint="eastAsia" w:cs="宋体"/>
                <w:sz w:val="24"/>
                <w:lang w:eastAsia="zh-CN"/>
              </w:rPr>
              <w:t>☑</w:t>
            </w:r>
            <w:r>
              <w:rPr>
                <w:rFonts w:hint="eastAsia" w:cs="宋体"/>
                <w:sz w:val="24"/>
              </w:rPr>
              <w:t>首次申报项目</w:t>
            </w:r>
          </w:p>
          <w:p w14:paraId="0E91BF83">
            <w:pPr>
              <w:jc w:val="left"/>
              <w:rPr>
                <w:rFonts w:cs="宋体"/>
                <w:sz w:val="24"/>
              </w:rPr>
            </w:pPr>
            <w:r>
              <w:rPr>
                <w:rFonts w:hint="eastAsia" w:cs="宋体"/>
                <w:sz w:val="24"/>
              </w:rPr>
              <w:t>□不予批准后再次申报项目</w:t>
            </w:r>
          </w:p>
          <w:p w14:paraId="086CC75B">
            <w:pPr>
              <w:jc w:val="left"/>
              <w:rPr>
                <w:rFonts w:cs="宋体"/>
                <w:sz w:val="24"/>
              </w:rPr>
            </w:pPr>
            <w:r>
              <w:rPr>
                <w:rFonts w:hint="eastAsia" w:cs="宋体"/>
                <w:sz w:val="24"/>
              </w:rPr>
              <w:t>□超五年重新审核项目</w:t>
            </w:r>
          </w:p>
          <w:p w14:paraId="50289B77">
            <w:pPr>
              <w:jc w:val="left"/>
              <w:rPr>
                <w:rFonts w:cs="宋体"/>
                <w:sz w:val="24"/>
              </w:rPr>
            </w:pPr>
            <w:r>
              <w:rPr>
                <w:rFonts w:hint="eastAsia" w:cs="宋体"/>
                <w:sz w:val="24"/>
              </w:rPr>
              <w:t>□重大变动重新报批项目</w:t>
            </w:r>
          </w:p>
        </w:tc>
      </w:tr>
      <w:tr w14:paraId="2A203D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14" w:type="dxa"/>
            <w:tcMar>
              <w:top w:w="16" w:type="dxa"/>
              <w:left w:w="16" w:type="dxa"/>
              <w:right w:w="16" w:type="dxa"/>
            </w:tcMar>
            <w:vAlign w:val="center"/>
          </w:tcPr>
          <w:p w14:paraId="12ED054D">
            <w:pPr>
              <w:adjustRightInd w:val="0"/>
              <w:snapToGrid w:val="0"/>
              <w:jc w:val="center"/>
              <w:rPr>
                <w:rFonts w:cs="宋体"/>
                <w:sz w:val="24"/>
              </w:rPr>
            </w:pPr>
            <w:r>
              <w:rPr>
                <w:rFonts w:hint="eastAsia" w:cs="宋体"/>
                <w:sz w:val="24"/>
              </w:rPr>
              <w:t>项目审批（核准</w:t>
            </w:r>
            <w:r>
              <w:rPr>
                <w:rFonts w:cs="宋体"/>
                <w:sz w:val="24"/>
              </w:rPr>
              <w:t>/</w:t>
            </w:r>
          </w:p>
          <w:p w14:paraId="29F10ADA">
            <w:pPr>
              <w:adjustRightInd w:val="0"/>
              <w:snapToGrid w:val="0"/>
              <w:jc w:val="center"/>
              <w:rPr>
                <w:rFonts w:cs="宋体"/>
                <w:sz w:val="24"/>
              </w:rPr>
            </w:pPr>
            <w:r>
              <w:rPr>
                <w:rFonts w:hint="eastAsia" w:cs="宋体"/>
                <w:sz w:val="24"/>
              </w:rPr>
              <w:t>备案）部门（选填）</w:t>
            </w:r>
          </w:p>
        </w:tc>
        <w:tc>
          <w:tcPr>
            <w:tcW w:w="2210" w:type="dxa"/>
            <w:vAlign w:val="center"/>
          </w:tcPr>
          <w:p w14:paraId="1F3A29A9">
            <w:pPr>
              <w:adjustRightInd w:val="0"/>
              <w:snapToGrid w:val="0"/>
              <w:jc w:val="center"/>
              <w:rPr>
                <w:rFonts w:cs="宋体"/>
                <w:color w:val="auto"/>
                <w:sz w:val="24"/>
              </w:rPr>
            </w:pPr>
            <w:r>
              <w:rPr>
                <w:rFonts w:hint="eastAsia"/>
                <w:color w:val="auto"/>
                <w:sz w:val="24"/>
              </w:rPr>
              <w:t>芜湖经济技术开发区管理委员会</w:t>
            </w:r>
          </w:p>
        </w:tc>
        <w:tc>
          <w:tcPr>
            <w:tcW w:w="2043" w:type="dxa"/>
            <w:vAlign w:val="center"/>
          </w:tcPr>
          <w:p w14:paraId="155CF16B">
            <w:pPr>
              <w:adjustRightInd w:val="0"/>
              <w:snapToGrid w:val="0"/>
              <w:jc w:val="center"/>
              <w:rPr>
                <w:rFonts w:cs="宋体"/>
                <w:color w:val="auto"/>
                <w:sz w:val="24"/>
              </w:rPr>
            </w:pPr>
            <w:r>
              <w:rPr>
                <w:rFonts w:hint="eastAsia" w:cs="宋体"/>
                <w:color w:val="auto"/>
                <w:sz w:val="24"/>
              </w:rPr>
              <w:t>项目审批（核准</w:t>
            </w:r>
            <w:r>
              <w:rPr>
                <w:rFonts w:cs="宋体"/>
                <w:color w:val="auto"/>
                <w:sz w:val="24"/>
              </w:rPr>
              <w:t>/</w:t>
            </w:r>
          </w:p>
          <w:p w14:paraId="29A6521D">
            <w:pPr>
              <w:adjustRightInd w:val="0"/>
              <w:snapToGrid w:val="0"/>
              <w:jc w:val="center"/>
              <w:rPr>
                <w:rFonts w:cs="宋体"/>
                <w:color w:val="auto"/>
                <w:sz w:val="24"/>
              </w:rPr>
            </w:pPr>
            <w:r>
              <w:rPr>
                <w:rFonts w:hint="eastAsia" w:cs="宋体"/>
                <w:color w:val="auto"/>
                <w:sz w:val="24"/>
              </w:rPr>
              <w:t>备案）文号（选填）</w:t>
            </w:r>
          </w:p>
        </w:tc>
        <w:tc>
          <w:tcPr>
            <w:tcW w:w="2903" w:type="dxa"/>
            <w:vAlign w:val="center"/>
          </w:tcPr>
          <w:p w14:paraId="6CA8FDDF">
            <w:pPr>
              <w:adjustRightInd w:val="0"/>
              <w:snapToGrid w:val="0"/>
              <w:jc w:val="center"/>
              <w:rPr>
                <w:rFonts w:cs="宋体"/>
                <w:color w:val="auto"/>
                <w:sz w:val="24"/>
              </w:rPr>
            </w:pPr>
            <w:r>
              <w:rPr>
                <w:rFonts w:hint="eastAsia"/>
                <w:color w:val="auto"/>
                <w:sz w:val="24"/>
              </w:rPr>
              <w:t>开备案[202</w:t>
            </w:r>
            <w:r>
              <w:rPr>
                <w:rFonts w:hint="eastAsia"/>
                <w:color w:val="auto"/>
                <w:sz w:val="24"/>
                <w:lang w:val="en-US" w:eastAsia="zh-CN"/>
              </w:rPr>
              <w:t>5</w:t>
            </w:r>
            <w:r>
              <w:rPr>
                <w:rFonts w:hint="eastAsia"/>
                <w:color w:val="auto"/>
                <w:sz w:val="24"/>
              </w:rPr>
              <w:t>]</w:t>
            </w:r>
            <w:r>
              <w:rPr>
                <w:rFonts w:hint="eastAsia"/>
                <w:color w:val="auto"/>
                <w:sz w:val="24"/>
                <w:lang w:val="en-US" w:eastAsia="zh-CN"/>
              </w:rPr>
              <w:t>83</w:t>
            </w:r>
            <w:r>
              <w:rPr>
                <w:rFonts w:hint="eastAsia"/>
                <w:color w:val="auto"/>
                <w:sz w:val="24"/>
              </w:rPr>
              <w:t>号</w:t>
            </w:r>
          </w:p>
        </w:tc>
      </w:tr>
      <w:tr w14:paraId="5E225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31F5DA37">
            <w:pPr>
              <w:adjustRightInd w:val="0"/>
              <w:snapToGrid w:val="0"/>
              <w:jc w:val="center"/>
              <w:rPr>
                <w:rFonts w:cs="宋体"/>
                <w:sz w:val="24"/>
              </w:rPr>
            </w:pPr>
            <w:r>
              <w:rPr>
                <w:rFonts w:hint="eastAsia" w:cs="宋体"/>
                <w:sz w:val="24"/>
              </w:rPr>
              <w:t>总投资（万元）</w:t>
            </w:r>
          </w:p>
        </w:tc>
        <w:tc>
          <w:tcPr>
            <w:tcW w:w="2210" w:type="dxa"/>
            <w:vAlign w:val="center"/>
          </w:tcPr>
          <w:p w14:paraId="3FC12D46">
            <w:pPr>
              <w:adjustRightInd w:val="0"/>
              <w:snapToGrid w:val="0"/>
              <w:jc w:val="center"/>
              <w:rPr>
                <w:rFonts w:cs="宋体"/>
                <w:sz w:val="24"/>
              </w:rPr>
            </w:pPr>
            <w:r>
              <w:rPr>
                <w:rFonts w:hint="eastAsia"/>
                <w:sz w:val="24"/>
                <w:lang w:val="en-US" w:eastAsia="zh-CN"/>
              </w:rPr>
              <w:t>7</w:t>
            </w:r>
            <w:r>
              <w:rPr>
                <w:sz w:val="24"/>
              </w:rPr>
              <w:t>00</w:t>
            </w:r>
          </w:p>
        </w:tc>
        <w:tc>
          <w:tcPr>
            <w:tcW w:w="2043" w:type="dxa"/>
            <w:tcMar>
              <w:top w:w="16" w:type="dxa"/>
              <w:left w:w="16" w:type="dxa"/>
              <w:right w:w="16" w:type="dxa"/>
            </w:tcMar>
            <w:vAlign w:val="center"/>
          </w:tcPr>
          <w:p w14:paraId="70F2A03B">
            <w:pPr>
              <w:adjustRightInd w:val="0"/>
              <w:snapToGrid w:val="0"/>
              <w:jc w:val="center"/>
              <w:rPr>
                <w:rFonts w:cs="宋体"/>
                <w:sz w:val="24"/>
              </w:rPr>
            </w:pPr>
            <w:r>
              <w:rPr>
                <w:rFonts w:hint="eastAsia" w:cs="宋体"/>
                <w:sz w:val="24"/>
              </w:rPr>
              <w:t>环保投资（万元）</w:t>
            </w:r>
          </w:p>
        </w:tc>
        <w:tc>
          <w:tcPr>
            <w:tcW w:w="2903" w:type="dxa"/>
            <w:vAlign w:val="center"/>
          </w:tcPr>
          <w:p w14:paraId="26F9F46A">
            <w:pPr>
              <w:adjustRightInd w:val="0"/>
              <w:snapToGrid w:val="0"/>
              <w:jc w:val="center"/>
              <w:rPr>
                <w:rFonts w:hint="default" w:eastAsia="宋体" w:cs="宋体"/>
                <w:sz w:val="24"/>
                <w:lang w:val="en-US" w:eastAsia="zh-CN"/>
              </w:rPr>
            </w:pPr>
            <w:r>
              <w:rPr>
                <w:rFonts w:hint="eastAsia"/>
                <w:bCs/>
                <w:sz w:val="24"/>
                <w:lang w:val="en-US" w:eastAsia="zh-CN"/>
              </w:rPr>
              <w:t>10</w:t>
            </w:r>
          </w:p>
        </w:tc>
      </w:tr>
      <w:tr w14:paraId="72A36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tcMar>
              <w:top w:w="16" w:type="dxa"/>
              <w:left w:w="16" w:type="dxa"/>
              <w:right w:w="16" w:type="dxa"/>
            </w:tcMar>
            <w:vAlign w:val="center"/>
          </w:tcPr>
          <w:p w14:paraId="67B4898E">
            <w:pPr>
              <w:adjustRightInd w:val="0"/>
              <w:snapToGrid w:val="0"/>
              <w:jc w:val="center"/>
              <w:rPr>
                <w:rFonts w:cs="宋体"/>
                <w:sz w:val="24"/>
              </w:rPr>
            </w:pPr>
            <w:r>
              <w:rPr>
                <w:rFonts w:hint="eastAsia" w:cs="宋体"/>
                <w:sz w:val="24"/>
              </w:rPr>
              <w:t>环保投资占比（</w:t>
            </w:r>
            <w:r>
              <w:rPr>
                <w:rFonts w:cs="宋体"/>
                <w:sz w:val="24"/>
              </w:rPr>
              <w:t>%</w:t>
            </w:r>
            <w:r>
              <w:rPr>
                <w:rFonts w:hint="eastAsia" w:cs="宋体"/>
                <w:sz w:val="24"/>
              </w:rPr>
              <w:t>）</w:t>
            </w:r>
          </w:p>
        </w:tc>
        <w:tc>
          <w:tcPr>
            <w:tcW w:w="2210" w:type="dxa"/>
            <w:vAlign w:val="center"/>
          </w:tcPr>
          <w:p w14:paraId="140DF111">
            <w:pPr>
              <w:adjustRightInd w:val="0"/>
              <w:snapToGrid w:val="0"/>
              <w:jc w:val="center"/>
              <w:rPr>
                <w:rFonts w:hint="default" w:eastAsia="宋体" w:cs="宋体"/>
                <w:sz w:val="24"/>
                <w:lang w:val="en-US" w:eastAsia="zh-CN"/>
              </w:rPr>
            </w:pPr>
            <w:r>
              <w:rPr>
                <w:rFonts w:hint="eastAsia"/>
                <w:sz w:val="24"/>
                <w:lang w:val="en-US" w:eastAsia="zh-CN"/>
              </w:rPr>
              <w:t>14.29</w:t>
            </w:r>
          </w:p>
        </w:tc>
        <w:tc>
          <w:tcPr>
            <w:tcW w:w="2043" w:type="dxa"/>
            <w:tcMar>
              <w:top w:w="16" w:type="dxa"/>
              <w:left w:w="16" w:type="dxa"/>
              <w:right w:w="16" w:type="dxa"/>
            </w:tcMar>
            <w:vAlign w:val="center"/>
          </w:tcPr>
          <w:p w14:paraId="75E5E2E7">
            <w:pPr>
              <w:adjustRightInd w:val="0"/>
              <w:snapToGrid w:val="0"/>
              <w:jc w:val="center"/>
              <w:rPr>
                <w:rFonts w:cs="宋体"/>
                <w:sz w:val="24"/>
              </w:rPr>
            </w:pPr>
            <w:r>
              <w:rPr>
                <w:rFonts w:hint="eastAsia" w:cs="宋体"/>
                <w:sz w:val="24"/>
              </w:rPr>
              <w:t>施工工期</w:t>
            </w:r>
          </w:p>
        </w:tc>
        <w:tc>
          <w:tcPr>
            <w:tcW w:w="2903" w:type="dxa"/>
            <w:vAlign w:val="center"/>
          </w:tcPr>
          <w:p w14:paraId="0F3EADEF">
            <w:pPr>
              <w:adjustRightInd w:val="0"/>
              <w:snapToGrid w:val="0"/>
              <w:jc w:val="center"/>
              <w:rPr>
                <w:rFonts w:cs="宋体"/>
                <w:sz w:val="24"/>
              </w:rPr>
            </w:pPr>
            <w:r>
              <w:rPr>
                <w:rFonts w:hint="eastAsia" w:cs="宋体"/>
                <w:sz w:val="24"/>
                <w:lang w:val="en-US" w:eastAsia="zh-CN"/>
              </w:rPr>
              <w:t>2</w:t>
            </w:r>
            <w:r>
              <w:rPr>
                <w:rFonts w:cs="宋体"/>
                <w:sz w:val="24"/>
              </w:rPr>
              <w:t>个月</w:t>
            </w:r>
          </w:p>
        </w:tc>
      </w:tr>
      <w:tr w14:paraId="12A8E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98" w:hRule="atLeast"/>
          <w:jc w:val="center"/>
        </w:trPr>
        <w:tc>
          <w:tcPr>
            <w:tcW w:w="1714" w:type="dxa"/>
            <w:tcMar>
              <w:top w:w="16" w:type="dxa"/>
              <w:left w:w="16" w:type="dxa"/>
              <w:right w:w="16" w:type="dxa"/>
            </w:tcMar>
            <w:vAlign w:val="center"/>
          </w:tcPr>
          <w:p w14:paraId="00BD9EF5">
            <w:pPr>
              <w:adjustRightInd w:val="0"/>
              <w:snapToGrid w:val="0"/>
              <w:jc w:val="center"/>
              <w:rPr>
                <w:rFonts w:cs="宋体"/>
                <w:sz w:val="24"/>
              </w:rPr>
            </w:pPr>
            <w:r>
              <w:rPr>
                <w:rFonts w:hint="eastAsia" w:cs="宋体"/>
                <w:sz w:val="24"/>
              </w:rPr>
              <w:t>是否开工建设</w:t>
            </w:r>
          </w:p>
        </w:tc>
        <w:tc>
          <w:tcPr>
            <w:tcW w:w="2210" w:type="dxa"/>
            <w:vAlign w:val="center"/>
          </w:tcPr>
          <w:p w14:paraId="0587DAAC">
            <w:pPr>
              <w:adjustRightInd w:val="0"/>
              <w:snapToGrid w:val="0"/>
              <w:rPr>
                <w:rFonts w:cs="宋体"/>
                <w:sz w:val="24"/>
              </w:rPr>
            </w:pPr>
            <w:r>
              <w:rPr>
                <w:rFonts w:hint="eastAsia" w:cs="宋体"/>
                <w:sz w:val="24"/>
              </w:rPr>
              <w:sym w:font="Wingdings 2" w:char="0052"/>
            </w:r>
            <w:r>
              <w:rPr>
                <w:rFonts w:hint="eastAsia" w:cs="宋体"/>
                <w:sz w:val="24"/>
              </w:rPr>
              <w:t>否</w:t>
            </w:r>
          </w:p>
          <w:p w14:paraId="47DCBEC5">
            <w:pPr>
              <w:adjustRightInd w:val="0"/>
              <w:snapToGrid w:val="0"/>
              <w:rPr>
                <w:rFonts w:hint="default" w:eastAsia="宋体" w:cs="宋体"/>
                <w:sz w:val="24"/>
                <w:lang w:val="en-US" w:eastAsia="zh-CN"/>
              </w:rPr>
            </w:pPr>
            <w:r>
              <w:rPr>
                <w:rFonts w:hint="eastAsia" w:cs="宋体"/>
                <w:sz w:val="24"/>
              </w:rPr>
              <w:sym w:font="Wingdings 2" w:char="00A3"/>
            </w:r>
            <w:r>
              <w:rPr>
                <w:rFonts w:hint="eastAsia" w:cs="宋体"/>
                <w:sz w:val="24"/>
              </w:rPr>
              <w:t>是</w:t>
            </w:r>
            <w:r>
              <w:rPr>
                <w:rFonts w:hint="eastAsia" w:cs="宋体"/>
                <w:sz w:val="24"/>
                <w:u w:val="single"/>
                <w:lang w:val="en-US" w:eastAsia="zh-CN"/>
              </w:rPr>
              <w:t xml:space="preserve">       </w:t>
            </w:r>
          </w:p>
        </w:tc>
        <w:tc>
          <w:tcPr>
            <w:tcW w:w="2043" w:type="dxa"/>
            <w:tcMar>
              <w:top w:w="16" w:type="dxa"/>
              <w:left w:w="16" w:type="dxa"/>
              <w:right w:w="16" w:type="dxa"/>
            </w:tcMar>
            <w:vAlign w:val="center"/>
          </w:tcPr>
          <w:p w14:paraId="7A8F5912">
            <w:pPr>
              <w:adjustRightInd w:val="0"/>
              <w:snapToGrid w:val="0"/>
              <w:jc w:val="center"/>
              <w:rPr>
                <w:rFonts w:cs="宋体"/>
                <w:spacing w:val="-6"/>
                <w:sz w:val="24"/>
              </w:rPr>
            </w:pPr>
            <w:r>
              <w:rPr>
                <w:rFonts w:hint="eastAsia" w:cs="宋体"/>
                <w:spacing w:val="-6"/>
                <w:sz w:val="24"/>
              </w:rPr>
              <w:t>用地（用海）</w:t>
            </w:r>
          </w:p>
          <w:p w14:paraId="68590FC2">
            <w:pPr>
              <w:adjustRightInd w:val="0"/>
              <w:snapToGrid w:val="0"/>
              <w:jc w:val="center"/>
              <w:rPr>
                <w:rFonts w:cs="宋体"/>
                <w:sz w:val="24"/>
              </w:rPr>
            </w:pPr>
            <w:r>
              <w:rPr>
                <w:rFonts w:hint="eastAsia" w:cs="宋体"/>
                <w:spacing w:val="-6"/>
                <w:sz w:val="24"/>
              </w:rPr>
              <w:t>面积（</w:t>
            </w:r>
            <w:r>
              <w:rPr>
                <w:rFonts w:cs="宋体"/>
                <w:spacing w:val="-6"/>
                <w:sz w:val="24"/>
              </w:rPr>
              <w:t>m</w:t>
            </w:r>
            <w:r>
              <w:rPr>
                <w:rFonts w:cs="宋体"/>
                <w:spacing w:val="-6"/>
                <w:sz w:val="24"/>
                <w:vertAlign w:val="superscript"/>
              </w:rPr>
              <w:t>2</w:t>
            </w:r>
            <w:r>
              <w:rPr>
                <w:rFonts w:hint="eastAsia" w:cs="宋体"/>
                <w:spacing w:val="-6"/>
                <w:sz w:val="24"/>
              </w:rPr>
              <w:t>）</w:t>
            </w:r>
          </w:p>
        </w:tc>
        <w:tc>
          <w:tcPr>
            <w:tcW w:w="2903" w:type="dxa"/>
            <w:vAlign w:val="center"/>
          </w:tcPr>
          <w:p w14:paraId="3BBE6802">
            <w:pPr>
              <w:adjustRightInd w:val="0"/>
              <w:snapToGrid w:val="0"/>
              <w:jc w:val="center"/>
              <w:rPr>
                <w:rFonts w:hint="default" w:eastAsia="宋体" w:cs="宋体"/>
                <w:sz w:val="24"/>
                <w:lang w:val="en-US" w:eastAsia="zh-CN"/>
              </w:rPr>
            </w:pPr>
            <w:r>
              <w:rPr>
                <w:rFonts w:hint="eastAsia"/>
                <w:bCs/>
                <w:sz w:val="24"/>
                <w:lang w:val="en-US" w:eastAsia="zh-CN"/>
              </w:rPr>
              <w:t>730</w:t>
            </w:r>
          </w:p>
        </w:tc>
      </w:tr>
      <w:tr w14:paraId="2A9B4D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14" w:type="dxa"/>
            <w:vAlign w:val="center"/>
          </w:tcPr>
          <w:p w14:paraId="75032BC9">
            <w:pPr>
              <w:autoSpaceDE w:val="0"/>
              <w:autoSpaceDN w:val="0"/>
              <w:adjustRightInd w:val="0"/>
              <w:snapToGrid w:val="0"/>
              <w:jc w:val="center"/>
              <w:rPr>
                <w:rFonts w:cs="宋体"/>
                <w:kern w:val="0"/>
                <w:sz w:val="24"/>
              </w:rPr>
            </w:pPr>
            <w:r>
              <w:rPr>
                <w:rFonts w:hint="eastAsia" w:cs="宋体"/>
                <w:kern w:val="0"/>
                <w:sz w:val="24"/>
              </w:rPr>
              <w:t>专项评价设置情况</w:t>
            </w:r>
          </w:p>
        </w:tc>
        <w:tc>
          <w:tcPr>
            <w:tcW w:w="7156" w:type="dxa"/>
            <w:gridSpan w:val="3"/>
            <w:vAlign w:val="center"/>
          </w:tcPr>
          <w:p w14:paraId="15B3B7B5">
            <w:pPr>
              <w:autoSpaceDE w:val="0"/>
              <w:autoSpaceDN w:val="0"/>
              <w:adjustRightInd w:val="0"/>
              <w:snapToGrid w:val="0"/>
              <w:jc w:val="center"/>
              <w:rPr>
                <w:rFonts w:hint="eastAsia" w:cs="宋体"/>
                <w:kern w:val="0"/>
                <w:sz w:val="24"/>
                <w:lang w:val="en-US" w:eastAsia="zh-CN"/>
              </w:rPr>
            </w:pPr>
            <w:r>
              <w:rPr>
                <w:rFonts w:hint="eastAsia" w:cs="宋体"/>
                <w:b/>
                <w:bCs/>
                <w:kern w:val="0"/>
                <w:sz w:val="24"/>
                <w:lang w:val="en-US" w:eastAsia="zh-CN"/>
              </w:rPr>
              <w:t>表1-1 专项评价设置原则表</w:t>
            </w:r>
          </w:p>
          <w:tbl>
            <w:tblPr>
              <w:tblStyle w:val="59"/>
              <w:tblW w:w="695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3701"/>
              <w:gridCol w:w="2126"/>
            </w:tblGrid>
            <w:tr w14:paraId="615CF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131" w:type="dxa"/>
                  <w:tcBorders>
                    <w:tl2br w:val="nil"/>
                    <w:tr2bl w:val="nil"/>
                  </w:tcBorders>
                  <w:vAlign w:val="center"/>
                </w:tcPr>
                <w:p w14:paraId="6500754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专项评价的类别</w:t>
                  </w:r>
                </w:p>
              </w:tc>
              <w:tc>
                <w:tcPr>
                  <w:tcW w:w="3701" w:type="dxa"/>
                  <w:tcBorders>
                    <w:tl2br w:val="nil"/>
                    <w:tr2bl w:val="nil"/>
                  </w:tcBorders>
                  <w:vAlign w:val="center"/>
                </w:tcPr>
                <w:p w14:paraId="7C115F3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设置原则</w:t>
                  </w:r>
                </w:p>
              </w:tc>
              <w:tc>
                <w:tcPr>
                  <w:tcW w:w="2126" w:type="dxa"/>
                  <w:tcBorders>
                    <w:tl2br w:val="nil"/>
                    <w:tr2bl w:val="nil"/>
                  </w:tcBorders>
                  <w:vAlign w:val="center"/>
                </w:tcPr>
                <w:p w14:paraId="178716A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符合情况</w:t>
                  </w:r>
                </w:p>
              </w:tc>
            </w:tr>
            <w:tr w14:paraId="09B69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131" w:type="dxa"/>
                  <w:tcBorders>
                    <w:tl2br w:val="nil"/>
                    <w:tr2bl w:val="nil"/>
                  </w:tcBorders>
                  <w:vAlign w:val="center"/>
                </w:tcPr>
                <w:p w14:paraId="7CA6FEEC">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大气</w:t>
                  </w:r>
                </w:p>
              </w:tc>
              <w:tc>
                <w:tcPr>
                  <w:tcW w:w="3701" w:type="dxa"/>
                  <w:tcBorders>
                    <w:tl2br w:val="nil"/>
                    <w:tr2bl w:val="nil"/>
                  </w:tcBorders>
                  <w:vAlign w:val="center"/>
                </w:tcPr>
                <w:p w14:paraId="2DA6DF2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排放废气含有毒有害污染物、二噁英、氰化物、氯气且厂界外500米范围内有环境空气保护目标的建设项目</w:t>
                  </w:r>
                </w:p>
              </w:tc>
              <w:tc>
                <w:tcPr>
                  <w:tcW w:w="2126" w:type="dxa"/>
                  <w:tcBorders>
                    <w:tl2br w:val="nil"/>
                    <w:tr2bl w:val="nil"/>
                  </w:tcBorders>
                  <w:vAlign w:val="center"/>
                </w:tcPr>
                <w:p w14:paraId="2441F18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符合，本项目产生二氯甲烷且500m范围内有敏感点</w:t>
                  </w:r>
                </w:p>
              </w:tc>
            </w:tr>
            <w:tr w14:paraId="02CB5C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131" w:type="dxa"/>
                  <w:tcBorders>
                    <w:tl2br w:val="nil"/>
                    <w:tr2bl w:val="nil"/>
                  </w:tcBorders>
                  <w:vAlign w:val="center"/>
                </w:tcPr>
                <w:p w14:paraId="727D6B1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地表水</w:t>
                  </w:r>
                </w:p>
              </w:tc>
              <w:tc>
                <w:tcPr>
                  <w:tcW w:w="3701" w:type="dxa"/>
                  <w:tcBorders>
                    <w:tl2br w:val="nil"/>
                    <w:tr2bl w:val="nil"/>
                  </w:tcBorders>
                  <w:vAlign w:val="center"/>
                </w:tcPr>
                <w:p w14:paraId="10FF899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新增工业废水直排建设项目（槽罐车外送污水处理厂的除外）；新增废水直排的污水集中处理厂</w:t>
                  </w:r>
                </w:p>
              </w:tc>
              <w:tc>
                <w:tcPr>
                  <w:tcW w:w="2126" w:type="dxa"/>
                  <w:tcBorders>
                    <w:tl2br w:val="nil"/>
                    <w:tr2bl w:val="nil"/>
                  </w:tcBorders>
                  <w:vAlign w:val="center"/>
                </w:tcPr>
                <w:p w14:paraId="23CECFD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不符合，本项目废水间接排放，不属于废水直排建设项目</w:t>
                  </w:r>
                </w:p>
              </w:tc>
            </w:tr>
            <w:tr w14:paraId="69ECF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131" w:type="dxa"/>
                  <w:tcBorders>
                    <w:tl2br w:val="nil"/>
                    <w:tr2bl w:val="nil"/>
                  </w:tcBorders>
                  <w:vAlign w:val="center"/>
                </w:tcPr>
                <w:p w14:paraId="15D2887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环境风险</w:t>
                  </w:r>
                </w:p>
              </w:tc>
              <w:tc>
                <w:tcPr>
                  <w:tcW w:w="3701" w:type="dxa"/>
                  <w:tcBorders>
                    <w:tl2br w:val="nil"/>
                    <w:tr2bl w:val="nil"/>
                  </w:tcBorders>
                  <w:vAlign w:val="center"/>
                </w:tcPr>
                <w:p w14:paraId="5C01AD0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有毒有害和易燃易爆危险物质存储量超过临界量的建设项目</w:t>
                  </w:r>
                </w:p>
              </w:tc>
              <w:tc>
                <w:tcPr>
                  <w:tcW w:w="2126" w:type="dxa"/>
                  <w:tcBorders>
                    <w:tl2br w:val="nil"/>
                    <w:tr2bl w:val="nil"/>
                  </w:tcBorders>
                  <w:vAlign w:val="center"/>
                </w:tcPr>
                <w:p w14:paraId="76EABC53">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不符合，本项目无有毒有害和易燃易爆危险物质存储</w:t>
                  </w:r>
                </w:p>
              </w:tc>
            </w:tr>
            <w:tr w14:paraId="787AA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1131" w:type="dxa"/>
                  <w:tcBorders>
                    <w:tl2br w:val="nil"/>
                    <w:tr2bl w:val="nil"/>
                  </w:tcBorders>
                  <w:vAlign w:val="center"/>
                </w:tcPr>
                <w:p w14:paraId="540E223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生态</w:t>
                  </w:r>
                </w:p>
              </w:tc>
              <w:tc>
                <w:tcPr>
                  <w:tcW w:w="3701" w:type="dxa"/>
                  <w:tcBorders>
                    <w:tl2br w:val="nil"/>
                    <w:tr2bl w:val="nil"/>
                  </w:tcBorders>
                  <w:vAlign w:val="center"/>
                </w:tcPr>
                <w:p w14:paraId="322A220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取水口下游500m范围内有重要水生生物的自然产卵场、索饵场，越冬场和洄游通道的新增河道取水的污染类建设项目</w:t>
                  </w:r>
                </w:p>
              </w:tc>
              <w:tc>
                <w:tcPr>
                  <w:tcW w:w="2126" w:type="dxa"/>
                  <w:tcBorders>
                    <w:tl2br w:val="nil"/>
                    <w:tr2bl w:val="nil"/>
                  </w:tcBorders>
                  <w:vAlign w:val="center"/>
                </w:tcPr>
                <w:p w14:paraId="16E8AB7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不符合，本项目用水由市政管网供给、不设置单独取水口</w:t>
                  </w:r>
                </w:p>
              </w:tc>
            </w:tr>
            <w:tr w14:paraId="50F8ED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31" w:type="dxa"/>
                  <w:tcBorders>
                    <w:tl2br w:val="nil"/>
                    <w:tr2bl w:val="nil"/>
                  </w:tcBorders>
                  <w:vAlign w:val="center"/>
                </w:tcPr>
                <w:p w14:paraId="35A048B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海洋</w:t>
                  </w:r>
                </w:p>
              </w:tc>
              <w:tc>
                <w:tcPr>
                  <w:tcW w:w="3701" w:type="dxa"/>
                  <w:tcBorders>
                    <w:tl2br w:val="nil"/>
                    <w:tr2bl w:val="nil"/>
                  </w:tcBorders>
                  <w:vAlign w:val="center"/>
                </w:tcPr>
                <w:p w14:paraId="4F03075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直接向海排放污染物的海洋工程建设项目</w:t>
                  </w:r>
                </w:p>
              </w:tc>
              <w:tc>
                <w:tcPr>
                  <w:tcW w:w="2126" w:type="dxa"/>
                  <w:tcBorders>
                    <w:tl2br w:val="nil"/>
                    <w:tr2bl w:val="nil"/>
                  </w:tcBorders>
                  <w:vAlign w:val="center"/>
                </w:tcPr>
                <w:p w14:paraId="09EC939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cs="宋体"/>
                      <w:kern w:val="0"/>
                      <w:sz w:val="21"/>
                      <w:szCs w:val="21"/>
                      <w:vertAlign w:val="baseline"/>
                      <w:lang w:val="en-US" w:eastAsia="zh-CN"/>
                    </w:rPr>
                  </w:pPr>
                  <w:r>
                    <w:rPr>
                      <w:rFonts w:hint="eastAsia" w:cs="宋体"/>
                      <w:kern w:val="0"/>
                      <w:sz w:val="21"/>
                      <w:szCs w:val="21"/>
                      <w:vertAlign w:val="baseline"/>
                      <w:lang w:val="en-US" w:eastAsia="zh-CN"/>
                    </w:rPr>
                    <w:t>不符合，本项目不向海洋排放污染物</w:t>
                  </w:r>
                </w:p>
              </w:tc>
            </w:tr>
          </w:tbl>
          <w:p w14:paraId="17114E5E">
            <w:pPr>
              <w:autoSpaceDE w:val="0"/>
              <w:autoSpaceDN w:val="0"/>
              <w:adjustRightInd w:val="0"/>
              <w:snapToGrid w:val="0"/>
              <w:jc w:val="both"/>
              <w:rPr>
                <w:rFonts w:cs="宋体"/>
                <w:kern w:val="0"/>
                <w:sz w:val="24"/>
              </w:rPr>
            </w:pPr>
            <w:r>
              <w:rPr>
                <w:rFonts w:hint="eastAsia" w:cs="宋体"/>
                <w:kern w:val="0"/>
                <w:sz w:val="24"/>
                <w:lang w:val="en-US" w:eastAsia="zh-CN"/>
              </w:rPr>
              <w:t>综上，项目需开展大气专项评价工作。</w:t>
            </w:r>
          </w:p>
        </w:tc>
      </w:tr>
      <w:tr w14:paraId="407E9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714" w:type="dxa"/>
            <w:vAlign w:val="center"/>
          </w:tcPr>
          <w:p w14:paraId="22FE0024">
            <w:pPr>
              <w:autoSpaceDE w:val="0"/>
              <w:autoSpaceDN w:val="0"/>
              <w:adjustRightInd w:val="0"/>
              <w:snapToGrid w:val="0"/>
              <w:jc w:val="center"/>
              <w:rPr>
                <w:rFonts w:cs="宋体"/>
                <w:kern w:val="0"/>
                <w:sz w:val="24"/>
              </w:rPr>
            </w:pPr>
            <w:r>
              <w:rPr>
                <w:rFonts w:hint="eastAsia" w:cs="宋体"/>
                <w:kern w:val="0"/>
                <w:sz w:val="24"/>
              </w:rPr>
              <w:t>规划情况</w:t>
            </w:r>
          </w:p>
        </w:tc>
        <w:tc>
          <w:tcPr>
            <w:tcW w:w="7156" w:type="dxa"/>
            <w:gridSpan w:val="3"/>
            <w:vAlign w:val="center"/>
          </w:tcPr>
          <w:p w14:paraId="05583914">
            <w:pPr>
              <w:autoSpaceDE w:val="0"/>
              <w:autoSpaceDN w:val="0"/>
              <w:adjustRightInd w:val="0"/>
              <w:snapToGrid w:val="0"/>
              <w:spacing w:line="360" w:lineRule="auto"/>
              <w:jc w:val="left"/>
              <w:rPr>
                <w:kern w:val="21"/>
                <w:sz w:val="24"/>
              </w:rPr>
            </w:pPr>
            <w:r>
              <w:rPr>
                <w:kern w:val="21"/>
                <w:sz w:val="24"/>
              </w:rPr>
              <w:t>文件名称：</w:t>
            </w:r>
            <w:r>
              <w:rPr>
                <w:rFonts w:hint="eastAsia"/>
                <w:kern w:val="21"/>
                <w:sz w:val="24"/>
              </w:rPr>
              <w:t>《芜湖经济技术开发区总体规划（2006-2020）》</w:t>
            </w:r>
          </w:p>
          <w:p w14:paraId="24925922">
            <w:pPr>
              <w:autoSpaceDE w:val="0"/>
              <w:autoSpaceDN w:val="0"/>
              <w:adjustRightInd w:val="0"/>
              <w:snapToGrid w:val="0"/>
              <w:spacing w:line="360" w:lineRule="auto"/>
              <w:jc w:val="left"/>
              <w:rPr>
                <w:kern w:val="21"/>
                <w:sz w:val="24"/>
              </w:rPr>
            </w:pPr>
            <w:r>
              <w:rPr>
                <w:kern w:val="21"/>
                <w:sz w:val="24"/>
              </w:rPr>
              <w:t>召集审查机关：</w:t>
            </w:r>
            <w:r>
              <w:rPr>
                <w:rFonts w:hint="eastAsia"/>
                <w:kern w:val="21"/>
                <w:sz w:val="24"/>
              </w:rPr>
              <w:t>国家发改委、国土部、建设部</w:t>
            </w:r>
          </w:p>
          <w:p w14:paraId="1D722EEB">
            <w:pPr>
              <w:autoSpaceDE w:val="0"/>
              <w:autoSpaceDN w:val="0"/>
              <w:adjustRightInd w:val="0"/>
              <w:snapToGrid w:val="0"/>
              <w:spacing w:line="360" w:lineRule="auto"/>
              <w:jc w:val="left"/>
              <w:rPr>
                <w:kern w:val="0"/>
                <w:sz w:val="24"/>
              </w:rPr>
            </w:pPr>
            <w:r>
              <w:rPr>
                <w:kern w:val="21"/>
                <w:sz w:val="24"/>
              </w:rPr>
              <w:t>审批文号：</w:t>
            </w:r>
            <w:r>
              <w:rPr>
                <w:rFonts w:hint="eastAsia"/>
                <w:kern w:val="21"/>
                <w:sz w:val="24"/>
              </w:rPr>
              <w:t>2007年第18号公告</w:t>
            </w:r>
          </w:p>
        </w:tc>
      </w:tr>
      <w:tr w14:paraId="6837B2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714" w:type="dxa"/>
            <w:vAlign w:val="center"/>
          </w:tcPr>
          <w:p w14:paraId="548E9AC5">
            <w:pPr>
              <w:autoSpaceDE w:val="0"/>
              <w:autoSpaceDN w:val="0"/>
              <w:adjustRightInd w:val="0"/>
              <w:snapToGrid w:val="0"/>
              <w:jc w:val="center"/>
              <w:rPr>
                <w:rFonts w:cs="宋体"/>
                <w:kern w:val="0"/>
                <w:sz w:val="24"/>
              </w:rPr>
            </w:pPr>
            <w:r>
              <w:rPr>
                <w:rFonts w:hint="eastAsia" w:cs="宋体"/>
                <w:kern w:val="0"/>
                <w:sz w:val="24"/>
              </w:rPr>
              <w:t>规划环境影响</w:t>
            </w:r>
          </w:p>
          <w:p w14:paraId="7DD465DB">
            <w:pPr>
              <w:autoSpaceDE w:val="0"/>
              <w:autoSpaceDN w:val="0"/>
              <w:adjustRightInd w:val="0"/>
              <w:snapToGrid w:val="0"/>
              <w:jc w:val="center"/>
              <w:rPr>
                <w:rFonts w:cs="宋体"/>
                <w:kern w:val="0"/>
                <w:sz w:val="24"/>
              </w:rPr>
            </w:pPr>
            <w:r>
              <w:rPr>
                <w:rFonts w:hint="eastAsia" w:cs="宋体"/>
                <w:kern w:val="0"/>
                <w:sz w:val="24"/>
              </w:rPr>
              <w:t>评价情况</w:t>
            </w:r>
          </w:p>
        </w:tc>
        <w:tc>
          <w:tcPr>
            <w:tcW w:w="7156" w:type="dxa"/>
            <w:gridSpan w:val="3"/>
            <w:vAlign w:val="center"/>
          </w:tcPr>
          <w:p w14:paraId="58549125">
            <w:pPr>
              <w:autoSpaceDE w:val="0"/>
              <w:autoSpaceDN w:val="0"/>
              <w:adjustRightInd w:val="0"/>
              <w:snapToGrid w:val="0"/>
              <w:spacing w:line="360" w:lineRule="auto"/>
              <w:jc w:val="left"/>
              <w:rPr>
                <w:rFonts w:ascii="宋体" w:hAnsi="宋体" w:cs="宋体"/>
                <w:kern w:val="21"/>
                <w:sz w:val="24"/>
              </w:rPr>
            </w:pPr>
            <w:r>
              <w:rPr>
                <w:rFonts w:hint="eastAsia" w:ascii="宋体" w:hAnsi="宋体" w:cs="宋体"/>
                <w:kern w:val="21"/>
                <w:sz w:val="24"/>
              </w:rPr>
              <w:t>文件名称：《芜湖经济技术开发区环境影响报告书》</w:t>
            </w:r>
          </w:p>
          <w:p w14:paraId="3F512BC2">
            <w:pPr>
              <w:autoSpaceDE w:val="0"/>
              <w:autoSpaceDN w:val="0"/>
              <w:adjustRightInd w:val="0"/>
              <w:snapToGrid w:val="0"/>
              <w:spacing w:line="360" w:lineRule="auto"/>
              <w:jc w:val="left"/>
              <w:rPr>
                <w:rFonts w:ascii="宋体" w:hAnsi="宋体" w:cs="宋体"/>
                <w:kern w:val="21"/>
                <w:sz w:val="24"/>
              </w:rPr>
            </w:pPr>
            <w:r>
              <w:rPr>
                <w:rFonts w:hint="eastAsia" w:ascii="宋体" w:hAnsi="宋体" w:cs="宋体"/>
                <w:kern w:val="21"/>
                <w:sz w:val="24"/>
              </w:rPr>
              <w:t>召集审查机关：原</w:t>
            </w:r>
            <w:r>
              <w:rPr>
                <w:rFonts w:hint="eastAsia"/>
                <w:kern w:val="21"/>
                <w:sz w:val="24"/>
              </w:rPr>
              <w:t>国家环境保护总局</w:t>
            </w:r>
          </w:p>
          <w:p w14:paraId="280879DC">
            <w:pPr>
              <w:autoSpaceDE w:val="0"/>
              <w:autoSpaceDN w:val="0"/>
              <w:adjustRightInd w:val="0"/>
              <w:snapToGrid w:val="0"/>
              <w:spacing w:line="360" w:lineRule="auto"/>
              <w:jc w:val="left"/>
              <w:rPr>
                <w:sz w:val="24"/>
              </w:rPr>
            </w:pPr>
            <w:r>
              <w:rPr>
                <w:rFonts w:hint="eastAsia" w:ascii="宋体" w:hAnsi="宋体" w:cs="宋体"/>
                <w:kern w:val="21"/>
                <w:sz w:val="24"/>
              </w:rPr>
              <w:t>审查意见文号：</w:t>
            </w:r>
            <w:r>
              <w:rPr>
                <w:rFonts w:hint="eastAsia"/>
                <w:kern w:val="21"/>
                <w:sz w:val="24"/>
              </w:rPr>
              <w:t>环审[2003]30号</w:t>
            </w:r>
          </w:p>
        </w:tc>
      </w:tr>
      <w:tr w14:paraId="2A3EB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1" w:hRule="atLeast"/>
          <w:jc w:val="center"/>
        </w:trPr>
        <w:tc>
          <w:tcPr>
            <w:tcW w:w="1714" w:type="dxa"/>
            <w:vAlign w:val="center"/>
          </w:tcPr>
          <w:p w14:paraId="3BBD5BF3">
            <w:pPr>
              <w:autoSpaceDE w:val="0"/>
              <w:autoSpaceDN w:val="0"/>
              <w:adjustRightInd w:val="0"/>
              <w:snapToGrid w:val="0"/>
              <w:jc w:val="center"/>
              <w:rPr>
                <w:rFonts w:cs="宋体"/>
                <w:kern w:val="0"/>
                <w:sz w:val="24"/>
              </w:rPr>
            </w:pPr>
            <w:r>
              <w:rPr>
                <w:rFonts w:hint="eastAsia" w:cs="宋体"/>
                <w:kern w:val="0"/>
                <w:sz w:val="24"/>
              </w:rPr>
              <w:t>规划及规划环境影响评价符合性分析</w:t>
            </w:r>
          </w:p>
        </w:tc>
        <w:tc>
          <w:tcPr>
            <w:tcW w:w="7156" w:type="dxa"/>
            <w:gridSpan w:val="3"/>
            <w:vAlign w:val="center"/>
          </w:tcPr>
          <w:p w14:paraId="6A7D3CEF">
            <w:pPr>
              <w:spacing w:line="360" w:lineRule="auto"/>
              <w:ind w:firstLine="540" w:firstLineChars="224"/>
              <w:rPr>
                <w:b/>
                <w:sz w:val="24"/>
              </w:rPr>
            </w:pPr>
            <w:r>
              <w:rPr>
                <w:rFonts w:hint="eastAsia"/>
                <w:b/>
                <w:sz w:val="24"/>
              </w:rPr>
              <w:t>1、</w:t>
            </w:r>
            <w:r>
              <w:rPr>
                <w:b/>
                <w:bCs/>
                <w:sz w:val="24"/>
              </w:rPr>
              <w:t>与</w:t>
            </w:r>
            <w:r>
              <w:rPr>
                <w:rFonts w:hint="eastAsia"/>
                <w:b/>
                <w:bCs/>
                <w:sz w:val="24"/>
              </w:rPr>
              <w:t>规划符合</w:t>
            </w:r>
            <w:r>
              <w:rPr>
                <w:b/>
                <w:sz w:val="24"/>
              </w:rPr>
              <w:t>性分析</w:t>
            </w:r>
          </w:p>
          <w:p w14:paraId="76289370">
            <w:pPr>
              <w:spacing w:line="360" w:lineRule="auto"/>
              <w:ind w:firstLine="480" w:firstLineChars="200"/>
              <w:jc w:val="left"/>
              <w:rPr>
                <w:rFonts w:hint="eastAsia" w:ascii="宋体" w:hAnsi="宋体" w:cs="宋体"/>
                <w:color w:val="auto"/>
                <w:sz w:val="24"/>
              </w:rPr>
            </w:pPr>
            <w:r>
              <w:rPr>
                <w:rFonts w:hint="default" w:ascii="Times New Roman" w:hAnsi="Times New Roman" w:cs="Times New Roman"/>
                <w:color w:val="auto"/>
                <w:sz w:val="24"/>
              </w:rPr>
              <w:t>1、根据《芜湖经济技术开发区总体规划（2006—2020年）》，规划范围为芜湖经济技术开发区整个行政区域。规划总面积73.28km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，包含芜湖市桥北工业区的6km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在内。规划范围南自齐落山路和港一路，北至市域界限，西倚长</w:t>
            </w:r>
            <w:r>
              <w:rPr>
                <w:rFonts w:hint="eastAsia" w:ascii="宋体" w:hAnsi="宋体" w:cs="宋体"/>
                <w:color w:val="auto"/>
                <w:sz w:val="24"/>
              </w:rPr>
              <w:t>江岸线，东抵九华北路和市界。规划主导行业为“汽车及其零部件制造、电子电器、新型材料”。</w:t>
            </w:r>
          </w:p>
          <w:p w14:paraId="76BD9F18">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现今芜湖经开区已形成汽车及零部件、家用电器、新材料三大支柱产业，正大力培育光电信息显示、高端装备等战略性新兴产业和现代生产性服务业。</w:t>
            </w:r>
          </w:p>
          <w:p w14:paraId="519B3284">
            <w:pPr>
              <w:spacing w:line="360" w:lineRule="auto"/>
              <w:ind w:firstLine="480" w:firstLineChars="200"/>
              <w:jc w:val="left"/>
              <w:rPr>
                <w:rFonts w:hint="eastAsia" w:ascii="宋体" w:hAnsi="宋体" w:cs="宋体"/>
                <w:color w:val="auto"/>
                <w:sz w:val="24"/>
                <w:lang w:val="en-US" w:eastAsia="zh-CN"/>
              </w:rPr>
            </w:pPr>
            <w:r>
              <w:rPr>
                <w:rFonts w:hint="eastAsia" w:ascii="宋体" w:hAnsi="宋体" w:cs="宋体"/>
                <w:color w:val="auto"/>
                <w:sz w:val="24"/>
              </w:rPr>
              <w:t>根据芜湖市经济技术开发区总体规划用地布局，项目地块为工业用地；符合芜湖市经济技术开发区总体规划。芜湖易昌科技有限公司主要从事塑料零件及其他塑料制品制造，</w:t>
            </w:r>
            <w:r>
              <w:rPr>
                <w:rFonts w:hint="eastAsia" w:ascii="宋体" w:hAnsi="宋体" w:cs="宋体"/>
                <w:color w:val="auto"/>
                <w:sz w:val="24"/>
                <w:lang w:val="en-US" w:eastAsia="zh-CN"/>
              </w:rPr>
              <w:t>不属于开发区禁止、限制类产业，符合开发区总体规划。</w:t>
            </w:r>
          </w:p>
          <w:p w14:paraId="2C333854">
            <w:pPr>
              <w:spacing w:line="360" w:lineRule="auto"/>
              <w:ind w:firstLine="540" w:firstLineChars="224"/>
              <w:rPr>
                <w:b/>
                <w:sz w:val="24"/>
              </w:rPr>
            </w:pPr>
            <w:r>
              <w:rPr>
                <w:rFonts w:hint="eastAsia"/>
                <w:b/>
                <w:sz w:val="24"/>
              </w:rPr>
              <w:t>2、与规划环评及其审查意见相符性分析</w:t>
            </w:r>
          </w:p>
          <w:p w14:paraId="4404B985">
            <w:pPr>
              <w:spacing w:line="360" w:lineRule="auto"/>
              <w:ind w:firstLine="537" w:firstLineChars="224"/>
              <w:rPr>
                <w:sz w:val="24"/>
              </w:rPr>
            </w:pPr>
            <w:r>
              <w:rPr>
                <w:rFonts w:hint="eastAsia"/>
                <w:sz w:val="24"/>
              </w:rPr>
              <w:t>本项目与《芜湖经济技术开发区环境影响报告书》审查意见相符性分析见下表。</w:t>
            </w:r>
          </w:p>
          <w:p w14:paraId="044DF657">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cs="Arial"/>
                <w:b/>
                <w:kern w:val="0"/>
                <w:sz w:val="24"/>
              </w:rPr>
            </w:pPr>
            <w:r>
              <w:rPr>
                <w:rFonts w:cs="Arial"/>
                <w:b/>
                <w:kern w:val="0"/>
                <w:sz w:val="24"/>
              </w:rPr>
              <w:t>表1-</w:t>
            </w:r>
            <w:r>
              <w:rPr>
                <w:rFonts w:hint="eastAsia" w:cs="Arial"/>
                <w:b/>
                <w:kern w:val="0"/>
                <w:sz w:val="24"/>
                <w:lang w:val="en-US" w:eastAsia="zh-CN"/>
              </w:rPr>
              <w:t>2</w:t>
            </w:r>
            <w:r>
              <w:rPr>
                <w:rFonts w:hint="eastAsia" w:cs="Arial"/>
                <w:b/>
                <w:kern w:val="0"/>
                <w:sz w:val="24"/>
              </w:rPr>
              <w:t xml:space="preserve"> </w:t>
            </w:r>
            <w:r>
              <w:rPr>
                <w:rFonts w:cs="Arial"/>
                <w:b/>
                <w:kern w:val="0"/>
                <w:sz w:val="24"/>
              </w:rPr>
              <w:t xml:space="preserve"> </w:t>
            </w:r>
            <w:r>
              <w:rPr>
                <w:rFonts w:hint="eastAsia" w:cs="Arial"/>
                <w:b/>
                <w:kern w:val="0"/>
                <w:sz w:val="24"/>
              </w:rPr>
              <w:t>本</w:t>
            </w:r>
            <w:r>
              <w:rPr>
                <w:rFonts w:cs="Arial"/>
                <w:b/>
                <w:kern w:val="0"/>
                <w:sz w:val="24"/>
              </w:rPr>
              <w:t>项目与</w:t>
            </w:r>
            <w:r>
              <w:rPr>
                <w:rFonts w:hint="eastAsia"/>
                <w:b/>
                <w:sz w:val="24"/>
              </w:rPr>
              <w:t>芜湖经济技术开发区</w:t>
            </w:r>
            <w:r>
              <w:rPr>
                <w:rFonts w:cs="Arial"/>
                <w:b/>
                <w:kern w:val="0"/>
                <w:sz w:val="24"/>
              </w:rPr>
              <w:t>规划环评及审查意见相符性分析一览表</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3"/>
              <w:gridCol w:w="4099"/>
              <w:gridCol w:w="1722"/>
              <w:gridCol w:w="662"/>
            </w:tblGrid>
            <w:tr w14:paraId="1C4EEA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3DF024F9">
                  <w:pPr>
                    <w:adjustRightInd w:val="0"/>
                    <w:jc w:val="center"/>
                    <w:rPr>
                      <w:b/>
                      <w:szCs w:val="21"/>
                      <w:lang w:val="zh-CN"/>
                    </w:rPr>
                  </w:pPr>
                  <w:r>
                    <w:rPr>
                      <w:b/>
                      <w:szCs w:val="21"/>
                      <w:lang w:val="zh-CN"/>
                    </w:rPr>
                    <w:t>序号</w:t>
                  </w:r>
                </w:p>
              </w:tc>
              <w:tc>
                <w:tcPr>
                  <w:tcW w:w="2955" w:type="pct"/>
                  <w:tcBorders>
                    <w:tl2br w:val="nil"/>
                    <w:tr2bl w:val="nil"/>
                  </w:tcBorders>
                  <w:vAlign w:val="center"/>
                </w:tcPr>
                <w:p w14:paraId="40C7353B">
                  <w:pPr>
                    <w:tabs>
                      <w:tab w:val="left" w:pos="1029"/>
                    </w:tabs>
                    <w:adjustRightInd w:val="0"/>
                    <w:jc w:val="center"/>
                    <w:rPr>
                      <w:b/>
                      <w:szCs w:val="21"/>
                      <w:lang w:val="zh-CN"/>
                    </w:rPr>
                  </w:pPr>
                  <w:r>
                    <w:rPr>
                      <w:b/>
                      <w:kern w:val="0"/>
                      <w:szCs w:val="21"/>
                    </w:rPr>
                    <w:t>规划环评及审查意见内容</w:t>
                  </w:r>
                </w:p>
              </w:tc>
              <w:tc>
                <w:tcPr>
                  <w:tcW w:w="1241" w:type="pct"/>
                  <w:tcBorders>
                    <w:tl2br w:val="nil"/>
                    <w:tr2bl w:val="nil"/>
                  </w:tcBorders>
                  <w:vAlign w:val="center"/>
                </w:tcPr>
                <w:p w14:paraId="3551EAEE">
                  <w:pPr>
                    <w:adjustRightInd w:val="0"/>
                    <w:jc w:val="center"/>
                    <w:rPr>
                      <w:b/>
                      <w:szCs w:val="21"/>
                      <w:lang w:val="zh-CN"/>
                    </w:rPr>
                  </w:pPr>
                  <w:r>
                    <w:rPr>
                      <w:b/>
                      <w:kern w:val="0"/>
                      <w:szCs w:val="21"/>
                    </w:rPr>
                    <w:t>本项目建设内容</w:t>
                  </w:r>
                </w:p>
              </w:tc>
              <w:tc>
                <w:tcPr>
                  <w:tcW w:w="477" w:type="pct"/>
                  <w:tcBorders>
                    <w:tl2br w:val="nil"/>
                    <w:tr2bl w:val="nil"/>
                  </w:tcBorders>
                  <w:vAlign w:val="center"/>
                </w:tcPr>
                <w:p w14:paraId="22AE85C7">
                  <w:pPr>
                    <w:adjustRightInd w:val="0"/>
                    <w:jc w:val="center"/>
                    <w:rPr>
                      <w:b/>
                      <w:szCs w:val="21"/>
                      <w:lang w:val="zh-CN"/>
                    </w:rPr>
                  </w:pPr>
                  <w:r>
                    <w:rPr>
                      <w:b/>
                      <w:szCs w:val="21"/>
                      <w:lang w:val="zh-CN"/>
                    </w:rPr>
                    <w:t>相符性</w:t>
                  </w:r>
                </w:p>
              </w:tc>
            </w:tr>
            <w:tr w14:paraId="206C7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1A88F319">
                  <w:pPr>
                    <w:adjustRightInd w:val="0"/>
                    <w:jc w:val="center"/>
                    <w:rPr>
                      <w:szCs w:val="21"/>
                      <w:lang w:val="zh-CN"/>
                    </w:rPr>
                  </w:pPr>
                  <w:r>
                    <w:rPr>
                      <w:szCs w:val="21"/>
                      <w:lang w:val="zh-CN"/>
                    </w:rPr>
                    <w:t>1</w:t>
                  </w:r>
                </w:p>
              </w:tc>
              <w:tc>
                <w:tcPr>
                  <w:tcW w:w="2955" w:type="pct"/>
                  <w:tcBorders>
                    <w:tl2br w:val="nil"/>
                    <w:tr2bl w:val="nil"/>
                  </w:tcBorders>
                  <w:vAlign w:val="center"/>
                </w:tcPr>
                <w:p w14:paraId="12E2D1B0">
                  <w:pPr>
                    <w:adjustRightInd w:val="0"/>
                    <w:jc w:val="center"/>
                    <w:rPr>
                      <w:szCs w:val="21"/>
                      <w:lang w:val="zh-CN"/>
                    </w:rPr>
                  </w:pPr>
                  <w:r>
                    <w:rPr>
                      <w:szCs w:val="21"/>
                      <w:lang w:val="zh-CN"/>
                    </w:rPr>
                    <w:t>按照循环经济的思想和清洁生产的要求，树立从源头控制环境污染和生态破坏的理念。根据开发区功能布局，引导和控制产业发展，做好入区建设项目的污染防治和污染物排放总量控制，促进开发区的可持续发展。</w:t>
                  </w:r>
                </w:p>
              </w:tc>
              <w:tc>
                <w:tcPr>
                  <w:tcW w:w="1241" w:type="pct"/>
                  <w:tcBorders>
                    <w:tl2br w:val="nil"/>
                    <w:tr2bl w:val="nil"/>
                  </w:tcBorders>
                  <w:vAlign w:val="center"/>
                </w:tcPr>
                <w:p w14:paraId="22930AFB">
                  <w:pPr>
                    <w:adjustRightInd w:val="0"/>
                    <w:jc w:val="center"/>
                    <w:rPr>
                      <w:szCs w:val="21"/>
                      <w:lang w:val="zh-CN"/>
                    </w:rPr>
                  </w:pPr>
                  <w:r>
                    <w:rPr>
                      <w:rFonts w:hint="eastAsia"/>
                      <w:szCs w:val="21"/>
                      <w:lang w:val="zh-CN"/>
                    </w:rPr>
                    <w:t>本项目废气、废水、噪声在采取相应的污染防治措施后，均可达标排放。</w:t>
                  </w:r>
                </w:p>
              </w:tc>
              <w:tc>
                <w:tcPr>
                  <w:tcW w:w="477" w:type="pct"/>
                  <w:tcBorders>
                    <w:tl2br w:val="nil"/>
                    <w:tr2bl w:val="nil"/>
                  </w:tcBorders>
                  <w:vAlign w:val="center"/>
                </w:tcPr>
                <w:p w14:paraId="7E1901F1">
                  <w:pPr>
                    <w:adjustRightInd w:val="0"/>
                    <w:jc w:val="center"/>
                    <w:rPr>
                      <w:bCs/>
                      <w:szCs w:val="21"/>
                      <w:lang w:val="zh-CN"/>
                    </w:rPr>
                  </w:pPr>
                  <w:r>
                    <w:rPr>
                      <w:bCs/>
                      <w:szCs w:val="21"/>
                      <w:lang w:val="zh-CN"/>
                    </w:rPr>
                    <w:t>符合</w:t>
                  </w:r>
                </w:p>
              </w:tc>
            </w:tr>
            <w:tr w14:paraId="7D90A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7BC53A68">
                  <w:pPr>
                    <w:autoSpaceDE w:val="0"/>
                    <w:autoSpaceDN w:val="0"/>
                    <w:adjustRightInd w:val="0"/>
                    <w:jc w:val="center"/>
                    <w:rPr>
                      <w:szCs w:val="21"/>
                      <w:lang w:val="zh-CN"/>
                    </w:rPr>
                  </w:pPr>
                  <w:r>
                    <w:rPr>
                      <w:szCs w:val="21"/>
                      <w:lang w:val="zh-CN"/>
                    </w:rPr>
                    <w:t>2</w:t>
                  </w:r>
                </w:p>
              </w:tc>
              <w:tc>
                <w:tcPr>
                  <w:tcW w:w="2955" w:type="pct"/>
                  <w:tcBorders>
                    <w:tl2br w:val="nil"/>
                    <w:tr2bl w:val="nil"/>
                  </w:tcBorders>
                  <w:vAlign w:val="center"/>
                </w:tcPr>
                <w:p w14:paraId="585EAA01">
                  <w:pPr>
                    <w:adjustRightInd w:val="0"/>
                    <w:jc w:val="center"/>
                    <w:rPr>
                      <w:color w:val="auto"/>
                      <w:szCs w:val="21"/>
                      <w:lang w:val="zh-CN"/>
                    </w:rPr>
                  </w:pPr>
                  <w:r>
                    <w:rPr>
                      <w:color w:val="auto"/>
                      <w:kern w:val="0"/>
                      <w:szCs w:val="21"/>
                    </w:rPr>
                    <w:t>同意建设南、北两个污水处理，污水处理厂采取二级生化处工艺，设计规模分别为13万吨/日和10万吨/日。污水排放口应离长江岸100米。应抓紧污水处理厂和配套管网的建设，污水处理工艺应考虑脱氮除磷的要求。开发区实行清污分流、雨污分流。加强污水处理厂进水水质的监控，高浓度废水应经预处理达到接管标准后排入开发区污水处理厂。结合北部工业区发展需要，考虑建立污水处理中水回用系统。</w:t>
                  </w:r>
                </w:p>
              </w:tc>
              <w:tc>
                <w:tcPr>
                  <w:tcW w:w="1241" w:type="pct"/>
                  <w:tcBorders>
                    <w:tl2br w:val="nil"/>
                    <w:tr2bl w:val="nil"/>
                  </w:tcBorders>
                  <w:vAlign w:val="center"/>
                </w:tcPr>
                <w:p w14:paraId="42ACDCE0">
                  <w:pPr>
                    <w:adjustRightInd w:val="0"/>
                    <w:jc w:val="center"/>
                    <w:rPr>
                      <w:color w:val="auto"/>
                      <w:szCs w:val="21"/>
                      <w:lang w:val="zh-CN"/>
                    </w:rPr>
                  </w:pPr>
                  <w:r>
                    <w:rPr>
                      <w:rFonts w:hint="eastAsia"/>
                      <w:color w:val="auto"/>
                      <w:szCs w:val="21"/>
                    </w:rPr>
                    <w:t>本项目</w:t>
                  </w:r>
                  <w:r>
                    <w:rPr>
                      <w:color w:val="auto"/>
                      <w:szCs w:val="21"/>
                    </w:rPr>
                    <w:t>无生产废水，生活污水经</w:t>
                  </w:r>
                  <w:r>
                    <w:rPr>
                      <w:rFonts w:hint="eastAsia"/>
                      <w:color w:val="auto"/>
                      <w:szCs w:val="21"/>
                    </w:rPr>
                    <w:t>化粪池处理后排入市政污水管网进入天门山污水处理厂进一步处理。</w:t>
                  </w:r>
                </w:p>
              </w:tc>
              <w:tc>
                <w:tcPr>
                  <w:tcW w:w="477" w:type="pct"/>
                  <w:tcBorders>
                    <w:tl2br w:val="nil"/>
                    <w:tr2bl w:val="nil"/>
                  </w:tcBorders>
                  <w:vAlign w:val="center"/>
                </w:tcPr>
                <w:p w14:paraId="7CA26885">
                  <w:pPr>
                    <w:adjustRightInd w:val="0"/>
                    <w:jc w:val="center"/>
                    <w:rPr>
                      <w:bCs/>
                      <w:szCs w:val="21"/>
                      <w:lang w:val="zh-CN"/>
                    </w:rPr>
                  </w:pPr>
                  <w:r>
                    <w:rPr>
                      <w:bCs/>
                      <w:szCs w:val="21"/>
                      <w:lang w:val="zh-CN"/>
                    </w:rPr>
                    <w:t>符合</w:t>
                  </w:r>
                </w:p>
              </w:tc>
            </w:tr>
            <w:tr w14:paraId="7BC3C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32412EE0">
                  <w:pPr>
                    <w:adjustRightInd w:val="0"/>
                    <w:jc w:val="center"/>
                    <w:rPr>
                      <w:szCs w:val="21"/>
                      <w:lang w:val="zh-CN"/>
                    </w:rPr>
                  </w:pPr>
                  <w:r>
                    <w:rPr>
                      <w:szCs w:val="21"/>
                      <w:lang w:val="zh-CN"/>
                    </w:rPr>
                    <w:t>3</w:t>
                  </w:r>
                </w:p>
              </w:tc>
              <w:tc>
                <w:tcPr>
                  <w:tcW w:w="2955" w:type="pct"/>
                  <w:tcBorders>
                    <w:tl2br w:val="nil"/>
                    <w:tr2bl w:val="nil"/>
                  </w:tcBorders>
                  <w:vAlign w:val="center"/>
                </w:tcPr>
                <w:p w14:paraId="09B02676">
                  <w:pPr>
                    <w:autoSpaceDE w:val="0"/>
                    <w:autoSpaceDN w:val="0"/>
                    <w:adjustRightInd w:val="0"/>
                    <w:jc w:val="center"/>
                    <w:rPr>
                      <w:szCs w:val="21"/>
                      <w:lang w:val="zh-CN"/>
                    </w:rPr>
                  </w:pPr>
                  <w:r>
                    <w:rPr>
                      <w:kern w:val="0"/>
                      <w:szCs w:val="21"/>
                    </w:rPr>
                    <w:t>尽早实施开发区集中供热，逐步消除分散的中、低架大气污染源。推行使用清洁能源，调整开发区的能源结构。入区建设项目应采取清洁生产工艺，所有工艺废气必须达标排放。新建项目必须符合报告书提出的开发区大气污染物排放总量限值。通过区域大气污染物总量控制、能源结构调整等措，实现开发区大气环境质量目标。</w:t>
                  </w:r>
                </w:p>
              </w:tc>
              <w:tc>
                <w:tcPr>
                  <w:tcW w:w="1241" w:type="pct"/>
                  <w:tcBorders>
                    <w:tl2br w:val="nil"/>
                    <w:tr2bl w:val="nil"/>
                  </w:tcBorders>
                  <w:vAlign w:val="center"/>
                </w:tcPr>
                <w:p w14:paraId="45C04399">
                  <w:pPr>
                    <w:adjustRightInd w:val="0"/>
                    <w:jc w:val="center"/>
                    <w:rPr>
                      <w:szCs w:val="21"/>
                      <w:lang w:val="zh-CN"/>
                    </w:rPr>
                  </w:pPr>
                  <w:r>
                    <w:rPr>
                      <w:rFonts w:hint="eastAsia"/>
                      <w:kern w:val="0"/>
                      <w:szCs w:val="21"/>
                    </w:rPr>
                    <w:t>本项目采取先进生产工艺，生产废气处理后均可达标排放。</w:t>
                  </w:r>
                </w:p>
              </w:tc>
              <w:tc>
                <w:tcPr>
                  <w:tcW w:w="477" w:type="pct"/>
                  <w:tcBorders>
                    <w:tl2br w:val="nil"/>
                    <w:tr2bl w:val="nil"/>
                  </w:tcBorders>
                  <w:vAlign w:val="center"/>
                </w:tcPr>
                <w:p w14:paraId="7BEE3067">
                  <w:pPr>
                    <w:adjustRightInd w:val="0"/>
                    <w:jc w:val="center"/>
                    <w:rPr>
                      <w:bCs/>
                      <w:szCs w:val="21"/>
                      <w:lang w:val="zh-CN"/>
                    </w:rPr>
                  </w:pPr>
                  <w:r>
                    <w:rPr>
                      <w:bCs/>
                      <w:szCs w:val="21"/>
                      <w:lang w:val="zh-CN"/>
                    </w:rPr>
                    <w:t>符合</w:t>
                  </w:r>
                </w:p>
              </w:tc>
            </w:tr>
            <w:tr w14:paraId="10E9E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20D77195">
                  <w:pPr>
                    <w:autoSpaceDE w:val="0"/>
                    <w:autoSpaceDN w:val="0"/>
                    <w:adjustRightInd w:val="0"/>
                    <w:jc w:val="center"/>
                    <w:rPr>
                      <w:kern w:val="0"/>
                      <w:szCs w:val="21"/>
                    </w:rPr>
                  </w:pPr>
                  <w:r>
                    <w:rPr>
                      <w:kern w:val="0"/>
                      <w:szCs w:val="21"/>
                    </w:rPr>
                    <w:t>4</w:t>
                  </w:r>
                </w:p>
              </w:tc>
              <w:tc>
                <w:tcPr>
                  <w:tcW w:w="2955" w:type="pct"/>
                  <w:tcBorders>
                    <w:tl2br w:val="nil"/>
                    <w:tr2bl w:val="nil"/>
                  </w:tcBorders>
                  <w:vAlign w:val="center"/>
                </w:tcPr>
                <w:p w14:paraId="042D2432">
                  <w:pPr>
                    <w:autoSpaceDE w:val="0"/>
                    <w:autoSpaceDN w:val="0"/>
                    <w:adjustRightInd w:val="0"/>
                    <w:jc w:val="center"/>
                    <w:rPr>
                      <w:kern w:val="0"/>
                      <w:szCs w:val="21"/>
                    </w:rPr>
                  </w:pPr>
                  <w:r>
                    <w:rPr>
                      <w:kern w:val="0"/>
                      <w:szCs w:val="21"/>
                    </w:rPr>
                    <w:t>按照减量化、资源化、无害化原则妥善处理、处置开发区各种固体废物。生活垃圾必须做到无害化处理，处理方式可以结合芜湖市城市生活垃圾处理规划确定，开发区内不宜建设生活垃圾填埋场。应按国家有关规定落实开发区危险废物和一般工业固体废物的统一处理、处置途径。</w:t>
                  </w:r>
                </w:p>
              </w:tc>
              <w:tc>
                <w:tcPr>
                  <w:tcW w:w="1241" w:type="pct"/>
                  <w:tcBorders>
                    <w:tl2br w:val="nil"/>
                    <w:tr2bl w:val="nil"/>
                  </w:tcBorders>
                  <w:vAlign w:val="center"/>
                </w:tcPr>
                <w:p w14:paraId="52D23514">
                  <w:pPr>
                    <w:adjustRightInd w:val="0"/>
                    <w:jc w:val="center"/>
                    <w:rPr>
                      <w:kern w:val="0"/>
                      <w:szCs w:val="21"/>
                    </w:rPr>
                  </w:pPr>
                  <w:r>
                    <w:rPr>
                      <w:rFonts w:hint="eastAsia"/>
                      <w:kern w:val="0"/>
                      <w:szCs w:val="21"/>
                    </w:rPr>
                    <w:t>本项目一般固废和危险废物均</w:t>
                  </w:r>
                  <w:r>
                    <w:rPr>
                      <w:kern w:val="0"/>
                      <w:szCs w:val="21"/>
                    </w:rPr>
                    <w:t>得到合理处置</w:t>
                  </w:r>
                  <w:r>
                    <w:rPr>
                      <w:rFonts w:hint="eastAsia"/>
                      <w:kern w:val="0"/>
                      <w:szCs w:val="21"/>
                    </w:rPr>
                    <w:t>。</w:t>
                  </w:r>
                </w:p>
              </w:tc>
              <w:tc>
                <w:tcPr>
                  <w:tcW w:w="477" w:type="pct"/>
                  <w:tcBorders>
                    <w:tl2br w:val="nil"/>
                    <w:tr2bl w:val="nil"/>
                  </w:tcBorders>
                  <w:vAlign w:val="center"/>
                </w:tcPr>
                <w:p w14:paraId="654B32D4">
                  <w:pPr>
                    <w:adjustRightInd w:val="0"/>
                    <w:jc w:val="center"/>
                    <w:rPr>
                      <w:bCs/>
                      <w:szCs w:val="21"/>
                    </w:rPr>
                  </w:pPr>
                  <w:r>
                    <w:rPr>
                      <w:bCs/>
                      <w:szCs w:val="21"/>
                    </w:rPr>
                    <w:t>符合</w:t>
                  </w:r>
                </w:p>
              </w:tc>
            </w:tr>
            <w:tr w14:paraId="2EB20B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vAlign w:val="center"/>
                </w:tcPr>
                <w:p w14:paraId="77FB7AFD">
                  <w:pPr>
                    <w:autoSpaceDE w:val="0"/>
                    <w:autoSpaceDN w:val="0"/>
                    <w:adjustRightInd w:val="0"/>
                    <w:jc w:val="center"/>
                    <w:rPr>
                      <w:kern w:val="0"/>
                      <w:szCs w:val="21"/>
                    </w:rPr>
                  </w:pPr>
                  <w:r>
                    <w:rPr>
                      <w:kern w:val="0"/>
                      <w:szCs w:val="21"/>
                    </w:rPr>
                    <w:t>5</w:t>
                  </w:r>
                </w:p>
              </w:tc>
              <w:tc>
                <w:tcPr>
                  <w:tcW w:w="2955" w:type="pct"/>
                  <w:tcBorders>
                    <w:tl2br w:val="nil"/>
                    <w:tr2bl w:val="nil"/>
                  </w:tcBorders>
                  <w:vAlign w:val="center"/>
                </w:tcPr>
                <w:p w14:paraId="05AA390B">
                  <w:pPr>
                    <w:autoSpaceDE w:val="0"/>
                    <w:autoSpaceDN w:val="0"/>
                    <w:adjustRightInd w:val="0"/>
                    <w:jc w:val="center"/>
                    <w:rPr>
                      <w:kern w:val="0"/>
                      <w:szCs w:val="21"/>
                    </w:rPr>
                  </w:pPr>
                  <w:r>
                    <w:rPr>
                      <w:kern w:val="0"/>
                      <w:szCs w:val="21"/>
                    </w:rPr>
                    <w:t>对符合开发区总体规划要求的入区建设项目，可以简化单项工程的环境影响评价工作，具体的简化方式和内容由有审批权的环境保护行政主管部门确定</w:t>
                  </w:r>
                  <w:r>
                    <w:rPr>
                      <w:rFonts w:hint="eastAsia"/>
                      <w:kern w:val="0"/>
                      <w:szCs w:val="21"/>
                    </w:rPr>
                    <w:t>。</w:t>
                  </w:r>
                </w:p>
              </w:tc>
              <w:tc>
                <w:tcPr>
                  <w:tcW w:w="1241" w:type="pct"/>
                  <w:tcBorders>
                    <w:tl2br w:val="nil"/>
                    <w:tr2bl w:val="nil"/>
                  </w:tcBorders>
                  <w:vAlign w:val="center"/>
                </w:tcPr>
                <w:p w14:paraId="6E5B1BA8">
                  <w:pPr>
                    <w:widowControl/>
                    <w:jc w:val="center"/>
                    <w:rPr>
                      <w:kern w:val="0"/>
                      <w:szCs w:val="21"/>
                    </w:rPr>
                  </w:pPr>
                  <w:r>
                    <w:rPr>
                      <w:rFonts w:hint="eastAsia"/>
                      <w:spacing w:val="1"/>
                      <w:szCs w:val="21"/>
                    </w:rPr>
                    <w:t>本项目符合开发区总体规划。</w:t>
                  </w:r>
                </w:p>
              </w:tc>
              <w:tc>
                <w:tcPr>
                  <w:tcW w:w="477" w:type="pct"/>
                  <w:tcBorders>
                    <w:tl2br w:val="nil"/>
                    <w:tr2bl w:val="nil"/>
                  </w:tcBorders>
                  <w:vAlign w:val="center"/>
                </w:tcPr>
                <w:p w14:paraId="3840F2DE">
                  <w:pPr>
                    <w:adjustRightInd w:val="0"/>
                    <w:jc w:val="center"/>
                    <w:rPr>
                      <w:bCs/>
                      <w:szCs w:val="21"/>
                    </w:rPr>
                  </w:pPr>
                  <w:r>
                    <w:rPr>
                      <w:bCs/>
                      <w:szCs w:val="21"/>
                    </w:rPr>
                    <w:t>符合</w:t>
                  </w:r>
                </w:p>
              </w:tc>
            </w:tr>
          </w:tbl>
          <w:p w14:paraId="7EAB7E86">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ind w:firstLine="482" w:firstLineChars="200"/>
              <w:jc w:val="left"/>
              <w:textAlignment w:val="auto"/>
            </w:pPr>
            <w:r>
              <w:rPr>
                <w:rFonts w:hint="default" w:ascii="Times New Roman" w:hAnsi="Times New Roman" w:eastAsia="宋体" w:cs="Times New Roman"/>
                <w:b/>
                <w:bCs/>
                <w:color w:val="000000"/>
                <w:kern w:val="0"/>
                <w:sz w:val="24"/>
                <w:szCs w:val="24"/>
                <w:lang w:val="en-US" w:eastAsia="zh-CN" w:bidi="ar"/>
              </w:rPr>
              <w:t>4</w:t>
            </w:r>
            <w:r>
              <w:rPr>
                <w:rFonts w:hint="eastAsia" w:ascii="宋体" w:hAnsi="宋体" w:eastAsia="宋体" w:cs="宋体"/>
                <w:b/>
                <w:bCs/>
                <w:color w:val="000000"/>
                <w:kern w:val="0"/>
                <w:sz w:val="24"/>
                <w:szCs w:val="24"/>
                <w:lang w:val="en-US" w:eastAsia="zh-CN" w:bidi="ar"/>
              </w:rPr>
              <w:t xml:space="preserve">、与规划环评跟踪评价报告书及审查意见相符性分析 </w:t>
            </w:r>
          </w:p>
          <w:p w14:paraId="12B5754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cs="Times New Roman"/>
                <w:sz w:val="24"/>
                <w:lang w:eastAsia="zh-CN"/>
              </w:rPr>
            </w:pPr>
            <w:r>
              <w:rPr>
                <w:rFonts w:hint="eastAsia" w:cs="Times New Roman"/>
                <w:sz w:val="24"/>
                <w:lang w:val="en-US" w:eastAsia="zh-CN"/>
              </w:rPr>
              <w:t>根据《中华人民共和国环境影响评价法》、环保部办公厅《关于开展长江经济带产业园区环境影响跟踪评价工作的通知》</w:t>
            </w:r>
            <w:r>
              <w:rPr>
                <w:rFonts w:hint="default" w:cs="Times New Roman"/>
                <w:sz w:val="24"/>
                <w:lang w:val="en-US" w:eastAsia="zh-CN"/>
              </w:rPr>
              <w:t>(</w:t>
            </w:r>
            <w:r>
              <w:rPr>
                <w:rFonts w:hint="eastAsia" w:cs="Times New Roman"/>
                <w:sz w:val="24"/>
                <w:lang w:val="en-US" w:eastAsia="zh-CN"/>
              </w:rPr>
              <w:t>环办环评函</w:t>
            </w:r>
            <w:r>
              <w:rPr>
                <w:rFonts w:hint="default" w:cs="Times New Roman"/>
                <w:sz w:val="24"/>
                <w:lang w:val="en-US" w:eastAsia="zh-CN"/>
              </w:rPr>
              <w:t>[2017]1673</w:t>
            </w:r>
            <w:r>
              <w:rPr>
                <w:rFonts w:hint="eastAsia" w:cs="Times New Roman"/>
                <w:sz w:val="24"/>
                <w:lang w:val="en-US" w:eastAsia="zh-CN"/>
              </w:rPr>
              <w:t>号</w:t>
            </w:r>
            <w:r>
              <w:rPr>
                <w:rFonts w:hint="default" w:cs="Times New Roman"/>
                <w:sz w:val="24"/>
                <w:lang w:val="en-US" w:eastAsia="zh-CN"/>
              </w:rPr>
              <w:t>)</w:t>
            </w:r>
            <w:r>
              <w:rPr>
                <w:rFonts w:hint="eastAsia" w:cs="Times New Roman"/>
                <w:sz w:val="24"/>
                <w:lang w:val="en-US" w:eastAsia="zh-CN"/>
              </w:rPr>
              <w:t>，芜湖经济技术开发区管委会委托南京国环科技股份有限公司对芜湖经济技术开发区（含综合保税区）进行环境影响跟踪评价，编制了《芜湖经济技术开发区（含综合保税区）规划环境影响跟踪评价报告书》。根据相关产业政策、区域大气污染防治、水污染防治和土壤污染防治等要求，本轮跟踪评价给出了经开区发展的产业准入负面清单，具体见下表。</w:t>
            </w:r>
          </w:p>
          <w:p w14:paraId="08F887FC">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eastAsia="宋体" w:cs="Arial"/>
                <w:b/>
                <w:kern w:val="0"/>
                <w:sz w:val="24"/>
                <w:lang w:val="en-US" w:eastAsia="zh-CN"/>
              </w:rPr>
            </w:pPr>
            <w:r>
              <w:rPr>
                <w:rFonts w:cs="Arial"/>
                <w:b/>
                <w:kern w:val="0"/>
                <w:sz w:val="24"/>
              </w:rPr>
              <w:t>表1-</w:t>
            </w:r>
            <w:r>
              <w:rPr>
                <w:rFonts w:hint="eastAsia" w:cs="Arial"/>
                <w:b/>
                <w:kern w:val="0"/>
                <w:sz w:val="24"/>
                <w:lang w:val="en-US" w:eastAsia="zh-CN"/>
              </w:rPr>
              <w:t>3</w:t>
            </w:r>
            <w:r>
              <w:rPr>
                <w:rFonts w:hint="eastAsia" w:cs="Arial"/>
                <w:b/>
                <w:kern w:val="0"/>
                <w:sz w:val="24"/>
              </w:rPr>
              <w:t xml:space="preserve"> </w:t>
            </w:r>
            <w:r>
              <w:rPr>
                <w:rFonts w:cs="Arial"/>
                <w:b/>
                <w:kern w:val="0"/>
                <w:sz w:val="24"/>
              </w:rPr>
              <w:t xml:space="preserve"> </w:t>
            </w:r>
            <w:r>
              <w:rPr>
                <w:rFonts w:hint="eastAsia" w:cs="Arial"/>
                <w:b/>
                <w:kern w:val="0"/>
                <w:sz w:val="24"/>
                <w:lang w:val="en-US" w:eastAsia="zh-CN"/>
              </w:rPr>
              <w:t>芜湖经济技术开发区产业准入负面清单</w:t>
            </w:r>
          </w:p>
          <w:tbl>
            <w:tblPr>
              <w:tblStyle w:val="58"/>
              <w:tblW w:w="47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186"/>
              <w:gridCol w:w="4749"/>
            </w:tblGrid>
            <w:tr w14:paraId="72FDD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tcBorders>
                    <w:tl2br w:val="nil"/>
                    <w:tr2bl w:val="nil"/>
                  </w:tcBorders>
                  <w:vAlign w:val="center"/>
                </w:tcPr>
                <w:p w14:paraId="1AA8D1E0">
                  <w:pPr>
                    <w:adjustRightInd w:val="0"/>
                    <w:jc w:val="center"/>
                    <w:rPr>
                      <w:rFonts w:hint="eastAsia" w:eastAsia="宋体"/>
                      <w:b/>
                      <w:szCs w:val="21"/>
                      <w:lang w:val="zh-CN" w:eastAsia="zh-CN"/>
                    </w:rPr>
                  </w:pPr>
                  <w:r>
                    <w:rPr>
                      <w:rFonts w:hint="eastAsia"/>
                      <w:b/>
                      <w:szCs w:val="21"/>
                      <w:lang w:val="en-US" w:eastAsia="zh-CN"/>
                    </w:rPr>
                    <w:t>项目</w:t>
                  </w:r>
                </w:p>
              </w:tc>
              <w:tc>
                <w:tcPr>
                  <w:tcW w:w="890" w:type="pct"/>
                  <w:tcBorders>
                    <w:tl2br w:val="nil"/>
                    <w:tr2bl w:val="nil"/>
                  </w:tcBorders>
                  <w:vAlign w:val="center"/>
                </w:tcPr>
                <w:p w14:paraId="551934CA">
                  <w:pPr>
                    <w:tabs>
                      <w:tab w:val="left" w:pos="1029"/>
                    </w:tabs>
                    <w:adjustRightInd w:val="0"/>
                    <w:jc w:val="center"/>
                    <w:rPr>
                      <w:rFonts w:hint="eastAsia" w:eastAsia="宋体"/>
                      <w:b/>
                      <w:szCs w:val="21"/>
                      <w:lang w:val="zh-CN" w:eastAsia="zh-CN"/>
                    </w:rPr>
                  </w:pPr>
                  <w:r>
                    <w:rPr>
                      <w:rFonts w:hint="eastAsia"/>
                      <w:b/>
                      <w:kern w:val="0"/>
                      <w:szCs w:val="21"/>
                      <w:lang w:val="en-US" w:eastAsia="zh-CN"/>
                    </w:rPr>
                    <w:t>类别</w:t>
                  </w:r>
                </w:p>
              </w:tc>
              <w:tc>
                <w:tcPr>
                  <w:tcW w:w="3566" w:type="pct"/>
                  <w:tcBorders>
                    <w:tl2br w:val="nil"/>
                    <w:tr2bl w:val="nil"/>
                  </w:tcBorders>
                  <w:vAlign w:val="center"/>
                </w:tcPr>
                <w:p w14:paraId="38E52C61">
                  <w:pPr>
                    <w:adjustRightInd w:val="0"/>
                    <w:jc w:val="center"/>
                    <w:rPr>
                      <w:rFonts w:hint="default" w:eastAsia="宋体"/>
                      <w:b/>
                      <w:szCs w:val="21"/>
                      <w:lang w:val="en-US" w:eastAsia="zh-CN"/>
                    </w:rPr>
                  </w:pPr>
                  <w:r>
                    <w:rPr>
                      <w:rFonts w:hint="eastAsia"/>
                      <w:b/>
                      <w:kern w:val="0"/>
                      <w:szCs w:val="21"/>
                      <w:lang w:val="en-US" w:eastAsia="zh-CN"/>
                    </w:rPr>
                    <w:t>产业准入负面清单</w:t>
                  </w:r>
                </w:p>
              </w:tc>
            </w:tr>
            <w:tr w14:paraId="0A2148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restart"/>
                  <w:tcBorders>
                    <w:tl2br w:val="nil"/>
                    <w:tr2bl w:val="nil"/>
                  </w:tcBorders>
                  <w:vAlign w:val="center"/>
                </w:tcPr>
                <w:p w14:paraId="3AB66FDD">
                  <w:pPr>
                    <w:adjustRightInd w:val="0"/>
                    <w:jc w:val="center"/>
                    <w:rPr>
                      <w:rFonts w:hint="default" w:eastAsia="宋体"/>
                      <w:szCs w:val="21"/>
                      <w:lang w:val="en-US" w:eastAsia="zh-CN"/>
                    </w:rPr>
                  </w:pPr>
                  <w:r>
                    <w:rPr>
                      <w:rFonts w:hint="eastAsia"/>
                      <w:szCs w:val="21"/>
                      <w:lang w:val="en-US" w:eastAsia="zh-CN"/>
                    </w:rPr>
                    <w:t>产业准入负面清单</w:t>
                  </w:r>
                </w:p>
              </w:tc>
              <w:tc>
                <w:tcPr>
                  <w:tcW w:w="890" w:type="pct"/>
                  <w:vMerge w:val="restart"/>
                  <w:tcBorders>
                    <w:tl2br w:val="nil"/>
                    <w:tr2bl w:val="nil"/>
                  </w:tcBorders>
                  <w:vAlign w:val="center"/>
                </w:tcPr>
                <w:p w14:paraId="42B75145">
                  <w:pPr>
                    <w:adjustRightInd w:val="0"/>
                    <w:jc w:val="center"/>
                    <w:rPr>
                      <w:rFonts w:hint="eastAsia" w:eastAsia="宋体"/>
                      <w:szCs w:val="21"/>
                      <w:lang w:val="en-US" w:eastAsia="zh-CN"/>
                    </w:rPr>
                  </w:pPr>
                  <w:r>
                    <w:rPr>
                      <w:rFonts w:hint="eastAsia"/>
                      <w:szCs w:val="21"/>
                      <w:lang w:val="en-US" w:eastAsia="zh-CN"/>
                    </w:rPr>
                    <w:t>禁止类</w:t>
                  </w:r>
                </w:p>
              </w:tc>
              <w:tc>
                <w:tcPr>
                  <w:tcW w:w="3566" w:type="pct"/>
                  <w:tcBorders>
                    <w:tl2br w:val="nil"/>
                    <w:tr2bl w:val="nil"/>
                  </w:tcBorders>
                  <w:vAlign w:val="center"/>
                </w:tcPr>
                <w:p w14:paraId="01A8634D">
                  <w:pPr>
                    <w:adjustRightInd w:val="0"/>
                    <w:jc w:val="both"/>
                    <w:rPr>
                      <w:szCs w:val="21"/>
                      <w:lang w:val="zh-CN"/>
                    </w:rPr>
                  </w:pPr>
                  <w:r>
                    <w:rPr>
                      <w:rFonts w:hint="eastAsia"/>
                      <w:szCs w:val="21"/>
                      <w:lang w:val="zh-CN"/>
                    </w:rPr>
                    <w:t>禁止引进化学制浆造纸、制革、酿造、染料、印染等易增加区域水环境负荷的项目</w:t>
                  </w:r>
                </w:p>
              </w:tc>
            </w:tr>
            <w:tr w14:paraId="60B56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7DC35965">
                  <w:pPr>
                    <w:adjustRightInd w:val="0"/>
                    <w:jc w:val="center"/>
                  </w:pPr>
                </w:p>
              </w:tc>
              <w:tc>
                <w:tcPr>
                  <w:tcW w:w="890" w:type="pct"/>
                  <w:vMerge w:val="continue"/>
                  <w:tcBorders>
                    <w:tl2br w:val="nil"/>
                    <w:tr2bl w:val="nil"/>
                  </w:tcBorders>
                  <w:vAlign w:val="center"/>
                </w:tcPr>
                <w:p w14:paraId="1762D0D1">
                  <w:pPr>
                    <w:adjustRightInd w:val="0"/>
                    <w:jc w:val="center"/>
                  </w:pPr>
                </w:p>
              </w:tc>
              <w:tc>
                <w:tcPr>
                  <w:tcW w:w="3566" w:type="pct"/>
                  <w:tcBorders>
                    <w:tl2br w:val="nil"/>
                    <w:tr2bl w:val="nil"/>
                  </w:tcBorders>
                  <w:vAlign w:val="center"/>
                </w:tcPr>
                <w:p w14:paraId="200EFFB0">
                  <w:pPr>
                    <w:adjustRightInd w:val="0"/>
                    <w:jc w:val="both"/>
                    <w:rPr>
                      <w:rFonts w:hint="eastAsia"/>
                      <w:szCs w:val="21"/>
                      <w:lang w:val="zh-CN"/>
                    </w:rPr>
                  </w:pPr>
                  <w:r>
                    <w:rPr>
                      <w:rFonts w:hint="eastAsia"/>
                      <w:szCs w:val="21"/>
                      <w:lang w:val="zh-CN"/>
                    </w:rPr>
                    <w:t>禁止引进高污染、高耗能、资源性（“三高一资”）项目</w:t>
                  </w:r>
                </w:p>
              </w:tc>
            </w:tr>
            <w:tr w14:paraId="4D3D1D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0B80B4C0">
                  <w:pPr>
                    <w:adjustRightInd w:val="0"/>
                    <w:jc w:val="center"/>
                    <w:rPr>
                      <w:rFonts w:hint="eastAsia"/>
                      <w:szCs w:val="21"/>
                      <w:lang w:val="zh-CN"/>
                    </w:rPr>
                  </w:pPr>
                </w:p>
              </w:tc>
              <w:tc>
                <w:tcPr>
                  <w:tcW w:w="890" w:type="pct"/>
                  <w:vMerge w:val="continue"/>
                  <w:tcBorders>
                    <w:tl2br w:val="nil"/>
                    <w:tr2bl w:val="nil"/>
                  </w:tcBorders>
                  <w:vAlign w:val="center"/>
                </w:tcPr>
                <w:p w14:paraId="6394EAF0">
                  <w:pPr>
                    <w:adjustRightInd w:val="0"/>
                    <w:jc w:val="center"/>
                    <w:rPr>
                      <w:rFonts w:hint="eastAsia"/>
                      <w:szCs w:val="21"/>
                      <w:lang w:val="zh-CN"/>
                    </w:rPr>
                  </w:pPr>
                </w:p>
              </w:tc>
              <w:tc>
                <w:tcPr>
                  <w:tcW w:w="3566" w:type="pct"/>
                  <w:tcBorders>
                    <w:tl2br w:val="nil"/>
                    <w:tr2bl w:val="nil"/>
                  </w:tcBorders>
                  <w:vAlign w:val="center"/>
                </w:tcPr>
                <w:p w14:paraId="11C11A91">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禁止引进纯电镀加工类项目</w:t>
                  </w:r>
                </w:p>
              </w:tc>
            </w:tr>
            <w:tr w14:paraId="1CF18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09DD9D79">
                  <w:pPr>
                    <w:adjustRightInd w:val="0"/>
                    <w:jc w:val="center"/>
                    <w:rPr>
                      <w:rFonts w:hint="eastAsia"/>
                      <w:szCs w:val="21"/>
                      <w:lang w:val="zh-CN"/>
                    </w:rPr>
                  </w:pPr>
                </w:p>
              </w:tc>
              <w:tc>
                <w:tcPr>
                  <w:tcW w:w="890" w:type="pct"/>
                  <w:vMerge w:val="continue"/>
                  <w:tcBorders>
                    <w:tl2br w:val="nil"/>
                    <w:tr2bl w:val="nil"/>
                  </w:tcBorders>
                  <w:vAlign w:val="center"/>
                </w:tcPr>
                <w:p w14:paraId="104CA46F">
                  <w:pPr>
                    <w:adjustRightInd w:val="0"/>
                    <w:jc w:val="center"/>
                    <w:rPr>
                      <w:rFonts w:hint="eastAsia"/>
                      <w:szCs w:val="21"/>
                      <w:lang w:val="zh-CN"/>
                    </w:rPr>
                  </w:pPr>
                </w:p>
              </w:tc>
              <w:tc>
                <w:tcPr>
                  <w:tcW w:w="3566" w:type="pct"/>
                  <w:tcBorders>
                    <w:tl2br w:val="nil"/>
                    <w:tr2bl w:val="nil"/>
                  </w:tcBorders>
                  <w:vAlign w:val="center"/>
                </w:tcPr>
                <w:p w14:paraId="0852AC1E">
                  <w:pPr>
                    <w:adjustRightInd w:val="0"/>
                    <w:jc w:val="both"/>
                    <w:rPr>
                      <w:rFonts w:hint="eastAsia"/>
                      <w:szCs w:val="21"/>
                      <w:lang w:val="zh-CN"/>
                    </w:rPr>
                  </w:pPr>
                  <w:r>
                    <w:rPr>
                      <w:rFonts w:hint="eastAsia"/>
                      <w:szCs w:val="21"/>
                      <w:lang w:val="zh-CN"/>
                    </w:rPr>
                    <w:t>禁止引进农药项目</w:t>
                  </w:r>
                </w:p>
              </w:tc>
            </w:tr>
            <w:tr w14:paraId="24F527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3DC46B09">
                  <w:pPr>
                    <w:adjustRightInd w:val="0"/>
                    <w:jc w:val="center"/>
                    <w:rPr>
                      <w:rFonts w:hint="eastAsia"/>
                      <w:szCs w:val="21"/>
                      <w:lang w:val="zh-CN"/>
                    </w:rPr>
                  </w:pPr>
                </w:p>
              </w:tc>
              <w:tc>
                <w:tcPr>
                  <w:tcW w:w="890" w:type="pct"/>
                  <w:vMerge w:val="continue"/>
                  <w:tcBorders>
                    <w:tl2br w:val="nil"/>
                    <w:tr2bl w:val="nil"/>
                  </w:tcBorders>
                  <w:vAlign w:val="center"/>
                </w:tcPr>
                <w:p w14:paraId="417B1E50">
                  <w:pPr>
                    <w:adjustRightInd w:val="0"/>
                    <w:jc w:val="center"/>
                    <w:rPr>
                      <w:rFonts w:hint="eastAsia"/>
                      <w:szCs w:val="21"/>
                      <w:lang w:val="zh-CN"/>
                    </w:rPr>
                  </w:pPr>
                </w:p>
              </w:tc>
              <w:tc>
                <w:tcPr>
                  <w:tcW w:w="3566" w:type="pct"/>
                  <w:tcBorders>
                    <w:tl2br w:val="nil"/>
                    <w:tr2bl w:val="nil"/>
                  </w:tcBorders>
                  <w:vAlign w:val="center"/>
                </w:tcPr>
                <w:p w14:paraId="190723C8">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禁止引进黑色金属冶炼及压延加工业项目</w:t>
                  </w:r>
                </w:p>
              </w:tc>
            </w:tr>
            <w:tr w14:paraId="6BE8A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2A2ACB16">
                  <w:pPr>
                    <w:adjustRightInd w:val="0"/>
                    <w:jc w:val="center"/>
                    <w:rPr>
                      <w:rFonts w:hint="eastAsia"/>
                      <w:szCs w:val="21"/>
                      <w:lang w:val="zh-CN"/>
                    </w:rPr>
                  </w:pPr>
                </w:p>
              </w:tc>
              <w:tc>
                <w:tcPr>
                  <w:tcW w:w="890" w:type="pct"/>
                  <w:vMerge w:val="continue"/>
                  <w:tcBorders>
                    <w:tl2br w:val="nil"/>
                    <w:tr2bl w:val="nil"/>
                  </w:tcBorders>
                  <w:vAlign w:val="center"/>
                </w:tcPr>
                <w:p w14:paraId="20D1B561">
                  <w:pPr>
                    <w:adjustRightInd w:val="0"/>
                    <w:jc w:val="center"/>
                    <w:rPr>
                      <w:rFonts w:hint="eastAsia"/>
                      <w:szCs w:val="21"/>
                      <w:lang w:val="zh-CN"/>
                    </w:rPr>
                  </w:pPr>
                </w:p>
              </w:tc>
              <w:tc>
                <w:tcPr>
                  <w:tcW w:w="3566" w:type="pct"/>
                  <w:tcBorders>
                    <w:tl2br w:val="nil"/>
                    <w:tr2bl w:val="nil"/>
                  </w:tcBorders>
                  <w:vAlign w:val="center"/>
                </w:tcPr>
                <w:p w14:paraId="028AA51E">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禁止引进橡胶制品业项目</w:t>
                  </w:r>
                </w:p>
              </w:tc>
            </w:tr>
            <w:tr w14:paraId="709F55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162259BD">
                  <w:pPr>
                    <w:adjustRightInd w:val="0"/>
                    <w:jc w:val="center"/>
                    <w:rPr>
                      <w:rFonts w:hint="eastAsia"/>
                      <w:szCs w:val="21"/>
                      <w:lang w:val="zh-CN"/>
                    </w:rPr>
                  </w:pPr>
                </w:p>
              </w:tc>
              <w:tc>
                <w:tcPr>
                  <w:tcW w:w="890" w:type="pct"/>
                  <w:vMerge w:val="continue"/>
                  <w:tcBorders>
                    <w:tl2br w:val="nil"/>
                    <w:tr2bl w:val="nil"/>
                  </w:tcBorders>
                  <w:vAlign w:val="center"/>
                </w:tcPr>
                <w:p w14:paraId="0BF79B1F">
                  <w:pPr>
                    <w:adjustRightInd w:val="0"/>
                    <w:jc w:val="center"/>
                    <w:rPr>
                      <w:rFonts w:hint="eastAsia"/>
                      <w:szCs w:val="21"/>
                      <w:lang w:val="zh-CN"/>
                    </w:rPr>
                  </w:pPr>
                </w:p>
              </w:tc>
              <w:tc>
                <w:tcPr>
                  <w:tcW w:w="3566" w:type="pct"/>
                  <w:tcBorders>
                    <w:tl2br w:val="nil"/>
                    <w:tr2bl w:val="nil"/>
                  </w:tcBorders>
                  <w:vAlign w:val="center"/>
                </w:tcPr>
                <w:p w14:paraId="5DA18F56">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禁止引进化学原料及化学制品制造业项目</w:t>
                  </w:r>
                </w:p>
              </w:tc>
            </w:tr>
            <w:tr w14:paraId="57449E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6BF9ACF9">
                  <w:pPr>
                    <w:adjustRightInd w:val="0"/>
                    <w:jc w:val="center"/>
                    <w:rPr>
                      <w:rFonts w:hint="eastAsia"/>
                      <w:szCs w:val="21"/>
                      <w:lang w:val="zh-CN"/>
                    </w:rPr>
                  </w:pPr>
                </w:p>
              </w:tc>
              <w:tc>
                <w:tcPr>
                  <w:tcW w:w="890" w:type="pct"/>
                  <w:vMerge w:val="continue"/>
                  <w:tcBorders>
                    <w:tl2br w:val="nil"/>
                    <w:tr2bl w:val="nil"/>
                  </w:tcBorders>
                  <w:vAlign w:val="center"/>
                </w:tcPr>
                <w:p w14:paraId="17F0D652">
                  <w:pPr>
                    <w:adjustRightInd w:val="0"/>
                    <w:jc w:val="center"/>
                    <w:rPr>
                      <w:rFonts w:hint="eastAsia"/>
                      <w:szCs w:val="21"/>
                      <w:lang w:val="zh-CN"/>
                    </w:rPr>
                  </w:pPr>
                </w:p>
              </w:tc>
              <w:tc>
                <w:tcPr>
                  <w:tcW w:w="3566" w:type="pct"/>
                  <w:tcBorders>
                    <w:tl2br w:val="nil"/>
                    <w:tr2bl w:val="nil"/>
                  </w:tcBorders>
                  <w:vAlign w:val="center"/>
                </w:tcPr>
                <w:p w14:paraId="5024DF97">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禁止引进化学药品原料药制造项目</w:t>
                  </w:r>
                </w:p>
              </w:tc>
            </w:tr>
            <w:tr w14:paraId="57835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2656A149">
                  <w:pPr>
                    <w:adjustRightInd w:val="0"/>
                    <w:jc w:val="center"/>
                    <w:rPr>
                      <w:rFonts w:hint="eastAsia"/>
                      <w:szCs w:val="21"/>
                      <w:lang w:val="zh-CN"/>
                    </w:rPr>
                  </w:pPr>
                </w:p>
              </w:tc>
              <w:tc>
                <w:tcPr>
                  <w:tcW w:w="890" w:type="pct"/>
                  <w:vMerge w:val="continue"/>
                  <w:tcBorders>
                    <w:tl2br w:val="nil"/>
                    <w:tr2bl w:val="nil"/>
                  </w:tcBorders>
                  <w:vAlign w:val="center"/>
                </w:tcPr>
                <w:p w14:paraId="0235AE42">
                  <w:pPr>
                    <w:adjustRightInd w:val="0"/>
                    <w:jc w:val="center"/>
                    <w:rPr>
                      <w:rFonts w:hint="eastAsia"/>
                      <w:szCs w:val="21"/>
                      <w:lang w:val="zh-CN"/>
                    </w:rPr>
                  </w:pPr>
                </w:p>
              </w:tc>
              <w:tc>
                <w:tcPr>
                  <w:tcW w:w="3566" w:type="pct"/>
                  <w:tcBorders>
                    <w:tl2br w:val="nil"/>
                    <w:tr2bl w:val="nil"/>
                  </w:tcBorders>
                  <w:vAlign w:val="center"/>
                </w:tcPr>
                <w:p w14:paraId="7E915640">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禁止引进皮革、毛皮、羽绒及其制造业项目</w:t>
                  </w:r>
                </w:p>
              </w:tc>
            </w:tr>
            <w:tr w14:paraId="5BA6F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035D1A0C">
                  <w:pPr>
                    <w:adjustRightInd w:val="0"/>
                    <w:jc w:val="center"/>
                    <w:rPr>
                      <w:rFonts w:hint="eastAsia"/>
                      <w:szCs w:val="21"/>
                      <w:lang w:val="zh-CN"/>
                    </w:rPr>
                  </w:pPr>
                </w:p>
              </w:tc>
              <w:tc>
                <w:tcPr>
                  <w:tcW w:w="890" w:type="pct"/>
                  <w:vMerge w:val="continue"/>
                  <w:tcBorders>
                    <w:tl2br w:val="nil"/>
                    <w:tr2bl w:val="nil"/>
                  </w:tcBorders>
                  <w:vAlign w:val="center"/>
                </w:tcPr>
                <w:p w14:paraId="0054F33E">
                  <w:pPr>
                    <w:adjustRightInd w:val="0"/>
                    <w:jc w:val="center"/>
                    <w:rPr>
                      <w:rFonts w:hint="eastAsia"/>
                      <w:szCs w:val="21"/>
                      <w:lang w:val="zh-CN"/>
                    </w:rPr>
                  </w:pPr>
                </w:p>
              </w:tc>
              <w:tc>
                <w:tcPr>
                  <w:tcW w:w="3566" w:type="pct"/>
                  <w:tcBorders>
                    <w:tl2br w:val="nil"/>
                    <w:tr2bl w:val="nil"/>
                  </w:tcBorders>
                  <w:vAlign w:val="center"/>
                </w:tcPr>
                <w:p w14:paraId="7E271CD1">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禁止引进火力发电业项目</w:t>
                  </w:r>
                </w:p>
              </w:tc>
            </w:tr>
            <w:tr w14:paraId="28568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278D7FF8">
                  <w:pPr>
                    <w:adjustRightInd w:val="0"/>
                    <w:jc w:val="center"/>
                    <w:rPr>
                      <w:rFonts w:hint="eastAsia"/>
                      <w:szCs w:val="21"/>
                      <w:lang w:val="zh-CN"/>
                    </w:rPr>
                  </w:pPr>
                </w:p>
              </w:tc>
              <w:tc>
                <w:tcPr>
                  <w:tcW w:w="890" w:type="pct"/>
                  <w:vMerge w:val="continue"/>
                  <w:tcBorders>
                    <w:tl2br w:val="nil"/>
                    <w:tr2bl w:val="nil"/>
                  </w:tcBorders>
                  <w:vAlign w:val="center"/>
                </w:tcPr>
                <w:p w14:paraId="67D8F6A0">
                  <w:pPr>
                    <w:adjustRightInd w:val="0"/>
                    <w:jc w:val="center"/>
                    <w:rPr>
                      <w:rFonts w:hint="eastAsia"/>
                      <w:szCs w:val="21"/>
                      <w:lang w:val="zh-CN"/>
                    </w:rPr>
                  </w:pPr>
                </w:p>
              </w:tc>
              <w:tc>
                <w:tcPr>
                  <w:tcW w:w="3566" w:type="pct"/>
                  <w:tcBorders>
                    <w:tl2br w:val="nil"/>
                    <w:tr2bl w:val="nil"/>
                  </w:tcBorders>
                  <w:vAlign w:val="center"/>
                </w:tcPr>
                <w:p w14:paraId="6615B9F6">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禁止引进燃烧原（散）煤、重油、渣油、石油焦等高污染燃料或者直接燃用各种可燃废物的设施和装置</w:t>
                  </w:r>
                </w:p>
              </w:tc>
            </w:tr>
            <w:tr w14:paraId="3C1C2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3DD9DE3E">
                  <w:pPr>
                    <w:adjustRightInd w:val="0"/>
                    <w:jc w:val="center"/>
                    <w:rPr>
                      <w:rFonts w:hint="eastAsia"/>
                      <w:szCs w:val="21"/>
                      <w:lang w:val="zh-CN"/>
                    </w:rPr>
                  </w:pPr>
                </w:p>
              </w:tc>
              <w:tc>
                <w:tcPr>
                  <w:tcW w:w="890" w:type="pct"/>
                  <w:vMerge w:val="continue"/>
                  <w:tcBorders>
                    <w:tl2br w:val="nil"/>
                    <w:tr2bl w:val="nil"/>
                  </w:tcBorders>
                  <w:vAlign w:val="center"/>
                </w:tcPr>
                <w:p w14:paraId="20D4CB0E">
                  <w:pPr>
                    <w:adjustRightInd w:val="0"/>
                    <w:jc w:val="center"/>
                    <w:rPr>
                      <w:rFonts w:hint="eastAsia"/>
                      <w:szCs w:val="21"/>
                      <w:lang w:val="zh-CN"/>
                    </w:rPr>
                  </w:pPr>
                </w:p>
              </w:tc>
              <w:tc>
                <w:tcPr>
                  <w:tcW w:w="3566" w:type="pct"/>
                  <w:tcBorders>
                    <w:tl2br w:val="nil"/>
                    <w:tr2bl w:val="nil"/>
                  </w:tcBorders>
                  <w:vAlign w:val="center"/>
                </w:tcPr>
                <w:p w14:paraId="4A562FDC">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禁止引进炼油、产生致癌、致畸、致突变物质的项目</w:t>
                  </w:r>
                </w:p>
              </w:tc>
            </w:tr>
            <w:tr w14:paraId="5A29A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6B1429DB">
                  <w:pPr>
                    <w:adjustRightInd w:val="0"/>
                    <w:jc w:val="center"/>
                    <w:rPr>
                      <w:rFonts w:hint="eastAsia"/>
                      <w:szCs w:val="21"/>
                      <w:lang w:val="zh-CN"/>
                    </w:rPr>
                  </w:pPr>
                </w:p>
              </w:tc>
              <w:tc>
                <w:tcPr>
                  <w:tcW w:w="890" w:type="pct"/>
                  <w:vMerge w:val="continue"/>
                  <w:tcBorders>
                    <w:tl2br w:val="nil"/>
                    <w:tr2bl w:val="nil"/>
                  </w:tcBorders>
                  <w:vAlign w:val="center"/>
                </w:tcPr>
                <w:p w14:paraId="009FB919">
                  <w:pPr>
                    <w:adjustRightInd w:val="0"/>
                    <w:jc w:val="center"/>
                    <w:rPr>
                      <w:rFonts w:hint="eastAsia"/>
                      <w:szCs w:val="21"/>
                      <w:lang w:val="zh-CN"/>
                    </w:rPr>
                  </w:pPr>
                </w:p>
              </w:tc>
              <w:tc>
                <w:tcPr>
                  <w:tcW w:w="3566" w:type="pct"/>
                  <w:tcBorders>
                    <w:tl2br w:val="nil"/>
                    <w:tr2bl w:val="nil"/>
                  </w:tcBorders>
                  <w:vAlign w:val="center"/>
                </w:tcPr>
                <w:p w14:paraId="2B1C61E6">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禁止引进属于《产业结构调整指导目录》中限制和淘汰类项目、《外商投资产业指导目录（</w:t>
                  </w:r>
                  <w:r>
                    <w:rPr>
                      <w:rFonts w:hint="default" w:ascii="Times New Roman" w:hAnsi="Times New Roman" w:eastAsia="宋体" w:cs="Times New Roman"/>
                      <w:color w:val="000000"/>
                      <w:kern w:val="0"/>
                      <w:sz w:val="20"/>
                      <w:szCs w:val="20"/>
                      <w:lang w:val="en-US" w:eastAsia="zh-CN" w:bidi="ar"/>
                    </w:rPr>
                    <w:t xml:space="preserve">2015 </w:t>
                  </w:r>
                  <w:r>
                    <w:rPr>
                      <w:rFonts w:hint="eastAsia" w:ascii="宋体" w:hAnsi="宋体" w:eastAsia="宋体" w:cs="宋体"/>
                      <w:color w:val="000000"/>
                      <w:kern w:val="0"/>
                      <w:sz w:val="20"/>
                      <w:szCs w:val="20"/>
                      <w:lang w:val="en-US" w:eastAsia="zh-CN" w:bidi="ar"/>
                    </w:rPr>
                    <w:t>年</w:t>
                  </w:r>
                  <w:r>
                    <w:rPr>
                      <w:rFonts w:hint="default"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》限制和禁止类项目</w:t>
                  </w:r>
                </w:p>
              </w:tc>
            </w:tr>
            <w:tr w14:paraId="18CC9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468A26EE">
                  <w:pPr>
                    <w:adjustRightInd w:val="0"/>
                    <w:jc w:val="center"/>
                    <w:rPr>
                      <w:rFonts w:hint="eastAsia"/>
                      <w:szCs w:val="21"/>
                      <w:lang w:val="zh-CN"/>
                    </w:rPr>
                  </w:pPr>
                </w:p>
              </w:tc>
              <w:tc>
                <w:tcPr>
                  <w:tcW w:w="890" w:type="pct"/>
                  <w:vMerge w:val="continue"/>
                  <w:tcBorders>
                    <w:tl2br w:val="nil"/>
                    <w:tr2bl w:val="nil"/>
                  </w:tcBorders>
                  <w:vAlign w:val="center"/>
                </w:tcPr>
                <w:p w14:paraId="36FEA8D6">
                  <w:pPr>
                    <w:adjustRightInd w:val="0"/>
                    <w:jc w:val="center"/>
                    <w:rPr>
                      <w:rFonts w:hint="eastAsia"/>
                      <w:szCs w:val="21"/>
                      <w:lang w:val="zh-CN"/>
                    </w:rPr>
                  </w:pPr>
                </w:p>
              </w:tc>
              <w:tc>
                <w:tcPr>
                  <w:tcW w:w="3566" w:type="pct"/>
                  <w:tcBorders>
                    <w:tl2br w:val="nil"/>
                    <w:tr2bl w:val="nil"/>
                  </w:tcBorders>
                  <w:vAlign w:val="center"/>
                </w:tcPr>
                <w:p w14:paraId="2A8F000A">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禁止引进不符合芜湖经开区规划产业定位的项目</w:t>
                  </w:r>
                </w:p>
              </w:tc>
            </w:tr>
            <w:tr w14:paraId="1E4B6A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42" w:type="pct"/>
                  <w:vMerge w:val="continue"/>
                  <w:tcBorders>
                    <w:tl2br w:val="nil"/>
                    <w:tr2bl w:val="nil"/>
                  </w:tcBorders>
                  <w:vAlign w:val="center"/>
                </w:tcPr>
                <w:p w14:paraId="6E27051E">
                  <w:pPr>
                    <w:adjustRightInd w:val="0"/>
                    <w:jc w:val="center"/>
                    <w:rPr>
                      <w:rFonts w:hint="eastAsia"/>
                      <w:szCs w:val="21"/>
                      <w:lang w:val="zh-CN"/>
                    </w:rPr>
                  </w:pPr>
                </w:p>
              </w:tc>
              <w:tc>
                <w:tcPr>
                  <w:tcW w:w="890" w:type="pct"/>
                  <w:vMerge w:val="continue"/>
                  <w:tcBorders>
                    <w:tl2br w:val="nil"/>
                    <w:tr2bl w:val="nil"/>
                  </w:tcBorders>
                  <w:vAlign w:val="center"/>
                </w:tcPr>
                <w:p w14:paraId="55562349">
                  <w:pPr>
                    <w:adjustRightInd w:val="0"/>
                    <w:jc w:val="center"/>
                    <w:rPr>
                      <w:rFonts w:hint="eastAsia"/>
                      <w:szCs w:val="21"/>
                      <w:lang w:val="zh-CN"/>
                    </w:rPr>
                  </w:pPr>
                </w:p>
              </w:tc>
              <w:tc>
                <w:tcPr>
                  <w:tcW w:w="3566" w:type="pct"/>
                  <w:tcBorders>
                    <w:tl2br w:val="nil"/>
                    <w:tr2bl w:val="nil"/>
                  </w:tcBorders>
                  <w:vAlign w:val="center"/>
                </w:tcPr>
                <w:p w14:paraId="40ABF893">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禁止引进环境污染严重、污染物排放总量指标未落实的项目禁止引进国家、安徽省明确规定不得审批的建设项目</w:t>
                  </w:r>
                </w:p>
              </w:tc>
            </w:tr>
          </w:tbl>
          <w:p w14:paraId="68171D27">
            <w:pPr>
              <w:keepNext w:val="0"/>
              <w:keepLines w:val="0"/>
              <w:pageBreakBefore w:val="0"/>
              <w:widowControl/>
              <w:tabs>
                <w:tab w:val="left" w:pos="7350"/>
              </w:tabs>
              <w:kinsoku/>
              <w:wordWrap/>
              <w:overflowPunct/>
              <w:topLinePunct w:val="0"/>
              <w:autoSpaceDE/>
              <w:autoSpaceDN/>
              <w:bidi w:val="0"/>
              <w:adjustRightInd/>
              <w:snapToGrid/>
              <w:spacing w:beforeAutospacing="0" w:line="360" w:lineRule="auto"/>
              <w:ind w:firstLine="480" w:firstLineChars="200"/>
              <w:jc w:val="left"/>
              <w:textAlignment w:val="auto"/>
              <w:rPr>
                <w:rFonts w:hint="eastAsia"/>
                <w:kern w:val="0"/>
                <w:sz w:val="24"/>
                <w:szCs w:val="20"/>
              </w:rPr>
            </w:pPr>
            <w:r>
              <w:rPr>
                <w:rFonts w:hint="eastAsia"/>
                <w:kern w:val="0"/>
                <w:sz w:val="24"/>
                <w:szCs w:val="20"/>
              </w:rPr>
              <w:t>本项目属于</w:t>
            </w:r>
            <w:r>
              <w:rPr>
                <w:rFonts w:hint="eastAsia"/>
                <w:kern w:val="0"/>
                <w:sz w:val="24"/>
                <w:szCs w:val="20"/>
                <w:lang w:val="en-US" w:eastAsia="zh-CN"/>
              </w:rPr>
              <w:t>塑料零件及其他塑料制品制造</w:t>
            </w:r>
            <w:r>
              <w:rPr>
                <w:rFonts w:hint="eastAsia"/>
                <w:kern w:val="0"/>
                <w:sz w:val="24"/>
                <w:szCs w:val="20"/>
              </w:rPr>
              <w:t>，不属于芜湖经济技术开发区项目产业准入负面清单中的“禁止类”项目，符合芜湖经济技术开发区项目产业准入负面清单的要求。</w:t>
            </w:r>
          </w:p>
          <w:p w14:paraId="26F468AB">
            <w:pPr>
              <w:keepNext w:val="0"/>
              <w:keepLines w:val="0"/>
              <w:pageBreakBefore w:val="0"/>
              <w:widowControl/>
              <w:numPr>
                <w:ilvl w:val="0"/>
                <w:numId w:val="3"/>
              </w:numPr>
              <w:tabs>
                <w:tab w:val="left" w:pos="7350"/>
              </w:tabs>
              <w:kinsoku/>
              <w:wordWrap/>
              <w:overflowPunct/>
              <w:topLinePunct w:val="0"/>
              <w:autoSpaceDE/>
              <w:autoSpaceDN/>
              <w:bidi w:val="0"/>
              <w:adjustRightInd/>
              <w:snapToGrid/>
              <w:spacing w:beforeAutospacing="0" w:line="360" w:lineRule="auto"/>
              <w:ind w:firstLine="480" w:firstLineChars="200"/>
              <w:jc w:val="left"/>
              <w:textAlignment w:val="auto"/>
              <w:rPr>
                <w:rFonts w:hint="eastAsia"/>
                <w:kern w:val="0"/>
                <w:sz w:val="24"/>
                <w:szCs w:val="20"/>
                <w:lang w:val="en-US" w:eastAsia="zh-CN"/>
              </w:rPr>
            </w:pPr>
            <w:r>
              <w:rPr>
                <w:rFonts w:hint="eastAsia"/>
                <w:kern w:val="0"/>
                <w:sz w:val="24"/>
                <w:szCs w:val="20"/>
                <w:lang w:val="en-US" w:eastAsia="zh-CN"/>
              </w:rPr>
              <w:t>与区域评估报告相符性分析</w:t>
            </w:r>
          </w:p>
          <w:p w14:paraId="14FDC6F4">
            <w:pPr>
              <w:keepNext w:val="0"/>
              <w:keepLines w:val="0"/>
              <w:pageBreakBefore w:val="0"/>
              <w:widowControl/>
              <w:numPr>
                <w:numId w:val="0"/>
              </w:numPr>
              <w:tabs>
                <w:tab w:val="left" w:pos="7350"/>
              </w:tabs>
              <w:kinsoku/>
              <w:wordWrap/>
              <w:overflowPunct/>
              <w:topLinePunct w:val="0"/>
              <w:autoSpaceDE/>
              <w:autoSpaceDN/>
              <w:bidi w:val="0"/>
              <w:adjustRightInd/>
              <w:snapToGrid/>
              <w:spacing w:beforeAutospacing="0" w:line="360" w:lineRule="auto"/>
              <w:ind w:firstLine="480" w:firstLineChars="200"/>
              <w:jc w:val="left"/>
              <w:textAlignment w:val="auto"/>
            </w:pPr>
            <w:r>
              <w:rPr>
                <w:rFonts w:hint="default"/>
                <w:kern w:val="0"/>
                <w:sz w:val="24"/>
                <w:szCs w:val="20"/>
                <w:lang w:val="en-US" w:eastAsia="zh-CN"/>
              </w:rPr>
              <w:t>芜湖经济技术开发区根据《安徽省生态环境厅关于推行“环境影响区域评估+环境标准”改革工作的通知》</w:t>
            </w:r>
            <w:r>
              <w:rPr>
                <w:rFonts w:hint="eastAsia"/>
                <w:kern w:val="0"/>
                <w:sz w:val="24"/>
                <w:szCs w:val="20"/>
                <w:lang w:val="en-US" w:eastAsia="zh-CN"/>
              </w:rPr>
              <w:t>（</w:t>
            </w:r>
            <w:r>
              <w:rPr>
                <w:rFonts w:hint="default"/>
                <w:kern w:val="0"/>
                <w:sz w:val="24"/>
                <w:szCs w:val="20"/>
                <w:lang w:val="en-US" w:eastAsia="zh-CN"/>
              </w:rPr>
              <w:t>皖环发[2021]23号）编制完成了《芜湖经济技术开发区环境影响区域评估报告》。区域评估报告根据综合考虑规划空间管制要求、环境质量现状和目标等因素，芜湖经济技术开发区规划产业发展目标为将开发区建设成为产业集聚、特色鲜明、功能完备，适宜投资创业、各项事业全面进步、辐射能力较强、示范作用明显的现代化低碳产业园区。从环境保护角度分析开发区产业定位基本</w:t>
            </w:r>
            <w:r>
              <w:rPr>
                <w:rFonts w:hint="eastAsia" w:ascii="宋体" w:hAnsi="宋体" w:eastAsia="宋体" w:cs="宋体"/>
                <w:color w:val="000000"/>
                <w:kern w:val="0"/>
                <w:sz w:val="24"/>
                <w:szCs w:val="24"/>
                <w:lang w:val="en-US" w:eastAsia="zh-CN" w:bidi="ar"/>
              </w:rPr>
              <w:t>合理，根据原规划环评提出的准入名录，提出了开发区环境准入清单，用于指导评估区域内后续项目入驻，具体见下表。</w:t>
            </w:r>
          </w:p>
          <w:p w14:paraId="6B0FBFF7">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eastAsia="宋体" w:cs="Arial"/>
                <w:b/>
                <w:kern w:val="0"/>
                <w:sz w:val="24"/>
                <w:lang w:val="en-US" w:eastAsia="zh-CN"/>
              </w:rPr>
            </w:pPr>
            <w:r>
              <w:rPr>
                <w:rFonts w:cs="Arial"/>
                <w:b/>
                <w:kern w:val="0"/>
                <w:sz w:val="24"/>
              </w:rPr>
              <w:t>表1-</w:t>
            </w:r>
            <w:r>
              <w:rPr>
                <w:rFonts w:hint="eastAsia" w:cs="Arial"/>
                <w:b/>
                <w:kern w:val="0"/>
                <w:sz w:val="24"/>
                <w:lang w:val="en-US" w:eastAsia="zh-CN"/>
              </w:rPr>
              <w:t>3</w:t>
            </w:r>
            <w:r>
              <w:rPr>
                <w:rFonts w:hint="eastAsia" w:cs="Arial"/>
                <w:b/>
                <w:kern w:val="0"/>
                <w:sz w:val="24"/>
              </w:rPr>
              <w:t xml:space="preserve"> </w:t>
            </w:r>
            <w:r>
              <w:rPr>
                <w:rFonts w:cs="Arial"/>
                <w:b/>
                <w:kern w:val="0"/>
                <w:sz w:val="24"/>
              </w:rPr>
              <w:t xml:space="preserve"> </w:t>
            </w:r>
            <w:r>
              <w:rPr>
                <w:rFonts w:hint="eastAsia" w:cs="Arial"/>
                <w:b/>
                <w:kern w:val="0"/>
                <w:sz w:val="24"/>
                <w:lang w:val="en-US" w:eastAsia="zh-CN"/>
              </w:rPr>
              <w:t>芜湖经济技术开发区环境准入负面清单</w:t>
            </w:r>
          </w:p>
          <w:tbl>
            <w:tblPr>
              <w:tblStyle w:val="58"/>
              <w:tblW w:w="702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091"/>
              <w:gridCol w:w="4777"/>
            </w:tblGrid>
            <w:tr w14:paraId="777418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4" w:type="pct"/>
                  <w:tcBorders>
                    <w:tl2br w:val="nil"/>
                    <w:tr2bl w:val="nil"/>
                  </w:tcBorders>
                  <w:vAlign w:val="center"/>
                </w:tcPr>
                <w:p w14:paraId="3C99B0BC">
                  <w:pPr>
                    <w:adjustRightInd w:val="0"/>
                    <w:jc w:val="center"/>
                    <w:rPr>
                      <w:rFonts w:hint="default" w:eastAsia="宋体"/>
                      <w:b/>
                      <w:szCs w:val="21"/>
                      <w:lang w:val="en-US" w:eastAsia="zh-CN"/>
                    </w:rPr>
                  </w:pPr>
                  <w:r>
                    <w:rPr>
                      <w:rFonts w:hint="eastAsia"/>
                      <w:b/>
                      <w:szCs w:val="21"/>
                      <w:lang w:val="en-US" w:eastAsia="zh-CN"/>
                    </w:rPr>
                    <w:t>清单类别</w:t>
                  </w:r>
                </w:p>
              </w:tc>
              <w:tc>
                <w:tcPr>
                  <w:tcW w:w="4175" w:type="pct"/>
                  <w:gridSpan w:val="2"/>
                  <w:tcBorders>
                    <w:tl2br w:val="nil"/>
                    <w:tr2bl w:val="nil"/>
                  </w:tcBorders>
                  <w:vAlign w:val="center"/>
                </w:tcPr>
                <w:p w14:paraId="76E96F08">
                  <w:pPr>
                    <w:adjustRightInd w:val="0"/>
                    <w:jc w:val="center"/>
                    <w:rPr>
                      <w:rFonts w:hint="default" w:eastAsia="宋体"/>
                      <w:b/>
                      <w:szCs w:val="21"/>
                      <w:lang w:val="en-US" w:eastAsia="zh-CN"/>
                    </w:rPr>
                  </w:pPr>
                  <w:r>
                    <w:rPr>
                      <w:rFonts w:hint="eastAsia"/>
                      <w:b/>
                      <w:kern w:val="0"/>
                      <w:szCs w:val="21"/>
                      <w:lang w:val="en-US" w:eastAsia="zh-CN"/>
                    </w:rPr>
                    <w:t>准入清单、控制要求</w:t>
                  </w:r>
                </w:p>
              </w:tc>
            </w:tr>
            <w:tr w14:paraId="58141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restart"/>
                  <w:tcBorders>
                    <w:tl2br w:val="nil"/>
                    <w:tr2bl w:val="nil"/>
                  </w:tcBorders>
                  <w:vAlign w:val="center"/>
                </w:tcPr>
                <w:p w14:paraId="5C19198C">
                  <w:pPr>
                    <w:adjustRightInd w:val="0"/>
                    <w:jc w:val="center"/>
                    <w:rPr>
                      <w:rFonts w:hint="default" w:eastAsia="宋体"/>
                      <w:szCs w:val="21"/>
                      <w:lang w:val="en-US" w:eastAsia="zh-CN"/>
                    </w:rPr>
                  </w:pPr>
                  <w:r>
                    <w:rPr>
                      <w:rFonts w:hint="eastAsia"/>
                      <w:szCs w:val="21"/>
                      <w:lang w:val="en-US" w:eastAsia="zh-CN"/>
                    </w:rPr>
                    <w:t>优先引入</w:t>
                  </w:r>
                </w:p>
              </w:tc>
              <w:tc>
                <w:tcPr>
                  <w:tcW w:w="4175" w:type="pct"/>
                  <w:gridSpan w:val="2"/>
                  <w:tcBorders>
                    <w:tl2br w:val="nil"/>
                    <w:tr2bl w:val="nil"/>
                  </w:tcBorders>
                  <w:vAlign w:val="center"/>
                </w:tcPr>
                <w:p w14:paraId="792E19CF">
                  <w:pPr>
                    <w:adjustRightInd w:val="0"/>
                    <w:jc w:val="both"/>
                    <w:rPr>
                      <w:rFonts w:hint="default" w:eastAsia="宋体"/>
                      <w:szCs w:val="21"/>
                      <w:lang w:val="en-US" w:eastAsia="zh-CN"/>
                    </w:rPr>
                  </w:pPr>
                  <w:r>
                    <w:rPr>
                      <w:rFonts w:hint="eastAsia"/>
                      <w:szCs w:val="21"/>
                      <w:lang w:val="en-US" w:eastAsia="zh-CN"/>
                    </w:rPr>
                    <w:t>符合开发区产业定位（三大主导产业）的项目</w:t>
                  </w:r>
                </w:p>
              </w:tc>
            </w:tr>
            <w:tr w14:paraId="63BDD7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63B3B459">
                  <w:pPr>
                    <w:adjustRightInd w:val="0"/>
                    <w:jc w:val="center"/>
                    <w:rPr>
                      <w:rFonts w:hint="eastAsia"/>
                      <w:szCs w:val="21"/>
                      <w:lang w:val="en-US" w:eastAsia="zh-CN"/>
                    </w:rPr>
                  </w:pPr>
                </w:p>
              </w:tc>
              <w:tc>
                <w:tcPr>
                  <w:tcW w:w="4175" w:type="pct"/>
                  <w:gridSpan w:val="2"/>
                  <w:tcBorders>
                    <w:tl2br w:val="nil"/>
                    <w:tr2bl w:val="nil"/>
                  </w:tcBorders>
                  <w:vAlign w:val="center"/>
                </w:tcPr>
                <w:p w14:paraId="4DF8BEBB">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科技含量高、产品附加值高的项目、能源资源消耗少、排污小的企业</w:t>
                  </w:r>
                </w:p>
              </w:tc>
            </w:tr>
            <w:tr w14:paraId="6BC4A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51E8564F">
                  <w:pPr>
                    <w:adjustRightInd w:val="0"/>
                    <w:jc w:val="center"/>
                    <w:rPr>
                      <w:rFonts w:hint="eastAsia"/>
                      <w:szCs w:val="21"/>
                      <w:lang w:val="en-US" w:eastAsia="zh-CN"/>
                    </w:rPr>
                  </w:pPr>
                </w:p>
              </w:tc>
              <w:tc>
                <w:tcPr>
                  <w:tcW w:w="4175" w:type="pct"/>
                  <w:gridSpan w:val="2"/>
                  <w:tcBorders>
                    <w:tl2br w:val="nil"/>
                    <w:tr2bl w:val="nil"/>
                  </w:tcBorders>
                  <w:vAlign w:val="center"/>
                </w:tcPr>
                <w:p w14:paraId="54699FB3">
                  <w:pPr>
                    <w:adjustRightInd w:val="0"/>
                    <w:jc w:val="both"/>
                    <w:rPr>
                      <w:rFonts w:hint="eastAsia"/>
                      <w:szCs w:val="21"/>
                      <w:lang w:val="zh-CN"/>
                    </w:rPr>
                  </w:pPr>
                  <w:r>
                    <w:rPr>
                      <w:rFonts w:hint="eastAsia"/>
                      <w:szCs w:val="21"/>
                      <w:lang w:val="zh-CN"/>
                    </w:rPr>
                    <w:t>符合产业定位且属于《产业结构调整指导目录(2019 年版)》、《战略性新兴产业分类 (2018)》(国家统计局令第 23 号)等政策文件中的项目</w:t>
                  </w:r>
                </w:p>
              </w:tc>
            </w:tr>
            <w:tr w14:paraId="315E8F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74238AF8">
                  <w:pPr>
                    <w:adjustRightInd w:val="0"/>
                    <w:jc w:val="center"/>
                    <w:rPr>
                      <w:rFonts w:hint="eastAsia"/>
                      <w:szCs w:val="21"/>
                      <w:lang w:val="en-US" w:eastAsia="zh-CN"/>
                    </w:rPr>
                  </w:pPr>
                </w:p>
              </w:tc>
              <w:tc>
                <w:tcPr>
                  <w:tcW w:w="776" w:type="pct"/>
                  <w:vMerge w:val="restart"/>
                  <w:tcBorders>
                    <w:tl2br w:val="nil"/>
                    <w:tr2bl w:val="nil"/>
                  </w:tcBorders>
                  <w:vAlign w:val="center"/>
                </w:tcPr>
                <w:p w14:paraId="327FEF0F">
                  <w:pPr>
                    <w:adjustRightInd w:val="0"/>
                    <w:jc w:val="center"/>
                    <w:rPr>
                      <w:rFonts w:hint="default"/>
                      <w:szCs w:val="21"/>
                      <w:lang w:val="en-US" w:eastAsia="zh-CN"/>
                    </w:rPr>
                  </w:pPr>
                  <w:r>
                    <w:rPr>
                      <w:rFonts w:hint="eastAsia"/>
                      <w:szCs w:val="21"/>
                      <w:lang w:val="en-US" w:eastAsia="zh-CN"/>
                    </w:rPr>
                    <w:t>新型建材</w:t>
                  </w:r>
                </w:p>
              </w:tc>
              <w:tc>
                <w:tcPr>
                  <w:tcW w:w="3399" w:type="pct"/>
                  <w:tcBorders>
                    <w:tl2br w:val="nil"/>
                    <w:tr2bl w:val="nil"/>
                  </w:tcBorders>
                  <w:vAlign w:val="center"/>
                </w:tcPr>
                <w:p w14:paraId="7C6D46FE">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30 </w:t>
                  </w:r>
                  <w:r>
                    <w:rPr>
                      <w:rFonts w:hint="eastAsia" w:ascii="宋体" w:hAnsi="宋体" w:eastAsia="宋体" w:cs="宋体"/>
                      <w:color w:val="000000"/>
                      <w:kern w:val="0"/>
                      <w:sz w:val="20"/>
                      <w:szCs w:val="20"/>
                      <w:lang w:val="en-US" w:eastAsia="zh-CN" w:bidi="ar"/>
                    </w:rPr>
                    <w:t>非金属矿物制品业：</w:t>
                  </w:r>
                  <w:r>
                    <w:rPr>
                      <w:rFonts w:hint="default" w:ascii="Times New Roman" w:hAnsi="Times New Roman" w:eastAsia="宋体" w:cs="Times New Roman"/>
                      <w:color w:val="000000"/>
                      <w:kern w:val="0"/>
                      <w:sz w:val="20"/>
                      <w:szCs w:val="20"/>
                      <w:lang w:val="en-US" w:eastAsia="zh-CN" w:bidi="ar"/>
                    </w:rPr>
                    <w:t xml:space="preserve">303 </w:t>
                  </w:r>
                  <w:r>
                    <w:rPr>
                      <w:rFonts w:hint="eastAsia" w:ascii="宋体" w:hAnsi="宋体" w:eastAsia="宋体" w:cs="宋体"/>
                      <w:color w:val="000000"/>
                      <w:kern w:val="0"/>
                      <w:sz w:val="20"/>
                      <w:szCs w:val="20"/>
                      <w:lang w:val="en-US" w:eastAsia="zh-CN" w:bidi="ar"/>
                    </w:rPr>
                    <w:t>砖瓦、石材等建筑材料制造，用废料或废渣生产的建筑材料、</w:t>
                  </w:r>
                  <w:r>
                    <w:rPr>
                      <w:rFonts w:hint="default" w:ascii="Times New Roman" w:hAnsi="Times New Roman" w:eastAsia="宋体" w:cs="Times New Roman"/>
                      <w:color w:val="000000"/>
                      <w:kern w:val="0"/>
                      <w:sz w:val="20"/>
                      <w:szCs w:val="20"/>
                      <w:lang w:val="en-US" w:eastAsia="zh-CN" w:bidi="ar"/>
                    </w:rPr>
                    <w:t xml:space="preserve">308 </w:t>
                  </w:r>
                  <w:r>
                    <w:rPr>
                      <w:rFonts w:hint="eastAsia" w:ascii="宋体" w:hAnsi="宋体" w:eastAsia="宋体" w:cs="宋体"/>
                      <w:color w:val="000000"/>
                      <w:kern w:val="0"/>
                      <w:sz w:val="20"/>
                      <w:szCs w:val="20"/>
                      <w:lang w:val="en-US" w:eastAsia="zh-CN" w:bidi="ar"/>
                    </w:rPr>
                    <w:t>耐火材料制品制造，不含石棉制品</w:t>
                  </w:r>
                </w:p>
              </w:tc>
            </w:tr>
            <w:tr w14:paraId="18288E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32F101A1">
                  <w:pPr>
                    <w:adjustRightInd w:val="0"/>
                    <w:jc w:val="center"/>
                    <w:rPr>
                      <w:rFonts w:hint="eastAsia"/>
                      <w:szCs w:val="21"/>
                      <w:lang w:val="en-US" w:eastAsia="zh-CN"/>
                    </w:rPr>
                  </w:pPr>
                </w:p>
              </w:tc>
              <w:tc>
                <w:tcPr>
                  <w:tcW w:w="776" w:type="pct"/>
                  <w:vMerge w:val="continue"/>
                  <w:tcBorders>
                    <w:tl2br w:val="nil"/>
                    <w:tr2bl w:val="nil"/>
                  </w:tcBorders>
                  <w:vAlign w:val="center"/>
                </w:tcPr>
                <w:p w14:paraId="3E7E58DE">
                  <w:pPr>
                    <w:adjustRightInd w:val="0"/>
                    <w:jc w:val="center"/>
                    <w:rPr>
                      <w:rFonts w:hint="eastAsia"/>
                      <w:szCs w:val="21"/>
                      <w:lang w:val="en-US" w:eastAsia="zh-CN"/>
                    </w:rPr>
                  </w:pPr>
                </w:p>
              </w:tc>
              <w:tc>
                <w:tcPr>
                  <w:tcW w:w="3399" w:type="pct"/>
                  <w:tcBorders>
                    <w:tl2br w:val="nil"/>
                    <w:tr2bl w:val="nil"/>
                  </w:tcBorders>
                  <w:vAlign w:val="center"/>
                </w:tcPr>
                <w:p w14:paraId="3B279F6E">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29 </w:t>
                  </w:r>
                  <w:r>
                    <w:rPr>
                      <w:rFonts w:hint="eastAsia" w:ascii="宋体" w:hAnsi="宋体" w:eastAsia="宋体" w:cs="宋体"/>
                      <w:color w:val="000000"/>
                      <w:kern w:val="0"/>
                      <w:sz w:val="20"/>
                      <w:szCs w:val="20"/>
                      <w:lang w:val="en-US" w:eastAsia="zh-CN" w:bidi="ar"/>
                    </w:rPr>
                    <w:t>橡胶和塑料制品业：</w:t>
                  </w:r>
                  <w:r>
                    <w:rPr>
                      <w:rFonts w:hint="default" w:ascii="Times New Roman" w:hAnsi="Times New Roman" w:eastAsia="宋体" w:cs="Times New Roman"/>
                      <w:color w:val="000000"/>
                      <w:kern w:val="0"/>
                      <w:sz w:val="20"/>
                      <w:szCs w:val="20"/>
                      <w:lang w:val="en-US" w:eastAsia="zh-CN" w:bidi="ar"/>
                    </w:rPr>
                    <w:t xml:space="preserve">2922 </w:t>
                  </w:r>
                  <w:r>
                    <w:rPr>
                      <w:rFonts w:hint="eastAsia" w:ascii="宋体" w:hAnsi="宋体" w:eastAsia="宋体" w:cs="宋体"/>
                      <w:color w:val="000000"/>
                      <w:kern w:val="0"/>
                      <w:sz w:val="20"/>
                      <w:szCs w:val="20"/>
                      <w:lang w:val="en-US" w:eastAsia="zh-CN" w:bidi="ar"/>
                    </w:rPr>
                    <w:t>塑料板、管、型材制造</w:t>
                  </w:r>
                </w:p>
              </w:tc>
            </w:tr>
            <w:tr w14:paraId="63ED1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31E8A8C7">
                  <w:pPr>
                    <w:adjustRightInd w:val="0"/>
                    <w:jc w:val="center"/>
                    <w:rPr>
                      <w:rFonts w:hint="eastAsia"/>
                      <w:szCs w:val="21"/>
                      <w:lang w:val="en-US" w:eastAsia="zh-CN"/>
                    </w:rPr>
                  </w:pPr>
                </w:p>
              </w:tc>
              <w:tc>
                <w:tcPr>
                  <w:tcW w:w="776" w:type="pct"/>
                  <w:vMerge w:val="restart"/>
                  <w:tcBorders>
                    <w:tl2br w:val="nil"/>
                    <w:tr2bl w:val="nil"/>
                  </w:tcBorders>
                  <w:vAlign w:val="center"/>
                </w:tcPr>
                <w:p w14:paraId="1163788E">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机械制造</w:t>
                  </w:r>
                </w:p>
                <w:p w14:paraId="3AB5B436">
                  <w:pPr>
                    <w:adjustRightInd w:val="0"/>
                    <w:jc w:val="center"/>
                    <w:rPr>
                      <w:rFonts w:hint="eastAsia"/>
                      <w:szCs w:val="21"/>
                      <w:lang w:val="en-US" w:eastAsia="zh-CN"/>
                    </w:rPr>
                  </w:pPr>
                </w:p>
              </w:tc>
              <w:tc>
                <w:tcPr>
                  <w:tcW w:w="3399" w:type="pct"/>
                  <w:tcBorders>
                    <w:tl2br w:val="nil"/>
                    <w:tr2bl w:val="nil"/>
                  </w:tcBorders>
                  <w:vAlign w:val="center"/>
                </w:tcPr>
                <w:p w14:paraId="19D1548C">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34 </w:t>
                  </w:r>
                  <w:r>
                    <w:rPr>
                      <w:rFonts w:hint="eastAsia" w:ascii="宋体" w:hAnsi="宋体" w:eastAsia="宋体" w:cs="宋体"/>
                      <w:color w:val="000000"/>
                      <w:kern w:val="0"/>
                      <w:sz w:val="20"/>
                      <w:szCs w:val="20"/>
                      <w:lang w:val="en-US" w:eastAsia="zh-CN" w:bidi="ar"/>
                    </w:rPr>
                    <w:t>通用设备制造业</w:t>
                  </w:r>
                </w:p>
              </w:tc>
            </w:tr>
            <w:tr w14:paraId="5229C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31699F7E">
                  <w:pPr>
                    <w:adjustRightInd w:val="0"/>
                    <w:jc w:val="center"/>
                    <w:rPr>
                      <w:rFonts w:hint="eastAsia"/>
                      <w:szCs w:val="21"/>
                      <w:lang w:val="en-US" w:eastAsia="zh-CN"/>
                    </w:rPr>
                  </w:pPr>
                </w:p>
              </w:tc>
              <w:tc>
                <w:tcPr>
                  <w:tcW w:w="776" w:type="pct"/>
                  <w:vMerge w:val="continue"/>
                  <w:tcBorders>
                    <w:tl2br w:val="nil"/>
                    <w:tr2bl w:val="nil"/>
                  </w:tcBorders>
                  <w:vAlign w:val="center"/>
                </w:tcPr>
                <w:p w14:paraId="112C07FB">
                  <w:pPr>
                    <w:adjustRightInd w:val="0"/>
                    <w:jc w:val="center"/>
                    <w:rPr>
                      <w:rFonts w:hint="eastAsia"/>
                      <w:szCs w:val="21"/>
                      <w:lang w:val="en-US" w:eastAsia="zh-CN"/>
                    </w:rPr>
                  </w:pPr>
                </w:p>
              </w:tc>
              <w:tc>
                <w:tcPr>
                  <w:tcW w:w="3399" w:type="pct"/>
                  <w:tcBorders>
                    <w:tl2br w:val="nil"/>
                    <w:tr2bl w:val="nil"/>
                  </w:tcBorders>
                  <w:vAlign w:val="center"/>
                </w:tcPr>
                <w:p w14:paraId="74A07303">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35 </w:t>
                  </w:r>
                  <w:r>
                    <w:rPr>
                      <w:rFonts w:hint="eastAsia" w:ascii="宋体" w:hAnsi="宋体" w:eastAsia="宋体" w:cs="宋体"/>
                      <w:color w:val="000000"/>
                      <w:kern w:val="0"/>
                      <w:sz w:val="20"/>
                      <w:szCs w:val="20"/>
                      <w:lang w:val="en-US" w:eastAsia="zh-CN" w:bidi="ar"/>
                    </w:rPr>
                    <w:t>专用设备制造业：</w:t>
                  </w:r>
                  <w:r>
                    <w:rPr>
                      <w:rFonts w:hint="default" w:ascii="Times New Roman" w:hAnsi="Times New Roman" w:eastAsia="宋体" w:cs="Times New Roman"/>
                      <w:color w:val="000000"/>
                      <w:kern w:val="0"/>
                      <w:sz w:val="20"/>
                      <w:szCs w:val="20"/>
                      <w:lang w:val="en-US" w:eastAsia="zh-CN" w:bidi="ar"/>
                    </w:rPr>
                    <w:t xml:space="preserve">351 </w:t>
                  </w:r>
                  <w:r>
                    <w:rPr>
                      <w:rFonts w:hint="eastAsia" w:ascii="宋体" w:hAnsi="宋体" w:eastAsia="宋体" w:cs="宋体"/>
                      <w:color w:val="000000"/>
                      <w:kern w:val="0"/>
                      <w:sz w:val="20"/>
                      <w:szCs w:val="20"/>
                      <w:lang w:val="en-US" w:eastAsia="zh-CN" w:bidi="ar"/>
                    </w:rPr>
                    <w:t>采矿、冶金、建筑专用设备制造、</w:t>
                  </w:r>
                  <w:r>
                    <w:rPr>
                      <w:rFonts w:hint="default" w:ascii="Times New Roman" w:hAnsi="Times New Roman" w:eastAsia="宋体" w:cs="Times New Roman"/>
                      <w:color w:val="000000"/>
                      <w:kern w:val="0"/>
                      <w:sz w:val="20"/>
                      <w:szCs w:val="20"/>
                      <w:lang w:val="en-US" w:eastAsia="zh-CN" w:bidi="ar"/>
                    </w:rPr>
                    <w:t xml:space="preserve">355 </w:t>
                  </w:r>
                  <w:r>
                    <w:rPr>
                      <w:rFonts w:hint="eastAsia" w:ascii="宋体" w:hAnsi="宋体" w:eastAsia="宋体" w:cs="宋体"/>
                      <w:color w:val="000000"/>
                      <w:kern w:val="0"/>
                      <w:sz w:val="20"/>
                      <w:szCs w:val="20"/>
                      <w:lang w:val="en-US" w:eastAsia="zh-CN" w:bidi="ar"/>
                    </w:rPr>
                    <w:t>纺织、服 装和皮革加工专用设备制造、</w:t>
                  </w:r>
                  <w:r>
                    <w:rPr>
                      <w:rFonts w:hint="default" w:ascii="Times New Roman" w:hAnsi="Times New Roman" w:eastAsia="宋体" w:cs="Times New Roman"/>
                      <w:color w:val="000000"/>
                      <w:kern w:val="0"/>
                      <w:sz w:val="20"/>
                      <w:szCs w:val="20"/>
                      <w:lang w:val="en-US" w:eastAsia="zh-CN" w:bidi="ar"/>
                    </w:rPr>
                    <w:t xml:space="preserve">356 </w:t>
                  </w:r>
                  <w:r>
                    <w:rPr>
                      <w:rFonts w:hint="eastAsia" w:ascii="宋体" w:hAnsi="宋体" w:eastAsia="宋体" w:cs="宋体"/>
                      <w:color w:val="000000"/>
                      <w:kern w:val="0"/>
                      <w:sz w:val="20"/>
                      <w:szCs w:val="20"/>
                      <w:lang w:val="en-US" w:eastAsia="zh-CN" w:bidi="ar"/>
                    </w:rPr>
                    <w:t>电子和电工机械专用设备制造、</w:t>
                  </w:r>
                  <w:r>
                    <w:rPr>
                      <w:rFonts w:hint="default" w:ascii="Times New Roman" w:hAnsi="Times New Roman" w:eastAsia="宋体" w:cs="Times New Roman"/>
                      <w:color w:val="000000"/>
                      <w:kern w:val="0"/>
                      <w:sz w:val="20"/>
                      <w:szCs w:val="20"/>
                      <w:lang w:val="en-US" w:eastAsia="zh-CN" w:bidi="ar"/>
                    </w:rPr>
                    <w:t xml:space="preserve">358 </w:t>
                  </w:r>
                  <w:r>
                    <w:rPr>
                      <w:rFonts w:hint="eastAsia" w:ascii="宋体" w:hAnsi="宋体" w:eastAsia="宋体" w:cs="宋体"/>
                      <w:color w:val="000000"/>
                      <w:kern w:val="0"/>
                      <w:sz w:val="20"/>
                      <w:szCs w:val="20"/>
                      <w:lang w:val="en-US" w:eastAsia="zh-CN" w:bidi="ar"/>
                    </w:rPr>
                    <w:t>医疗仪器设备及器械制造</w:t>
                  </w:r>
                </w:p>
              </w:tc>
            </w:tr>
            <w:tr w14:paraId="671B6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1CA073FD">
                  <w:pPr>
                    <w:adjustRightInd w:val="0"/>
                    <w:jc w:val="center"/>
                    <w:rPr>
                      <w:rFonts w:hint="eastAsia"/>
                      <w:szCs w:val="21"/>
                      <w:lang w:val="en-US" w:eastAsia="zh-CN"/>
                    </w:rPr>
                  </w:pPr>
                </w:p>
              </w:tc>
              <w:tc>
                <w:tcPr>
                  <w:tcW w:w="776" w:type="pct"/>
                  <w:vMerge w:val="continue"/>
                  <w:tcBorders>
                    <w:tl2br w:val="nil"/>
                    <w:tr2bl w:val="nil"/>
                  </w:tcBorders>
                  <w:vAlign w:val="center"/>
                </w:tcPr>
                <w:p w14:paraId="321FC4A1">
                  <w:pPr>
                    <w:adjustRightInd w:val="0"/>
                    <w:jc w:val="center"/>
                    <w:rPr>
                      <w:rFonts w:hint="eastAsia"/>
                      <w:szCs w:val="21"/>
                      <w:lang w:val="en-US" w:eastAsia="zh-CN"/>
                    </w:rPr>
                  </w:pPr>
                </w:p>
              </w:tc>
              <w:tc>
                <w:tcPr>
                  <w:tcW w:w="3399" w:type="pct"/>
                  <w:tcBorders>
                    <w:tl2br w:val="nil"/>
                    <w:tr2bl w:val="nil"/>
                  </w:tcBorders>
                  <w:vAlign w:val="center"/>
                </w:tcPr>
                <w:p w14:paraId="4EF2D158">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38 </w:t>
                  </w:r>
                  <w:r>
                    <w:rPr>
                      <w:rFonts w:hint="eastAsia" w:ascii="宋体" w:hAnsi="宋体" w:eastAsia="宋体" w:cs="宋体"/>
                      <w:color w:val="000000"/>
                      <w:kern w:val="0"/>
                      <w:sz w:val="20"/>
                      <w:szCs w:val="20"/>
                      <w:lang w:val="en-US" w:eastAsia="zh-CN" w:bidi="ar"/>
                    </w:rPr>
                    <w:t>电气机械和器材制造业：</w:t>
                  </w:r>
                  <w:r>
                    <w:rPr>
                      <w:rFonts w:hint="default" w:ascii="Times New Roman" w:hAnsi="Times New Roman" w:eastAsia="宋体" w:cs="Times New Roman"/>
                      <w:color w:val="000000"/>
                      <w:kern w:val="0"/>
                      <w:sz w:val="20"/>
                      <w:szCs w:val="20"/>
                      <w:lang w:val="en-US" w:eastAsia="zh-CN" w:bidi="ar"/>
                    </w:rPr>
                    <w:t xml:space="preserve">389 </w:t>
                  </w:r>
                  <w:r>
                    <w:rPr>
                      <w:rFonts w:hint="eastAsia" w:ascii="宋体" w:hAnsi="宋体" w:eastAsia="宋体" w:cs="宋体"/>
                      <w:color w:val="000000"/>
                      <w:kern w:val="0"/>
                      <w:sz w:val="20"/>
                      <w:szCs w:val="20"/>
                      <w:lang w:val="en-US" w:eastAsia="zh-CN" w:bidi="ar"/>
                    </w:rPr>
                    <w:t>其他电气机械及器材制造</w:t>
                  </w:r>
                </w:p>
              </w:tc>
            </w:tr>
            <w:tr w14:paraId="6582E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24" w:type="pct"/>
                  <w:vMerge w:val="continue"/>
                  <w:tcBorders>
                    <w:tl2br w:val="nil"/>
                    <w:tr2bl w:val="nil"/>
                  </w:tcBorders>
                  <w:vAlign w:val="center"/>
                </w:tcPr>
                <w:p w14:paraId="0AE6DB10">
                  <w:pPr>
                    <w:adjustRightInd w:val="0"/>
                    <w:jc w:val="center"/>
                    <w:rPr>
                      <w:rFonts w:hint="eastAsia"/>
                      <w:szCs w:val="21"/>
                      <w:lang w:val="en-US" w:eastAsia="zh-CN"/>
                    </w:rPr>
                  </w:pPr>
                </w:p>
              </w:tc>
              <w:tc>
                <w:tcPr>
                  <w:tcW w:w="776" w:type="pct"/>
                  <w:vMerge w:val="restart"/>
                  <w:tcBorders>
                    <w:tl2br w:val="nil"/>
                    <w:tr2bl w:val="nil"/>
                  </w:tcBorders>
                  <w:vAlign w:val="center"/>
                </w:tcPr>
                <w:p w14:paraId="3551DA52">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染织服装</w:t>
                  </w:r>
                </w:p>
                <w:p w14:paraId="00722935">
                  <w:pPr>
                    <w:adjustRightInd w:val="0"/>
                    <w:jc w:val="center"/>
                    <w:rPr>
                      <w:rFonts w:hint="eastAsia"/>
                      <w:szCs w:val="21"/>
                      <w:lang w:val="en-US" w:eastAsia="zh-CN"/>
                    </w:rPr>
                  </w:pPr>
                </w:p>
              </w:tc>
              <w:tc>
                <w:tcPr>
                  <w:tcW w:w="3399" w:type="pct"/>
                  <w:tcBorders>
                    <w:tl2br w:val="nil"/>
                    <w:tr2bl w:val="nil"/>
                  </w:tcBorders>
                  <w:vAlign w:val="center"/>
                </w:tcPr>
                <w:p w14:paraId="06753EF9">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17 </w:t>
                  </w:r>
                  <w:r>
                    <w:rPr>
                      <w:rFonts w:hint="eastAsia" w:ascii="宋体" w:hAnsi="宋体" w:eastAsia="宋体" w:cs="宋体"/>
                      <w:color w:val="000000"/>
                      <w:kern w:val="0"/>
                      <w:sz w:val="20"/>
                      <w:szCs w:val="20"/>
                      <w:lang w:val="en-US" w:eastAsia="zh-CN" w:bidi="ar"/>
                    </w:rPr>
                    <w:t>纺织业：</w:t>
                  </w:r>
                  <w:r>
                    <w:rPr>
                      <w:rFonts w:hint="default" w:ascii="Times New Roman" w:hAnsi="Times New Roman" w:eastAsia="宋体" w:cs="Times New Roman"/>
                      <w:color w:val="000000"/>
                      <w:kern w:val="0"/>
                      <w:sz w:val="20"/>
                      <w:szCs w:val="20"/>
                      <w:lang w:val="en-US" w:eastAsia="zh-CN" w:bidi="ar"/>
                    </w:rPr>
                    <w:t xml:space="preserve">176 </w:t>
                  </w:r>
                  <w:r>
                    <w:rPr>
                      <w:rFonts w:hint="eastAsia" w:ascii="宋体" w:hAnsi="宋体" w:eastAsia="宋体" w:cs="宋体"/>
                      <w:color w:val="000000"/>
                      <w:kern w:val="0"/>
                      <w:sz w:val="20"/>
                      <w:szCs w:val="20"/>
                      <w:lang w:val="en-US" w:eastAsia="zh-CN" w:bidi="ar"/>
                    </w:rPr>
                    <w:t>针织品、编织品及其制品制造、</w:t>
                  </w:r>
                  <w:r>
                    <w:rPr>
                      <w:rFonts w:hint="default" w:ascii="Times New Roman" w:hAnsi="Times New Roman" w:eastAsia="宋体" w:cs="Times New Roman"/>
                      <w:color w:val="000000"/>
                      <w:kern w:val="0"/>
                      <w:sz w:val="20"/>
                      <w:szCs w:val="20"/>
                      <w:lang w:val="en-US" w:eastAsia="zh-CN" w:bidi="ar"/>
                    </w:rPr>
                    <w:t xml:space="preserve">177 </w:t>
                  </w:r>
                  <w:r>
                    <w:rPr>
                      <w:rFonts w:hint="eastAsia" w:ascii="宋体" w:hAnsi="宋体" w:eastAsia="宋体" w:cs="宋体"/>
                      <w:color w:val="000000"/>
                      <w:kern w:val="0"/>
                      <w:sz w:val="20"/>
                      <w:szCs w:val="20"/>
                      <w:lang w:val="en-US" w:eastAsia="zh-CN" w:bidi="ar"/>
                    </w:rPr>
                    <w:t>家用纺织制成品制造、</w:t>
                  </w:r>
                  <w:r>
                    <w:rPr>
                      <w:rFonts w:hint="default" w:ascii="Times New Roman" w:hAnsi="Times New Roman" w:eastAsia="宋体" w:cs="Times New Roman"/>
                      <w:color w:val="000000"/>
                      <w:kern w:val="0"/>
                      <w:sz w:val="20"/>
                      <w:szCs w:val="20"/>
                      <w:lang w:val="en-US" w:eastAsia="zh-CN" w:bidi="ar"/>
                    </w:rPr>
                    <w:t xml:space="preserve">178 </w:t>
                  </w:r>
                  <w:r>
                    <w:rPr>
                      <w:rFonts w:hint="eastAsia" w:ascii="宋体" w:hAnsi="宋体" w:eastAsia="宋体" w:cs="宋体"/>
                      <w:color w:val="000000"/>
                      <w:kern w:val="0"/>
                      <w:sz w:val="20"/>
                      <w:szCs w:val="20"/>
                      <w:lang w:val="en-US" w:eastAsia="zh-CN" w:bidi="ar"/>
                    </w:rPr>
                    <w:t>产业用纺织制成品制造等不涉及洗毛、脱胶、缫丝、染整工艺的、使用有机溶剂的涂层工艺的</w:t>
                  </w:r>
                </w:p>
              </w:tc>
            </w:tr>
            <w:tr w14:paraId="30B061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5383BB86">
                  <w:pPr>
                    <w:adjustRightInd w:val="0"/>
                    <w:jc w:val="center"/>
                    <w:rPr>
                      <w:rFonts w:hint="eastAsia"/>
                      <w:szCs w:val="21"/>
                      <w:lang w:val="en-US" w:eastAsia="zh-CN"/>
                    </w:rPr>
                  </w:pPr>
                </w:p>
              </w:tc>
              <w:tc>
                <w:tcPr>
                  <w:tcW w:w="776" w:type="pct"/>
                  <w:vMerge w:val="continue"/>
                  <w:tcBorders>
                    <w:tl2br w:val="nil"/>
                    <w:tr2bl w:val="nil"/>
                  </w:tcBorders>
                  <w:vAlign w:val="center"/>
                </w:tcPr>
                <w:p w14:paraId="51404CFF">
                  <w:pPr>
                    <w:adjustRightInd w:val="0"/>
                    <w:jc w:val="center"/>
                    <w:rPr>
                      <w:rFonts w:hint="eastAsia"/>
                      <w:szCs w:val="21"/>
                      <w:lang w:val="en-US" w:eastAsia="zh-CN"/>
                    </w:rPr>
                  </w:pPr>
                </w:p>
              </w:tc>
              <w:tc>
                <w:tcPr>
                  <w:tcW w:w="3399" w:type="pct"/>
                  <w:tcBorders>
                    <w:tl2br w:val="nil"/>
                    <w:tr2bl w:val="nil"/>
                  </w:tcBorders>
                  <w:vAlign w:val="center"/>
                </w:tcPr>
                <w:p w14:paraId="1BD57FFF">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18 </w:t>
                  </w:r>
                  <w:r>
                    <w:rPr>
                      <w:rFonts w:hint="eastAsia" w:ascii="宋体" w:hAnsi="宋体" w:eastAsia="宋体" w:cs="宋体"/>
                      <w:color w:val="000000"/>
                      <w:kern w:val="0"/>
                      <w:sz w:val="20"/>
                      <w:szCs w:val="20"/>
                      <w:lang w:val="en-US" w:eastAsia="zh-CN" w:bidi="ar"/>
                    </w:rPr>
                    <w:t>纺织服装、服饰业：</w:t>
                  </w:r>
                  <w:r>
                    <w:rPr>
                      <w:rFonts w:hint="default" w:ascii="Times New Roman" w:hAnsi="Times New Roman" w:eastAsia="宋体" w:cs="Times New Roman"/>
                      <w:color w:val="000000"/>
                      <w:kern w:val="0"/>
                      <w:sz w:val="20"/>
                      <w:szCs w:val="20"/>
                      <w:lang w:val="en-US" w:eastAsia="zh-CN" w:bidi="ar"/>
                    </w:rPr>
                    <w:t xml:space="preserve">181 </w:t>
                  </w:r>
                  <w:r>
                    <w:rPr>
                      <w:rFonts w:hint="eastAsia" w:ascii="宋体" w:hAnsi="宋体" w:eastAsia="宋体" w:cs="宋体"/>
                      <w:color w:val="000000"/>
                      <w:kern w:val="0"/>
                      <w:sz w:val="20"/>
                      <w:szCs w:val="20"/>
                      <w:lang w:val="en-US" w:eastAsia="zh-CN" w:bidi="ar"/>
                    </w:rPr>
                    <w:t>机织服装制造、</w:t>
                  </w:r>
                  <w:r>
                    <w:rPr>
                      <w:rFonts w:hint="default" w:ascii="Times New Roman" w:hAnsi="Times New Roman" w:eastAsia="宋体" w:cs="Times New Roman"/>
                      <w:color w:val="000000"/>
                      <w:kern w:val="0"/>
                      <w:sz w:val="20"/>
                      <w:szCs w:val="20"/>
                      <w:lang w:val="en-US" w:eastAsia="zh-CN" w:bidi="ar"/>
                    </w:rPr>
                    <w:t xml:space="preserve">182 </w:t>
                  </w:r>
                  <w:r>
                    <w:rPr>
                      <w:rFonts w:hint="eastAsia" w:ascii="宋体" w:hAnsi="宋体" w:eastAsia="宋体" w:cs="宋体"/>
                      <w:color w:val="000000"/>
                      <w:kern w:val="0"/>
                      <w:sz w:val="20"/>
                      <w:szCs w:val="20"/>
                      <w:lang w:val="en-US" w:eastAsia="zh-CN" w:bidi="ar"/>
                    </w:rPr>
                    <w:t>针织或钩针编织服装制 造、</w:t>
                  </w:r>
                  <w:r>
                    <w:rPr>
                      <w:rFonts w:hint="default" w:ascii="Times New Roman" w:hAnsi="Times New Roman" w:eastAsia="宋体" w:cs="Times New Roman"/>
                      <w:color w:val="000000"/>
                      <w:kern w:val="0"/>
                      <w:sz w:val="20"/>
                      <w:szCs w:val="20"/>
                      <w:lang w:val="en-US" w:eastAsia="zh-CN" w:bidi="ar"/>
                    </w:rPr>
                    <w:t xml:space="preserve">183 </w:t>
                  </w:r>
                  <w:r>
                    <w:rPr>
                      <w:rFonts w:hint="eastAsia" w:ascii="宋体" w:hAnsi="宋体" w:eastAsia="宋体" w:cs="宋体"/>
                      <w:color w:val="000000"/>
                      <w:kern w:val="0"/>
                      <w:sz w:val="20"/>
                      <w:szCs w:val="20"/>
                      <w:lang w:val="en-US" w:eastAsia="zh-CN" w:bidi="ar"/>
                    </w:rPr>
                    <w:t>服饰制造等不涉及染色、印花工艺的</w:t>
                  </w:r>
                </w:p>
              </w:tc>
            </w:tr>
            <w:tr w14:paraId="5FE1D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5D4AACD2">
                  <w:pPr>
                    <w:adjustRightInd w:val="0"/>
                    <w:jc w:val="center"/>
                    <w:rPr>
                      <w:rFonts w:hint="eastAsia"/>
                      <w:szCs w:val="21"/>
                      <w:lang w:val="en-US" w:eastAsia="zh-CN"/>
                    </w:rPr>
                  </w:pPr>
                </w:p>
              </w:tc>
              <w:tc>
                <w:tcPr>
                  <w:tcW w:w="776" w:type="pct"/>
                  <w:vMerge w:val="restart"/>
                  <w:tcBorders>
                    <w:tl2br w:val="nil"/>
                    <w:tr2bl w:val="nil"/>
                  </w:tcBorders>
                  <w:vAlign w:val="center"/>
                </w:tcPr>
                <w:p w14:paraId="023B91C9">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机械零部件</w:t>
                  </w:r>
                </w:p>
                <w:p w14:paraId="1D502B0B">
                  <w:pPr>
                    <w:adjustRightInd w:val="0"/>
                    <w:jc w:val="center"/>
                    <w:rPr>
                      <w:rFonts w:hint="eastAsia"/>
                      <w:szCs w:val="21"/>
                      <w:lang w:val="en-US" w:eastAsia="zh-CN"/>
                    </w:rPr>
                  </w:pPr>
                </w:p>
              </w:tc>
              <w:tc>
                <w:tcPr>
                  <w:tcW w:w="3399" w:type="pct"/>
                  <w:tcBorders>
                    <w:tl2br w:val="nil"/>
                    <w:tr2bl w:val="nil"/>
                  </w:tcBorders>
                  <w:vAlign w:val="center"/>
                </w:tcPr>
                <w:p w14:paraId="1D25FAEC">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34 </w:t>
                  </w:r>
                  <w:r>
                    <w:rPr>
                      <w:rFonts w:hint="eastAsia" w:ascii="宋体" w:hAnsi="宋体" w:eastAsia="宋体" w:cs="宋体"/>
                      <w:color w:val="000000"/>
                      <w:kern w:val="0"/>
                      <w:sz w:val="20"/>
                      <w:szCs w:val="20"/>
                      <w:lang w:val="en-US" w:eastAsia="zh-CN" w:bidi="ar"/>
                    </w:rPr>
                    <w:t>通用设备制造业：</w:t>
                  </w:r>
                  <w:r>
                    <w:rPr>
                      <w:rFonts w:hint="default" w:ascii="Times New Roman" w:hAnsi="Times New Roman" w:eastAsia="宋体" w:cs="Times New Roman"/>
                      <w:color w:val="000000"/>
                      <w:kern w:val="0"/>
                      <w:sz w:val="20"/>
                      <w:szCs w:val="20"/>
                      <w:lang w:val="en-US" w:eastAsia="zh-CN" w:bidi="ar"/>
                    </w:rPr>
                    <w:t xml:space="preserve">348 </w:t>
                  </w:r>
                  <w:r>
                    <w:rPr>
                      <w:rFonts w:hint="eastAsia" w:ascii="宋体" w:hAnsi="宋体" w:eastAsia="宋体" w:cs="宋体"/>
                      <w:color w:val="000000"/>
                      <w:kern w:val="0"/>
                      <w:sz w:val="20"/>
                      <w:szCs w:val="20"/>
                      <w:lang w:val="en-US" w:eastAsia="zh-CN" w:bidi="ar"/>
                    </w:rPr>
                    <w:t>通用零部件制造</w:t>
                  </w:r>
                </w:p>
              </w:tc>
            </w:tr>
            <w:tr w14:paraId="5557C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408C4A62">
                  <w:pPr>
                    <w:adjustRightInd w:val="0"/>
                    <w:jc w:val="center"/>
                    <w:rPr>
                      <w:rFonts w:hint="eastAsia"/>
                      <w:szCs w:val="21"/>
                      <w:lang w:val="en-US" w:eastAsia="zh-CN"/>
                    </w:rPr>
                  </w:pPr>
                </w:p>
              </w:tc>
              <w:tc>
                <w:tcPr>
                  <w:tcW w:w="776" w:type="pct"/>
                  <w:vMerge w:val="continue"/>
                  <w:tcBorders>
                    <w:tl2br w:val="nil"/>
                    <w:tr2bl w:val="nil"/>
                  </w:tcBorders>
                  <w:vAlign w:val="center"/>
                </w:tcPr>
                <w:p w14:paraId="5042E8DB">
                  <w:pPr>
                    <w:adjustRightInd w:val="0"/>
                    <w:jc w:val="center"/>
                    <w:rPr>
                      <w:rFonts w:hint="eastAsia"/>
                      <w:szCs w:val="21"/>
                      <w:lang w:val="en-US" w:eastAsia="zh-CN"/>
                    </w:rPr>
                  </w:pPr>
                </w:p>
              </w:tc>
              <w:tc>
                <w:tcPr>
                  <w:tcW w:w="3399" w:type="pct"/>
                  <w:tcBorders>
                    <w:tl2br w:val="nil"/>
                    <w:tr2bl w:val="nil"/>
                  </w:tcBorders>
                  <w:vAlign w:val="center"/>
                </w:tcPr>
                <w:p w14:paraId="723DD91E">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35 </w:t>
                  </w:r>
                  <w:r>
                    <w:rPr>
                      <w:rFonts w:hint="eastAsia" w:ascii="宋体" w:hAnsi="宋体" w:eastAsia="宋体" w:cs="宋体"/>
                      <w:color w:val="000000"/>
                      <w:kern w:val="0"/>
                      <w:sz w:val="20"/>
                      <w:szCs w:val="20"/>
                      <w:lang w:val="en-US" w:eastAsia="zh-CN" w:bidi="ar"/>
                    </w:rPr>
                    <w:t>专用设备制造业：</w:t>
                  </w:r>
                  <w:r>
                    <w:rPr>
                      <w:rFonts w:hint="default" w:ascii="Times New Roman" w:hAnsi="Times New Roman" w:eastAsia="宋体" w:cs="Times New Roman"/>
                      <w:color w:val="000000"/>
                      <w:kern w:val="0"/>
                      <w:sz w:val="20"/>
                      <w:szCs w:val="20"/>
                      <w:lang w:val="en-US" w:eastAsia="zh-CN" w:bidi="ar"/>
                    </w:rPr>
                    <w:t xml:space="preserve">351 </w:t>
                  </w:r>
                  <w:r>
                    <w:rPr>
                      <w:rFonts w:hint="eastAsia" w:ascii="宋体" w:hAnsi="宋体" w:eastAsia="宋体" w:cs="宋体"/>
                      <w:color w:val="000000"/>
                      <w:kern w:val="0"/>
                      <w:sz w:val="20"/>
                      <w:szCs w:val="20"/>
                      <w:lang w:val="en-US" w:eastAsia="zh-CN" w:bidi="ar"/>
                    </w:rPr>
                    <w:t>采矿、冶金、建筑专用设备制造、</w:t>
                  </w:r>
                  <w:r>
                    <w:rPr>
                      <w:rFonts w:hint="default" w:ascii="Times New Roman" w:hAnsi="Times New Roman" w:eastAsia="宋体" w:cs="Times New Roman"/>
                      <w:color w:val="000000"/>
                      <w:kern w:val="0"/>
                      <w:sz w:val="20"/>
                      <w:szCs w:val="20"/>
                      <w:lang w:val="en-US" w:eastAsia="zh-CN" w:bidi="ar"/>
                    </w:rPr>
                    <w:t xml:space="preserve">358 </w:t>
                  </w:r>
                  <w:r>
                    <w:rPr>
                      <w:rFonts w:hint="eastAsia" w:ascii="宋体" w:hAnsi="宋体" w:eastAsia="宋体" w:cs="宋体"/>
                      <w:color w:val="000000"/>
                      <w:kern w:val="0"/>
                      <w:sz w:val="20"/>
                      <w:szCs w:val="20"/>
                      <w:lang w:val="en-US" w:eastAsia="zh-CN" w:bidi="ar"/>
                    </w:rPr>
                    <w:t xml:space="preserve">医疗仪器 设备及器械制造等无电镀工艺且采用分割、焊接、组装工艺、使用非溶剂型低 </w:t>
                  </w:r>
                  <w:r>
                    <w:rPr>
                      <w:rFonts w:hint="default" w:ascii="Times New Roman" w:hAnsi="Times New Roman" w:eastAsia="宋体" w:cs="Times New Roman"/>
                      <w:color w:val="000000"/>
                      <w:kern w:val="0"/>
                      <w:sz w:val="20"/>
                      <w:szCs w:val="20"/>
                      <w:lang w:val="en-US" w:eastAsia="zh-CN" w:bidi="ar"/>
                    </w:rPr>
                    <w:t xml:space="preserve">VOCs </w:t>
                  </w:r>
                  <w:r>
                    <w:rPr>
                      <w:rFonts w:hint="eastAsia" w:ascii="宋体" w:hAnsi="宋体" w:eastAsia="宋体" w:cs="宋体"/>
                      <w:color w:val="000000"/>
                      <w:kern w:val="0"/>
                      <w:sz w:val="20"/>
                      <w:szCs w:val="20"/>
                      <w:lang w:val="en-US" w:eastAsia="zh-CN" w:bidi="ar"/>
                    </w:rPr>
                    <w:t>含量涂料的</w:t>
                  </w:r>
                </w:p>
              </w:tc>
            </w:tr>
            <w:tr w14:paraId="6F0440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0613458A">
                  <w:pPr>
                    <w:adjustRightInd w:val="0"/>
                    <w:jc w:val="center"/>
                    <w:rPr>
                      <w:rFonts w:hint="eastAsia"/>
                      <w:szCs w:val="21"/>
                      <w:lang w:val="en-US" w:eastAsia="zh-CN"/>
                    </w:rPr>
                  </w:pPr>
                </w:p>
              </w:tc>
              <w:tc>
                <w:tcPr>
                  <w:tcW w:w="776" w:type="pct"/>
                  <w:vMerge w:val="continue"/>
                  <w:tcBorders>
                    <w:tl2br w:val="nil"/>
                    <w:tr2bl w:val="nil"/>
                  </w:tcBorders>
                  <w:vAlign w:val="center"/>
                </w:tcPr>
                <w:p w14:paraId="3B145101">
                  <w:pPr>
                    <w:adjustRightInd w:val="0"/>
                    <w:jc w:val="center"/>
                    <w:rPr>
                      <w:rFonts w:hint="eastAsia"/>
                      <w:szCs w:val="21"/>
                      <w:lang w:val="en-US" w:eastAsia="zh-CN"/>
                    </w:rPr>
                  </w:pPr>
                </w:p>
              </w:tc>
              <w:tc>
                <w:tcPr>
                  <w:tcW w:w="3399" w:type="pct"/>
                  <w:tcBorders>
                    <w:tl2br w:val="nil"/>
                    <w:tr2bl w:val="nil"/>
                  </w:tcBorders>
                  <w:vAlign w:val="center"/>
                </w:tcPr>
                <w:p w14:paraId="1CB44945">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38 </w:t>
                  </w:r>
                  <w:r>
                    <w:rPr>
                      <w:rFonts w:hint="eastAsia" w:ascii="宋体" w:hAnsi="宋体" w:eastAsia="宋体" w:cs="宋体"/>
                      <w:color w:val="000000"/>
                      <w:kern w:val="0"/>
                      <w:sz w:val="20"/>
                      <w:szCs w:val="20"/>
                      <w:lang w:val="en-US" w:eastAsia="zh-CN" w:bidi="ar"/>
                    </w:rPr>
                    <w:t>电气机械和器材制造业：</w:t>
                  </w:r>
                  <w:r>
                    <w:rPr>
                      <w:rFonts w:hint="default" w:ascii="Times New Roman" w:hAnsi="Times New Roman" w:eastAsia="宋体" w:cs="Times New Roman"/>
                      <w:color w:val="000000"/>
                      <w:kern w:val="0"/>
                      <w:sz w:val="20"/>
                      <w:szCs w:val="20"/>
                      <w:lang w:val="en-US" w:eastAsia="zh-CN" w:bidi="ar"/>
                    </w:rPr>
                    <w:t xml:space="preserve">389 </w:t>
                  </w:r>
                  <w:r>
                    <w:rPr>
                      <w:rFonts w:hint="eastAsia" w:ascii="宋体" w:hAnsi="宋体" w:eastAsia="宋体" w:cs="宋体"/>
                      <w:color w:val="000000"/>
                      <w:kern w:val="0"/>
                      <w:sz w:val="20"/>
                      <w:szCs w:val="20"/>
                      <w:lang w:val="en-US" w:eastAsia="zh-CN" w:bidi="ar"/>
                    </w:rPr>
                    <w:t xml:space="preserve">其他电气机械及器材制造等无电镀工艺且仅采用分割、焊接、组装工艺、使用非溶剂型低 </w:t>
                  </w:r>
                  <w:r>
                    <w:rPr>
                      <w:rFonts w:hint="default" w:ascii="Times New Roman" w:hAnsi="Times New Roman" w:eastAsia="宋体" w:cs="Times New Roman"/>
                      <w:color w:val="000000"/>
                      <w:kern w:val="0"/>
                      <w:sz w:val="20"/>
                      <w:szCs w:val="20"/>
                      <w:lang w:val="en-US" w:eastAsia="zh-CN" w:bidi="ar"/>
                    </w:rPr>
                    <w:t xml:space="preserve">VOCs </w:t>
                  </w:r>
                  <w:r>
                    <w:rPr>
                      <w:rFonts w:hint="eastAsia" w:ascii="宋体" w:hAnsi="宋体" w:eastAsia="宋体" w:cs="宋体"/>
                      <w:color w:val="000000"/>
                      <w:kern w:val="0"/>
                      <w:sz w:val="20"/>
                      <w:szCs w:val="20"/>
                      <w:lang w:val="en-US" w:eastAsia="zh-CN" w:bidi="ar"/>
                    </w:rPr>
                    <w:t>含量涂料的</w:t>
                  </w:r>
                </w:p>
              </w:tc>
            </w:tr>
            <w:tr w14:paraId="49731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183D1BEF">
                  <w:pPr>
                    <w:adjustRightInd w:val="0"/>
                    <w:jc w:val="center"/>
                    <w:rPr>
                      <w:rFonts w:hint="eastAsia"/>
                      <w:szCs w:val="21"/>
                      <w:lang w:val="en-US" w:eastAsia="zh-CN"/>
                    </w:rPr>
                  </w:pPr>
                </w:p>
              </w:tc>
              <w:tc>
                <w:tcPr>
                  <w:tcW w:w="776" w:type="pct"/>
                  <w:tcBorders>
                    <w:tl2br w:val="nil"/>
                    <w:tr2bl w:val="nil"/>
                  </w:tcBorders>
                  <w:vAlign w:val="center"/>
                </w:tcPr>
                <w:p w14:paraId="4821853A">
                  <w:pPr>
                    <w:keepNext w:val="0"/>
                    <w:keepLines w:val="0"/>
                    <w:widowControl/>
                    <w:suppressLineNumbers w:val="0"/>
                    <w:jc w:val="center"/>
                    <w:rPr>
                      <w:rFonts w:hint="eastAsia"/>
                      <w:szCs w:val="21"/>
                      <w:lang w:val="en-US" w:eastAsia="zh-CN"/>
                    </w:rPr>
                  </w:pPr>
                  <w:r>
                    <w:rPr>
                      <w:rFonts w:hint="eastAsia" w:ascii="宋体" w:hAnsi="宋体" w:eastAsia="宋体" w:cs="宋体"/>
                      <w:color w:val="000000"/>
                      <w:kern w:val="0"/>
                      <w:sz w:val="20"/>
                      <w:szCs w:val="20"/>
                      <w:lang w:val="en-US" w:eastAsia="zh-CN" w:bidi="ar"/>
                    </w:rPr>
                    <w:t>化学工业</w:t>
                  </w:r>
                </w:p>
              </w:tc>
              <w:tc>
                <w:tcPr>
                  <w:tcW w:w="3399" w:type="pct"/>
                  <w:tcBorders>
                    <w:tl2br w:val="nil"/>
                    <w:tr2bl w:val="nil"/>
                  </w:tcBorders>
                  <w:vAlign w:val="center"/>
                </w:tcPr>
                <w:p w14:paraId="6E5F07A2">
                  <w:pPr>
                    <w:keepNext w:val="0"/>
                    <w:keepLines w:val="0"/>
                    <w:widowControl/>
                    <w:suppressLineNumbers w:val="0"/>
                    <w:jc w:val="left"/>
                    <w:rPr>
                      <w:rFonts w:hint="eastAsia"/>
                      <w:szCs w:val="21"/>
                      <w:lang w:val="zh-CN"/>
                    </w:rPr>
                  </w:pPr>
                  <w:r>
                    <w:rPr>
                      <w:rFonts w:hint="default" w:ascii="Times New Roman" w:hAnsi="Times New Roman" w:eastAsia="宋体" w:cs="Times New Roman"/>
                      <w:color w:val="000000"/>
                      <w:kern w:val="0"/>
                      <w:sz w:val="20"/>
                      <w:szCs w:val="20"/>
                      <w:lang w:val="en-US" w:eastAsia="zh-CN" w:bidi="ar"/>
                    </w:rPr>
                    <w:t xml:space="preserve">26 </w:t>
                  </w:r>
                  <w:r>
                    <w:rPr>
                      <w:rFonts w:hint="eastAsia" w:ascii="宋体" w:hAnsi="宋体" w:eastAsia="宋体" w:cs="宋体"/>
                      <w:color w:val="000000"/>
                      <w:kern w:val="0"/>
                      <w:sz w:val="20"/>
                      <w:szCs w:val="20"/>
                      <w:lang w:val="en-US" w:eastAsia="zh-CN" w:bidi="ar"/>
                    </w:rPr>
                    <w:t>化学原料和化学制品制造业（除</w:t>
                  </w:r>
                  <w:r>
                    <w:rPr>
                      <w:rFonts w:hint="eastAsia"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两高</w:t>
                  </w:r>
                  <w:r>
                    <w:rPr>
                      <w:rFonts w:hint="eastAsia"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类项目）</w:t>
                  </w:r>
                </w:p>
              </w:tc>
            </w:tr>
            <w:tr w14:paraId="1B8FA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restart"/>
                  <w:tcBorders>
                    <w:tl2br w:val="nil"/>
                    <w:tr2bl w:val="nil"/>
                  </w:tcBorders>
                  <w:vAlign w:val="center"/>
                </w:tcPr>
                <w:p w14:paraId="44C314E4">
                  <w:pPr>
                    <w:adjustRightInd w:val="0"/>
                    <w:jc w:val="center"/>
                    <w:rPr>
                      <w:rFonts w:hint="default"/>
                      <w:szCs w:val="21"/>
                      <w:lang w:val="en-US" w:eastAsia="zh-CN"/>
                    </w:rPr>
                  </w:pPr>
                  <w:r>
                    <w:rPr>
                      <w:rFonts w:hint="eastAsia"/>
                      <w:szCs w:val="21"/>
                      <w:lang w:val="en-US" w:eastAsia="zh-CN"/>
                    </w:rPr>
                    <w:t>禁止类</w:t>
                  </w:r>
                </w:p>
              </w:tc>
              <w:tc>
                <w:tcPr>
                  <w:tcW w:w="4175" w:type="pct"/>
                  <w:gridSpan w:val="2"/>
                  <w:tcBorders>
                    <w:tl2br w:val="nil"/>
                    <w:tr2bl w:val="nil"/>
                  </w:tcBorders>
                  <w:vAlign w:val="center"/>
                </w:tcPr>
                <w:p w14:paraId="203C9CC4">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禁止引入国家明令禁止建设或投资的、引入列入《产业结构调整指导目录（</w:t>
                  </w:r>
                  <w:r>
                    <w:rPr>
                      <w:rFonts w:hint="default" w:ascii="Times New Roman" w:hAnsi="Times New Roman" w:eastAsia="宋体" w:cs="Times New Roman"/>
                      <w:color w:val="000000"/>
                      <w:kern w:val="0"/>
                      <w:sz w:val="20"/>
                      <w:szCs w:val="20"/>
                      <w:lang w:val="en-US" w:eastAsia="zh-CN" w:bidi="ar"/>
                    </w:rPr>
                    <w:t>2019</w:t>
                  </w:r>
                  <w:r>
                    <w:rPr>
                      <w:rFonts w:hint="eastAsia" w:ascii="宋体" w:hAnsi="宋体" w:eastAsia="宋体" w:cs="宋体"/>
                      <w:color w:val="000000"/>
                      <w:kern w:val="0"/>
                      <w:sz w:val="20"/>
                      <w:szCs w:val="20"/>
                      <w:lang w:val="en-US" w:eastAsia="zh-CN" w:bidi="ar"/>
                    </w:rPr>
                    <w:t>年本）》、《外商投资产业指导目录（</w:t>
                  </w:r>
                  <w:r>
                    <w:rPr>
                      <w:rFonts w:hint="default" w:ascii="Times New Roman" w:hAnsi="Times New Roman" w:eastAsia="宋体" w:cs="Times New Roman"/>
                      <w:color w:val="000000"/>
                      <w:kern w:val="0"/>
                      <w:sz w:val="20"/>
                      <w:szCs w:val="20"/>
                      <w:lang w:val="en-US" w:eastAsia="zh-CN" w:bidi="ar"/>
                    </w:rPr>
                    <w:t>2017</w:t>
                  </w:r>
                  <w:r>
                    <w:rPr>
                      <w:rFonts w:hint="eastAsia" w:ascii="宋体" w:hAnsi="宋体" w:eastAsia="宋体" w:cs="宋体"/>
                      <w:color w:val="000000"/>
                      <w:kern w:val="0"/>
                      <w:sz w:val="20"/>
                      <w:szCs w:val="20"/>
                      <w:lang w:val="en-US" w:eastAsia="zh-CN" w:bidi="ar"/>
                    </w:rPr>
                    <w:t>年修订）》、《市场准入负面清单（</w:t>
                  </w:r>
                  <w:r>
                    <w:rPr>
                      <w:rFonts w:hint="default" w:ascii="Times New Roman" w:hAnsi="Times New Roman" w:eastAsia="宋体" w:cs="Times New Roman"/>
                      <w:color w:val="000000"/>
                      <w:kern w:val="0"/>
                      <w:sz w:val="20"/>
                      <w:szCs w:val="20"/>
                      <w:lang w:val="en-US" w:eastAsia="zh-CN" w:bidi="ar"/>
                    </w:rPr>
                    <w:t>2020</w:t>
                  </w:r>
                  <w:r>
                    <w:rPr>
                      <w:rFonts w:hint="eastAsia" w:ascii="宋体" w:hAnsi="宋体" w:eastAsia="宋体" w:cs="宋体"/>
                      <w:color w:val="000000"/>
                      <w:kern w:val="0"/>
                      <w:sz w:val="20"/>
                      <w:szCs w:val="20"/>
                      <w:lang w:val="en-US" w:eastAsia="zh-CN" w:bidi="ar"/>
                    </w:rPr>
                    <w:t>年版）》等相关产业政策中禁止或淘汰类项目、产品、工艺和设备</w:t>
                  </w:r>
                </w:p>
              </w:tc>
            </w:tr>
            <w:tr w14:paraId="54CAB1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05DD316A">
                  <w:pPr>
                    <w:adjustRightInd w:val="0"/>
                    <w:jc w:val="center"/>
                    <w:rPr>
                      <w:rFonts w:hint="eastAsia"/>
                      <w:szCs w:val="21"/>
                      <w:lang w:val="en-US" w:eastAsia="zh-CN"/>
                    </w:rPr>
                  </w:pPr>
                </w:p>
              </w:tc>
              <w:tc>
                <w:tcPr>
                  <w:tcW w:w="4175" w:type="pct"/>
                  <w:gridSpan w:val="2"/>
                  <w:tcBorders>
                    <w:tl2br w:val="nil"/>
                    <w:tr2bl w:val="nil"/>
                  </w:tcBorders>
                  <w:vAlign w:val="center"/>
                </w:tcPr>
                <w:p w14:paraId="5FEB766E">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禁止引进国家、安徽省明确规定不得审批的建设项目</w:t>
                  </w:r>
                </w:p>
              </w:tc>
            </w:tr>
            <w:tr w14:paraId="32A6F1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5D7CCCD5">
                  <w:pPr>
                    <w:adjustRightInd w:val="0"/>
                    <w:jc w:val="center"/>
                    <w:rPr>
                      <w:rFonts w:hint="eastAsia"/>
                      <w:szCs w:val="21"/>
                      <w:lang w:val="en-US" w:eastAsia="zh-CN"/>
                    </w:rPr>
                  </w:pPr>
                </w:p>
              </w:tc>
              <w:tc>
                <w:tcPr>
                  <w:tcW w:w="4175" w:type="pct"/>
                  <w:gridSpan w:val="2"/>
                  <w:tcBorders>
                    <w:tl2br w:val="nil"/>
                    <w:tr2bl w:val="nil"/>
                  </w:tcBorders>
                  <w:vAlign w:val="center"/>
                </w:tcPr>
                <w:p w14:paraId="68E9F452">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根据《关于全面打造水清岸绿产业优美丽长江（芜湖）经济带的实施意见（升级版）》严禁长江干支流</w:t>
                  </w:r>
                  <w:r>
                    <w:rPr>
                      <w:rFonts w:hint="default" w:ascii="Times New Roman" w:hAnsi="Times New Roman" w:eastAsia="宋体" w:cs="Times New Roman"/>
                      <w:color w:val="000000"/>
                      <w:kern w:val="0"/>
                      <w:sz w:val="20"/>
                      <w:szCs w:val="20"/>
                      <w:lang w:val="en-US" w:eastAsia="zh-CN" w:bidi="ar"/>
                    </w:rPr>
                    <w:t>1</w:t>
                  </w:r>
                  <w:r>
                    <w:rPr>
                      <w:rFonts w:hint="eastAsia" w:ascii="宋体" w:hAnsi="宋体" w:eastAsia="宋体" w:cs="宋体"/>
                      <w:color w:val="000000"/>
                      <w:kern w:val="0"/>
                      <w:sz w:val="20"/>
                      <w:szCs w:val="20"/>
                      <w:lang w:val="en-US" w:eastAsia="zh-CN" w:bidi="ar"/>
                    </w:rPr>
                    <w:t>公里范围内新建化工项目、严控</w:t>
                  </w:r>
                  <w:r>
                    <w:rPr>
                      <w:rFonts w:hint="default" w:ascii="Times New Roman" w:hAnsi="Times New Roman" w:eastAsia="宋体" w:cs="Times New Roman"/>
                      <w:color w:val="000000"/>
                      <w:kern w:val="0"/>
                      <w:sz w:val="20"/>
                      <w:szCs w:val="20"/>
                      <w:lang w:val="en-US" w:eastAsia="zh-CN" w:bidi="ar"/>
                    </w:rPr>
                    <w:t>5</w:t>
                  </w:r>
                  <w:r>
                    <w:rPr>
                      <w:rFonts w:hint="eastAsia" w:ascii="宋体" w:hAnsi="宋体" w:eastAsia="宋体" w:cs="宋体"/>
                      <w:color w:val="000000"/>
                      <w:kern w:val="0"/>
                      <w:sz w:val="20"/>
                      <w:szCs w:val="20"/>
                      <w:lang w:val="en-US" w:eastAsia="zh-CN" w:bidi="ar"/>
                    </w:rPr>
                    <w:t>公里长江干流范围内新建重化工重污染项目、严管</w:t>
                  </w:r>
                  <w:r>
                    <w:rPr>
                      <w:rFonts w:hint="default" w:ascii="Times New Roman" w:hAnsi="Times New Roman" w:eastAsia="宋体" w:cs="Times New Roman"/>
                      <w:color w:val="000000"/>
                      <w:kern w:val="0"/>
                      <w:sz w:val="20"/>
                      <w:szCs w:val="20"/>
                      <w:lang w:val="en-US" w:eastAsia="zh-CN" w:bidi="ar"/>
                    </w:rPr>
                    <w:t xml:space="preserve">15 </w:t>
                  </w:r>
                  <w:r>
                    <w:rPr>
                      <w:rFonts w:hint="eastAsia" w:ascii="宋体" w:hAnsi="宋体" w:eastAsia="宋体" w:cs="宋体"/>
                      <w:color w:val="000000"/>
                      <w:kern w:val="0"/>
                      <w:sz w:val="20"/>
                      <w:szCs w:val="20"/>
                      <w:lang w:val="en-US" w:eastAsia="zh-CN" w:bidi="ar"/>
                    </w:rPr>
                    <w:t>公里长江干流范围内新建项目</w:t>
                  </w:r>
                </w:p>
              </w:tc>
            </w:tr>
            <w:tr w14:paraId="4B9403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163BFC9E">
                  <w:pPr>
                    <w:adjustRightInd w:val="0"/>
                    <w:jc w:val="center"/>
                    <w:rPr>
                      <w:rFonts w:hint="eastAsia"/>
                      <w:szCs w:val="21"/>
                      <w:lang w:val="en-US" w:eastAsia="zh-CN"/>
                    </w:rPr>
                  </w:pPr>
                </w:p>
              </w:tc>
              <w:tc>
                <w:tcPr>
                  <w:tcW w:w="4175" w:type="pct"/>
                  <w:gridSpan w:val="2"/>
                  <w:tcBorders>
                    <w:tl2br w:val="nil"/>
                    <w:tr2bl w:val="nil"/>
                  </w:tcBorders>
                  <w:vAlign w:val="center"/>
                </w:tcPr>
                <w:p w14:paraId="4F689CA8">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根据《关于加强化工项目建设管理的通知》严禁新建《产业结构调整指导目录》限制类和新（改、扩）建淘汰类化工项目，严格限制新建剧毒化学品生产项目</w:t>
                  </w:r>
                </w:p>
              </w:tc>
            </w:tr>
            <w:tr w14:paraId="721A7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71B9138C">
                  <w:pPr>
                    <w:adjustRightInd w:val="0"/>
                    <w:jc w:val="center"/>
                    <w:rPr>
                      <w:rFonts w:hint="eastAsia"/>
                      <w:szCs w:val="21"/>
                      <w:lang w:val="en-US" w:eastAsia="zh-CN"/>
                    </w:rPr>
                  </w:pPr>
                </w:p>
              </w:tc>
              <w:tc>
                <w:tcPr>
                  <w:tcW w:w="4175" w:type="pct"/>
                  <w:gridSpan w:val="2"/>
                  <w:tcBorders>
                    <w:tl2br w:val="nil"/>
                    <w:tr2bl w:val="nil"/>
                  </w:tcBorders>
                  <w:vAlign w:val="center"/>
                </w:tcPr>
                <w:p w14:paraId="3ED2A14B">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根据《中华人民共和国长江保护法》要求禁止在长江干支流岸线一公</w:t>
                  </w:r>
                  <w:r>
                    <w:rPr>
                      <w:rFonts w:hint="default" w:ascii="Times New Roman" w:hAnsi="Times New Roman" w:eastAsia="宋体" w:cs="Times New Roman"/>
                      <w:color w:val="000000"/>
                      <w:kern w:val="0"/>
                      <w:sz w:val="18"/>
                      <w:szCs w:val="18"/>
                      <w:lang w:val="en-US" w:eastAsia="zh-CN" w:bidi="ar"/>
                    </w:rPr>
                    <w:t>6</w:t>
                  </w:r>
                  <w:r>
                    <w:rPr>
                      <w:rFonts w:hint="eastAsia" w:ascii="宋体" w:hAnsi="宋体" w:eastAsia="宋体" w:cs="宋体"/>
                      <w:color w:val="000000"/>
                      <w:kern w:val="0"/>
                      <w:sz w:val="20"/>
                      <w:szCs w:val="20"/>
                      <w:lang w:val="en-US" w:eastAsia="zh-CN" w:bidi="ar"/>
                    </w:rPr>
                    <w:t>里范围内新建、扩建化工园区和化工项目</w:t>
                  </w:r>
                </w:p>
              </w:tc>
            </w:tr>
            <w:tr w14:paraId="45AC5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63A1823B">
                  <w:pPr>
                    <w:adjustRightInd w:val="0"/>
                    <w:jc w:val="center"/>
                    <w:rPr>
                      <w:rFonts w:hint="eastAsia"/>
                      <w:szCs w:val="21"/>
                      <w:lang w:val="en-US" w:eastAsia="zh-CN"/>
                    </w:rPr>
                  </w:pPr>
                </w:p>
              </w:tc>
              <w:tc>
                <w:tcPr>
                  <w:tcW w:w="4175" w:type="pct"/>
                  <w:gridSpan w:val="2"/>
                  <w:tcBorders>
                    <w:tl2br w:val="nil"/>
                    <w:tr2bl w:val="nil"/>
                  </w:tcBorders>
                  <w:vAlign w:val="center"/>
                </w:tcPr>
                <w:p w14:paraId="371AC9B2">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禁止新建、扩建不符合国家产能置换要求的严重过剩产能行业的项目</w:t>
                  </w:r>
                </w:p>
              </w:tc>
            </w:tr>
            <w:tr w14:paraId="45CBB4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restart"/>
                  <w:tcBorders>
                    <w:tl2br w:val="nil"/>
                    <w:tr2bl w:val="nil"/>
                  </w:tcBorders>
                  <w:vAlign w:val="center"/>
                </w:tcPr>
                <w:p w14:paraId="7EF0531B">
                  <w:pPr>
                    <w:adjustRightInd w:val="0"/>
                    <w:jc w:val="center"/>
                    <w:rPr>
                      <w:rFonts w:hint="default"/>
                      <w:szCs w:val="21"/>
                      <w:lang w:val="en-US" w:eastAsia="zh-CN"/>
                    </w:rPr>
                  </w:pPr>
                  <w:r>
                    <w:rPr>
                      <w:rFonts w:hint="eastAsia"/>
                      <w:szCs w:val="21"/>
                      <w:lang w:val="en-US" w:eastAsia="zh-CN"/>
                    </w:rPr>
                    <w:t>限制类</w:t>
                  </w:r>
                </w:p>
              </w:tc>
              <w:tc>
                <w:tcPr>
                  <w:tcW w:w="4175" w:type="pct"/>
                  <w:gridSpan w:val="2"/>
                  <w:tcBorders>
                    <w:tl2br w:val="nil"/>
                    <w:tr2bl w:val="nil"/>
                  </w:tcBorders>
                  <w:vAlign w:val="center"/>
                </w:tcPr>
                <w:p w14:paraId="61ED6FB2">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 xml:space="preserve">根据《关于加强高耗能、高排放建设项目生态环境源头防控的指导意见》环环评 </w:t>
                  </w:r>
                  <w:r>
                    <w:rPr>
                      <w:rFonts w:hint="default" w:ascii="Times New Roman" w:hAnsi="Times New Roman" w:eastAsia="宋体" w:cs="Times New Roman"/>
                      <w:color w:val="000000"/>
                      <w:kern w:val="0"/>
                      <w:sz w:val="20"/>
                      <w:szCs w:val="20"/>
                      <w:lang w:val="en-US" w:eastAsia="zh-CN" w:bidi="ar"/>
                    </w:rPr>
                    <w:t xml:space="preserve">[2021]45 </w:t>
                  </w:r>
                  <w:r>
                    <w:rPr>
                      <w:rFonts w:hint="eastAsia" w:ascii="宋体" w:hAnsi="宋体" w:eastAsia="宋体" w:cs="宋体"/>
                      <w:color w:val="000000"/>
                      <w:kern w:val="0"/>
                      <w:sz w:val="20"/>
                      <w:szCs w:val="20"/>
                      <w:lang w:val="en-US" w:eastAsia="zh-CN" w:bidi="ar"/>
                    </w:rPr>
                    <w:t>号要求严格</w:t>
                  </w:r>
                  <w:r>
                    <w:rPr>
                      <w:rFonts w:hint="default"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两高</w:t>
                  </w:r>
                  <w:r>
                    <w:rPr>
                      <w:rFonts w:hint="default"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项目环评审批</w:t>
                  </w:r>
                </w:p>
              </w:tc>
            </w:tr>
            <w:tr w14:paraId="0BD27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vMerge w:val="continue"/>
                  <w:tcBorders>
                    <w:tl2br w:val="nil"/>
                    <w:tr2bl w:val="nil"/>
                  </w:tcBorders>
                  <w:vAlign w:val="center"/>
                </w:tcPr>
                <w:p w14:paraId="4AD4CA2E">
                  <w:pPr>
                    <w:adjustRightInd w:val="0"/>
                    <w:jc w:val="center"/>
                    <w:rPr>
                      <w:rFonts w:hint="eastAsia"/>
                      <w:szCs w:val="21"/>
                      <w:lang w:val="en-US" w:eastAsia="zh-CN"/>
                    </w:rPr>
                  </w:pPr>
                </w:p>
              </w:tc>
              <w:tc>
                <w:tcPr>
                  <w:tcW w:w="4175" w:type="pct"/>
                  <w:gridSpan w:val="2"/>
                  <w:tcBorders>
                    <w:tl2br w:val="nil"/>
                    <w:tr2bl w:val="nil"/>
                  </w:tcBorders>
                  <w:vAlign w:val="center"/>
                </w:tcPr>
                <w:p w14:paraId="2BE388E0">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限制发展能源、资源消耗量或排污量较大但效益相对较好的企业，主要为除经开区规划主导产业外、非禁止类项目，具体项目引入需经充分环境影响论证</w:t>
                  </w:r>
                </w:p>
              </w:tc>
            </w:tr>
            <w:tr w14:paraId="3FDD9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tcBorders>
                    <w:tl2br w:val="nil"/>
                    <w:tr2bl w:val="nil"/>
                  </w:tcBorders>
                  <w:vAlign w:val="center"/>
                </w:tcPr>
                <w:p w14:paraId="0DC5141B">
                  <w:pPr>
                    <w:keepNext w:val="0"/>
                    <w:keepLines w:val="0"/>
                    <w:widowControl/>
                    <w:suppressLineNumbers w:val="0"/>
                    <w:jc w:val="center"/>
                    <w:rPr>
                      <w:rFonts w:hint="eastAsia"/>
                      <w:szCs w:val="21"/>
                      <w:lang w:val="en-US" w:eastAsia="zh-CN"/>
                    </w:rPr>
                  </w:pPr>
                  <w:r>
                    <w:rPr>
                      <w:rFonts w:hint="eastAsia" w:ascii="宋体" w:hAnsi="宋体" w:eastAsia="宋体" w:cs="宋体"/>
                      <w:color w:val="000000"/>
                      <w:kern w:val="0"/>
                      <w:sz w:val="20"/>
                      <w:szCs w:val="20"/>
                      <w:lang w:val="en-US" w:eastAsia="zh-CN" w:bidi="ar"/>
                    </w:rPr>
                    <w:t>新增或改扩建项目风险要求</w:t>
                  </w:r>
                </w:p>
              </w:tc>
              <w:tc>
                <w:tcPr>
                  <w:tcW w:w="4175" w:type="pct"/>
                  <w:gridSpan w:val="2"/>
                  <w:tcBorders>
                    <w:tl2br w:val="nil"/>
                    <w:tr2bl w:val="nil"/>
                  </w:tcBorders>
                  <w:vAlign w:val="center"/>
                </w:tcPr>
                <w:p w14:paraId="5F778C60">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区内新增或改扩建存在环境风险的项目，在建设项目环评阶段须重点开展环境风险评价，与项目周边环境敏感目标之前控制合理的风险控制距离，提出并落实风险防范措施及应急联动要求，编制应急预案，并与经开区应急预案联动，在经开区进行环境风险源、应急设备、物资等的备案</w:t>
                  </w:r>
                </w:p>
              </w:tc>
            </w:tr>
            <w:tr w14:paraId="20FD3C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824" w:type="pct"/>
                  <w:tcBorders>
                    <w:tl2br w:val="nil"/>
                    <w:tr2bl w:val="nil"/>
                  </w:tcBorders>
                  <w:vAlign w:val="center"/>
                </w:tcPr>
                <w:p w14:paraId="6F940C5F">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清洁生产要求</w:t>
                  </w:r>
                </w:p>
                <w:p w14:paraId="594E3D28">
                  <w:pPr>
                    <w:adjustRightInd w:val="0"/>
                    <w:jc w:val="center"/>
                    <w:rPr>
                      <w:rFonts w:hint="eastAsia"/>
                      <w:szCs w:val="21"/>
                      <w:lang w:val="en-US" w:eastAsia="zh-CN"/>
                    </w:rPr>
                  </w:pPr>
                </w:p>
              </w:tc>
              <w:tc>
                <w:tcPr>
                  <w:tcW w:w="4175" w:type="pct"/>
                  <w:gridSpan w:val="2"/>
                  <w:tcBorders>
                    <w:tl2br w:val="nil"/>
                    <w:tr2bl w:val="nil"/>
                  </w:tcBorders>
                  <w:vAlign w:val="center"/>
                </w:tcPr>
                <w:p w14:paraId="2746FFAB">
                  <w:pPr>
                    <w:keepNext w:val="0"/>
                    <w:keepLines w:val="0"/>
                    <w:widowControl/>
                    <w:suppressLineNumbers w:val="0"/>
                    <w:jc w:val="left"/>
                    <w:rPr>
                      <w:rFonts w:hint="eastAsia"/>
                      <w:szCs w:val="21"/>
                      <w:lang w:val="zh-CN"/>
                    </w:rPr>
                  </w:pPr>
                  <w:r>
                    <w:rPr>
                      <w:rFonts w:hint="eastAsia" w:ascii="宋体" w:hAnsi="宋体" w:eastAsia="宋体" w:cs="宋体"/>
                      <w:color w:val="000000"/>
                      <w:kern w:val="0"/>
                      <w:sz w:val="20"/>
                      <w:szCs w:val="20"/>
                      <w:lang w:val="en-US" w:eastAsia="zh-CN" w:bidi="ar"/>
                    </w:rPr>
                    <w:t>引进项目的清洁生产水平至少需达到同期国内先进水平（行业清洁生产标准</w:t>
                  </w:r>
                  <w:r>
                    <w:rPr>
                      <w:rFonts w:hint="default" w:ascii="Times New Roman" w:hAnsi="Times New Roman" w:eastAsia="宋体" w:cs="Times New Roman"/>
                      <w:color w:val="000000"/>
                      <w:kern w:val="0"/>
                      <w:sz w:val="20"/>
                      <w:szCs w:val="20"/>
                      <w:lang w:val="en-US" w:eastAsia="zh-CN" w:bidi="ar"/>
                    </w:rPr>
                    <w:t>)</w:t>
                  </w:r>
                  <w:r>
                    <w:rPr>
                      <w:rFonts w:hint="eastAsia" w:ascii="宋体" w:hAnsi="宋体" w:eastAsia="宋体" w:cs="宋体"/>
                      <w:color w:val="000000"/>
                      <w:kern w:val="0"/>
                      <w:sz w:val="20"/>
                      <w:szCs w:val="20"/>
                      <w:lang w:val="en-US" w:eastAsia="zh-CN" w:bidi="ar"/>
                    </w:rPr>
                    <w:t>，优先引进清洁生产水平达到国际先进水平的项目，禁止引进低于国内先进水平的项目。严格审查入区企业行业类型和生产工艺，要求开发区入驻企业采用先进的生产工艺，在生产、产品和服务中最大限度的做到节能、减污、降耗、增效</w:t>
                  </w:r>
                </w:p>
              </w:tc>
            </w:tr>
          </w:tbl>
          <w:p w14:paraId="61CCF857">
            <w:pPr>
              <w:keepNext w:val="0"/>
              <w:keepLines w:val="0"/>
              <w:pageBreakBefore w:val="0"/>
              <w:widowControl/>
              <w:tabs>
                <w:tab w:val="left" w:pos="7350"/>
              </w:tabs>
              <w:kinsoku/>
              <w:wordWrap/>
              <w:overflowPunct/>
              <w:topLinePunct w:val="0"/>
              <w:autoSpaceDE/>
              <w:autoSpaceDN/>
              <w:bidi w:val="0"/>
              <w:adjustRightInd/>
              <w:snapToGrid/>
              <w:spacing w:beforeAutospacing="0" w:line="360" w:lineRule="auto"/>
              <w:ind w:firstLine="480" w:firstLineChars="200"/>
              <w:jc w:val="left"/>
              <w:textAlignment w:val="auto"/>
              <w:rPr>
                <w:rFonts w:hint="eastAsia"/>
                <w:kern w:val="0"/>
                <w:sz w:val="24"/>
                <w:szCs w:val="20"/>
              </w:rPr>
            </w:pPr>
            <w:r>
              <w:rPr>
                <w:rFonts w:hint="eastAsia"/>
                <w:kern w:val="0"/>
                <w:sz w:val="24"/>
                <w:szCs w:val="20"/>
              </w:rPr>
              <w:t>本项目属于</w:t>
            </w:r>
            <w:r>
              <w:rPr>
                <w:rFonts w:hint="eastAsia"/>
                <w:kern w:val="0"/>
                <w:sz w:val="24"/>
                <w:szCs w:val="20"/>
                <w:lang w:val="en-US" w:eastAsia="zh-CN"/>
              </w:rPr>
              <w:t>塑料零件及其他塑料制品制造</w:t>
            </w:r>
            <w:r>
              <w:rPr>
                <w:rFonts w:hint="eastAsia"/>
                <w:kern w:val="0"/>
                <w:sz w:val="24"/>
                <w:szCs w:val="20"/>
              </w:rPr>
              <w:t>，不属于芜湖经济技术开发区项目产业准入负面清单中的“禁止类”项目，符合芜湖经济技术开发区项目产业准入负面清单的要求。</w:t>
            </w:r>
          </w:p>
          <w:p w14:paraId="2C116F6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kern w:val="0"/>
                <w:sz w:val="24"/>
                <w:szCs w:val="20"/>
                <w:lang w:val="en-US" w:eastAsia="zh-CN"/>
              </w:rPr>
            </w:pPr>
            <w:r>
              <w:rPr>
                <w:rFonts w:hint="eastAsia" w:ascii="宋体" w:hAnsi="宋体" w:eastAsia="宋体" w:cs="宋体"/>
                <w:color w:val="000000"/>
                <w:kern w:val="0"/>
                <w:sz w:val="24"/>
                <w:szCs w:val="24"/>
                <w:lang w:val="en-US" w:eastAsia="zh-CN" w:bidi="ar"/>
              </w:rPr>
              <w:t>综上所述，本项目建设符合芜湖经济技术开发区规划环评审查意见、符合开发区环境准入清单要求，项目投入使用后对周边环境影响较小，从环保的角度分析，项目的选址合理。</w:t>
            </w:r>
          </w:p>
        </w:tc>
      </w:tr>
      <w:tr w14:paraId="0AB771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14" w:type="dxa"/>
            <w:vAlign w:val="center"/>
          </w:tcPr>
          <w:p w14:paraId="426DD70A">
            <w:pPr>
              <w:autoSpaceDE w:val="0"/>
              <w:autoSpaceDN w:val="0"/>
              <w:adjustRightInd w:val="0"/>
              <w:snapToGrid w:val="0"/>
              <w:jc w:val="center"/>
              <w:rPr>
                <w:rFonts w:cs="宋体"/>
                <w:kern w:val="0"/>
                <w:sz w:val="24"/>
              </w:rPr>
            </w:pPr>
            <w:r>
              <w:rPr>
                <w:rFonts w:hint="eastAsia" w:cs="宋体"/>
                <w:kern w:val="0"/>
                <w:sz w:val="24"/>
              </w:rPr>
              <w:t>其他符合性分析</w:t>
            </w:r>
          </w:p>
        </w:tc>
        <w:tc>
          <w:tcPr>
            <w:tcW w:w="7156" w:type="dxa"/>
            <w:gridSpan w:val="3"/>
            <w:vAlign w:val="center"/>
          </w:tcPr>
          <w:p w14:paraId="0ADF6BDC">
            <w:pPr>
              <w:spacing w:line="360" w:lineRule="auto"/>
              <w:ind w:firstLine="482" w:firstLineChars="200"/>
              <w:rPr>
                <w:rFonts w:hint="default" w:ascii="Times New Roman" w:hAnsi="Times New Roman" w:cs="Times New Roman"/>
                <w:b/>
                <w:kern w:val="0"/>
                <w:sz w:val="24"/>
              </w:rPr>
            </w:pPr>
            <w:r>
              <w:rPr>
                <w:rFonts w:hint="default" w:ascii="Times New Roman" w:hAnsi="Times New Roman" w:cs="Times New Roman"/>
                <w:b/>
                <w:kern w:val="0"/>
                <w:sz w:val="24"/>
              </w:rPr>
              <w:t>1、建设项目产业政策符合性</w:t>
            </w:r>
          </w:p>
          <w:p w14:paraId="4FFC02A5">
            <w:pPr>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cs="Times New Roman"/>
                <w:sz w:val="24"/>
              </w:rPr>
              <w:t>根据国民经济行业分类</w:t>
            </w:r>
            <w:r>
              <w:rPr>
                <w:rFonts w:hint="eastAsia" w:cs="Times New Roman"/>
                <w:sz w:val="24"/>
                <w:lang w:eastAsia="zh-CN"/>
              </w:rPr>
              <w:t>（</w:t>
            </w:r>
            <w:r>
              <w:rPr>
                <w:rFonts w:hint="default" w:ascii="Times New Roman" w:hAnsi="Times New Roman" w:cs="Times New Roman"/>
                <w:sz w:val="24"/>
              </w:rPr>
              <w:t>GB/T4754-2017</w:t>
            </w:r>
            <w:r>
              <w:rPr>
                <w:rFonts w:hint="eastAsia" w:cs="Times New Roman"/>
                <w:sz w:val="24"/>
                <w:lang w:eastAsia="zh-CN"/>
              </w:rPr>
              <w:t>）</w:t>
            </w:r>
            <w:r>
              <w:rPr>
                <w:rFonts w:hint="default" w:ascii="Times New Roman" w:hAnsi="Times New Roman" w:cs="Times New Roman"/>
                <w:sz w:val="24"/>
              </w:rPr>
              <w:t>，本项目属于其中“C</w:t>
            </w:r>
            <w:r>
              <w:rPr>
                <w:rFonts w:hint="default" w:ascii="Times New Roman" w:hAnsi="Times New Roman" w:cs="Times New Roman"/>
                <w:sz w:val="24"/>
                <w:lang w:val="en-US" w:eastAsia="zh-CN"/>
              </w:rPr>
              <w:t>2929</w:t>
            </w:r>
            <w:r>
              <w:rPr>
                <w:rFonts w:hint="default" w:ascii="Times New Roman" w:hAnsi="Times New Roman" w:cs="Times New Roman"/>
                <w:sz w:val="24"/>
              </w:rPr>
              <w:t>塑料零件及其他塑料制品制造”。经核查，对照《产业结构调整指导目录》（2024年），本项目不属于鼓励类、限制类和淘汰类范畴</w:t>
            </w:r>
            <w:r>
              <w:rPr>
                <w:rFonts w:hint="default" w:ascii="Times New Roman" w:hAnsi="Times New Roman" w:cs="Times New Roman"/>
                <w:color w:val="auto"/>
                <w:sz w:val="24"/>
              </w:rPr>
              <w:t>，视为允许类，与产业政策相符，另外项目不属于《安徽省工业产业结构调整指导目录（2007年本）》中的鼓励类、淘汰类和限制类，视为允许类。亦不属于其它相关法律法规要求淘汰和限制的产业。本项目不属于《市场准入负面清单（2022年版）》中的负面清单，本项目不属于《安徽省节能减排及应对气候变化工作领导小组关于印发安徽省“两高”项目管理名录（试行）的通知》（皖节能﹝2022）2号）中的“两高”项目。项目已于</w:t>
            </w:r>
            <w:r>
              <w:rPr>
                <w:rFonts w:hint="eastAsia" w:cs="Times New Roman"/>
                <w:color w:val="auto"/>
                <w:sz w:val="24"/>
                <w:lang w:val="en-US" w:eastAsia="zh-CN"/>
              </w:rPr>
              <w:t>2025</w:t>
            </w:r>
            <w:r>
              <w:rPr>
                <w:rFonts w:hint="default" w:ascii="Times New Roman" w:hAnsi="Times New Roman" w:cs="Times New Roman"/>
                <w:color w:val="auto"/>
                <w:sz w:val="24"/>
              </w:rPr>
              <w:t>年</w:t>
            </w:r>
            <w:r>
              <w:rPr>
                <w:rFonts w:hint="eastAsia" w:cs="Times New Roman"/>
                <w:color w:val="auto"/>
                <w:sz w:val="24"/>
                <w:lang w:val="en-US" w:eastAsia="zh-CN"/>
              </w:rPr>
              <w:t>3</w:t>
            </w:r>
            <w:r>
              <w:rPr>
                <w:rFonts w:hint="default" w:ascii="Times New Roman" w:hAnsi="Times New Roman" w:cs="Times New Roman"/>
                <w:color w:val="auto"/>
                <w:sz w:val="24"/>
              </w:rPr>
              <w:t>月</w:t>
            </w:r>
            <w:r>
              <w:rPr>
                <w:rFonts w:hint="eastAsia" w:cs="Times New Roman"/>
                <w:color w:val="auto"/>
                <w:sz w:val="24"/>
                <w:lang w:val="en-US" w:eastAsia="zh-CN"/>
              </w:rPr>
              <w:t>28</w:t>
            </w:r>
            <w:r>
              <w:rPr>
                <w:rFonts w:hint="default" w:ascii="Times New Roman" w:hAnsi="Times New Roman" w:cs="Times New Roman"/>
                <w:color w:val="auto"/>
                <w:sz w:val="24"/>
              </w:rPr>
              <w:t>日获得芜湖经济技术开发区管理委员会的备案，备案文件号为：开备案﹝2025﹞83号。项目代码为：2504-340264-04-01-872072。因此，项目符合国家和地方相关产业政策。</w:t>
            </w:r>
          </w:p>
          <w:p w14:paraId="492B7BE6">
            <w:pPr>
              <w:adjustRightInd w:val="0"/>
              <w:spacing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2</w:t>
            </w:r>
            <w:r>
              <w:rPr>
                <w:rFonts w:hint="default" w:ascii="Times New Roman" w:hAnsi="Times New Roman" w:cs="Times New Roman"/>
                <w:b/>
                <w:bCs/>
                <w:color w:val="auto"/>
                <w:sz w:val="24"/>
              </w:rPr>
              <w:t>、与周边环境相容性分析</w:t>
            </w:r>
          </w:p>
          <w:p w14:paraId="127CD77C">
            <w:pPr>
              <w:adjustRightInd w:val="0"/>
              <w:spacing w:line="360" w:lineRule="auto"/>
              <w:ind w:firstLine="480" w:firstLineChars="200"/>
              <w:jc w:val="left"/>
              <w:rPr>
                <w:rFonts w:hint="default" w:ascii="Times New Roman" w:hAnsi="Times New Roman" w:eastAsia="宋体" w:cs="Times New Roman"/>
                <w:b/>
                <w:bCs/>
                <w:color w:val="auto"/>
                <w:sz w:val="24"/>
              </w:rPr>
            </w:pPr>
            <w:r>
              <w:rPr>
                <w:rStyle w:val="72"/>
                <w:rFonts w:hint="default" w:ascii="Times New Roman" w:hAnsi="Times New Roman" w:cs="Times New Roman"/>
                <w:color w:val="auto"/>
                <w:kern w:val="0"/>
                <w:sz w:val="24"/>
              </w:rPr>
              <w:t>项目选址位于芜湖经济技术开发区龙山街道大桥镇红星路41号综合楼一楼1号，</w:t>
            </w:r>
            <w:r>
              <w:rPr>
                <w:rStyle w:val="72"/>
                <w:rFonts w:hint="eastAsia" w:cs="Times New Roman"/>
                <w:color w:val="auto"/>
                <w:kern w:val="0"/>
                <w:sz w:val="24"/>
                <w:lang w:val="en-US" w:eastAsia="zh-CN"/>
              </w:rPr>
              <w:t>项目位于一层，二层为陈爱莲服装厂，三层为芜湖润可电子有限公司，四层为闲置空房。</w:t>
            </w:r>
            <w:r>
              <w:rPr>
                <w:rStyle w:val="72"/>
                <w:rFonts w:hint="default" w:ascii="Times New Roman" w:hAnsi="Times New Roman" w:cs="Times New Roman"/>
                <w:color w:val="auto"/>
                <w:kern w:val="0"/>
                <w:sz w:val="24"/>
              </w:rPr>
              <w:t>根据不动产权证（详见附件），项目建设地为工业用地，项目用地选址可行。项目未被列入国土资源部国家发展和改革委员会关于发布实施《限制用地项目目录（2012年本）》和《禁止用地项目目录（2012年本）》。因此，建设项目与区域规划相符，与用地性质相符，选址可行。</w:t>
            </w:r>
          </w:p>
          <w:p w14:paraId="606EBBDD">
            <w:pPr>
              <w:spacing w:line="360" w:lineRule="auto"/>
              <w:ind w:firstLine="482" w:firstLineChars="20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3、与《关于以改善环境质量为核心加强环境影响评价管理的通知》（环环评[2016]150号）符合性分析</w:t>
            </w:r>
          </w:p>
          <w:p w14:paraId="68940E9C">
            <w:pPr>
              <w:autoSpaceDE w:val="0"/>
              <w:autoSpaceDN w:val="0"/>
              <w:adjustRightInd w:val="0"/>
              <w:snapToGrid w:val="0"/>
              <w:spacing w:line="360" w:lineRule="auto"/>
              <w:ind w:firstLine="480" w:firstLineChars="200"/>
              <w:rPr>
                <w:rFonts w:hint="default" w:ascii="Times New Roman" w:hAnsi="Times New Roman" w:eastAsia="宋体" w:cs="Times New Roman"/>
                <w:color w:val="000000"/>
                <w:kern w:val="24"/>
                <w:sz w:val="24"/>
              </w:rPr>
            </w:pPr>
            <w:r>
              <w:rPr>
                <w:rFonts w:hint="default" w:ascii="Times New Roman" w:hAnsi="Times New Roman" w:eastAsia="宋体" w:cs="Times New Roman"/>
                <w:color w:val="000000"/>
                <w:kern w:val="24"/>
                <w:sz w:val="24"/>
              </w:rPr>
              <w:t>根据《关于以改善环境质量为核心加强环境影响评价管理的通知》（环环评[2016]150号）</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为适应以改善环境质量为核心的环境管理要求，切实加强环境影响评价（以下简称环评）管理，落实</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生态保护红线、环境质量底线、资源利用上线和环境准入负面清单</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约束</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w:t>
            </w:r>
          </w:p>
          <w:p w14:paraId="1430ADA2">
            <w:pPr>
              <w:autoSpaceDE w:val="0"/>
              <w:autoSpaceDN w:val="0"/>
              <w:adjustRightInd w:val="0"/>
              <w:snapToGrid w:val="0"/>
              <w:jc w:val="center"/>
              <w:rPr>
                <w:rFonts w:hint="default" w:ascii="Times New Roman" w:hAnsi="Times New Roman" w:eastAsia="宋体" w:cs="Times New Roman"/>
                <w:b/>
                <w:color w:val="000000"/>
                <w:kern w:val="0"/>
                <w:sz w:val="24"/>
              </w:rPr>
            </w:pPr>
            <w:r>
              <w:rPr>
                <w:rFonts w:hint="default" w:ascii="Times New Roman" w:hAnsi="Times New Roman" w:eastAsia="宋体" w:cs="Times New Roman"/>
                <w:b/>
                <w:color w:val="000000"/>
                <w:kern w:val="0"/>
                <w:sz w:val="24"/>
              </w:rPr>
              <w:t>表1-</w:t>
            </w:r>
            <w:r>
              <w:rPr>
                <w:rFonts w:hint="eastAsia" w:cs="Times New Roman"/>
                <w:b/>
                <w:color w:val="000000"/>
                <w:kern w:val="0"/>
                <w:sz w:val="24"/>
                <w:lang w:val="en-US" w:eastAsia="zh-CN"/>
              </w:rPr>
              <w:t>3</w:t>
            </w:r>
            <w:r>
              <w:rPr>
                <w:rFonts w:hint="default" w:ascii="Times New Roman" w:hAnsi="Times New Roman" w:eastAsia="宋体" w:cs="Times New Roman"/>
                <w:b/>
                <w:color w:val="000000"/>
                <w:kern w:val="0"/>
                <w:sz w:val="24"/>
              </w:rPr>
              <w:t xml:space="preserve">  本项目与</w:t>
            </w:r>
            <w:r>
              <w:rPr>
                <w:rFonts w:hint="default" w:ascii="Times New Roman" w:hAnsi="Times New Roman" w:eastAsia="宋体" w:cs="Times New Roman"/>
                <w:b/>
                <w:bCs/>
                <w:color w:val="000000"/>
                <w:sz w:val="24"/>
              </w:rPr>
              <w:t>《关于以改善环境质量为核心加强环境影响评价管理的通知》（环环评[2016]150号）</w:t>
            </w:r>
            <w:r>
              <w:rPr>
                <w:rFonts w:hint="default" w:ascii="Times New Roman" w:hAnsi="Times New Roman" w:eastAsia="宋体" w:cs="Times New Roman"/>
                <w:b/>
                <w:color w:val="000000"/>
                <w:kern w:val="0"/>
                <w:sz w:val="24"/>
              </w:rPr>
              <w:t>相符性</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8"/>
              <w:gridCol w:w="717"/>
              <w:gridCol w:w="2528"/>
              <w:gridCol w:w="2596"/>
              <w:gridCol w:w="721"/>
            </w:tblGrid>
            <w:tr w14:paraId="2DE83F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03443164">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序号</w:t>
                  </w:r>
                </w:p>
              </w:tc>
              <w:tc>
                <w:tcPr>
                  <w:tcW w:w="516" w:type="pct"/>
                  <w:noWrap w:val="0"/>
                  <w:vAlign w:val="center"/>
                </w:tcPr>
                <w:p w14:paraId="1993B30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内容</w:t>
                  </w:r>
                </w:p>
              </w:tc>
              <w:tc>
                <w:tcPr>
                  <w:tcW w:w="1820" w:type="pct"/>
                  <w:noWrap w:val="0"/>
                  <w:vAlign w:val="center"/>
                </w:tcPr>
                <w:p w14:paraId="12B5B55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要求</w:t>
                  </w:r>
                </w:p>
              </w:tc>
              <w:tc>
                <w:tcPr>
                  <w:tcW w:w="1869" w:type="pct"/>
                  <w:noWrap w:val="0"/>
                  <w:vAlign w:val="center"/>
                </w:tcPr>
                <w:p w14:paraId="6D3238E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本项目情况</w:t>
                  </w:r>
                </w:p>
              </w:tc>
              <w:tc>
                <w:tcPr>
                  <w:tcW w:w="519" w:type="pct"/>
                  <w:noWrap w:val="0"/>
                  <w:vAlign w:val="center"/>
                </w:tcPr>
                <w:p w14:paraId="2FBB8A2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相符性</w:t>
                  </w:r>
                </w:p>
              </w:tc>
            </w:tr>
            <w:tr w14:paraId="5998C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2A2442F5">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w:t>
                  </w:r>
                </w:p>
              </w:tc>
              <w:tc>
                <w:tcPr>
                  <w:tcW w:w="516" w:type="pct"/>
                  <w:noWrap w:val="0"/>
                  <w:vAlign w:val="center"/>
                </w:tcPr>
                <w:p w14:paraId="38F6D4A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生态保护红线</w:t>
                  </w:r>
                </w:p>
              </w:tc>
              <w:tc>
                <w:tcPr>
                  <w:tcW w:w="1820" w:type="pct"/>
                  <w:noWrap w:val="0"/>
                  <w:vAlign w:val="center"/>
                </w:tcPr>
                <w:p w14:paraId="73E565E0">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生态保护红线是生态空间范围内具有特殊重要生态功能必须实行强制性严格保护的区域。在生态保护红线范围内，严控各类开发建设活动，依法不予审批新建工业项目和矿产开发项目的环评文件</w:t>
                  </w:r>
                </w:p>
              </w:tc>
              <w:tc>
                <w:tcPr>
                  <w:tcW w:w="1869" w:type="pct"/>
                  <w:noWrap w:val="0"/>
                  <w:vAlign w:val="center"/>
                </w:tcPr>
                <w:p w14:paraId="23D82DAF">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本项目位于</w:t>
                  </w:r>
                  <w:r>
                    <w:rPr>
                      <w:rFonts w:hint="default" w:ascii="Times New Roman" w:hAnsi="Times New Roman" w:cs="Times New Roman"/>
                      <w:color w:val="000000"/>
                      <w:kern w:val="0"/>
                      <w:sz w:val="21"/>
                      <w:szCs w:val="21"/>
                      <w:lang w:eastAsia="zh-CN"/>
                    </w:rPr>
                    <w:t>芜湖经济技术开发区龙山街道大桥镇红星路 41号综合楼一楼1号</w:t>
                  </w:r>
                  <w:r>
                    <w:rPr>
                      <w:rFonts w:hint="default" w:ascii="Times New Roman" w:hAnsi="Times New Roman" w:eastAsia="宋体" w:cs="Times New Roman"/>
                      <w:color w:val="000000"/>
                      <w:kern w:val="0"/>
                      <w:sz w:val="21"/>
                      <w:szCs w:val="21"/>
                    </w:rPr>
                    <w:t>，项目用地性质属于工业用地，</w:t>
                  </w:r>
                  <w:r>
                    <w:rPr>
                      <w:rFonts w:hint="default" w:ascii="Times New Roman" w:hAnsi="Times New Roman" w:eastAsia="宋体" w:cs="Times New Roman"/>
                      <w:color w:val="000000"/>
                      <w:sz w:val="21"/>
                      <w:szCs w:val="21"/>
                    </w:rPr>
                    <w:t>根据安徽省生态保护红线、芜湖市生态保护红线，项目不在生态红线范围内。</w:t>
                  </w:r>
                </w:p>
              </w:tc>
              <w:tc>
                <w:tcPr>
                  <w:tcW w:w="519" w:type="pct"/>
                  <w:noWrap w:val="0"/>
                  <w:vAlign w:val="center"/>
                </w:tcPr>
                <w:p w14:paraId="6C0D33A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040B2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786E28D9">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2</w:t>
                  </w:r>
                </w:p>
              </w:tc>
              <w:tc>
                <w:tcPr>
                  <w:tcW w:w="516" w:type="pct"/>
                  <w:noWrap w:val="0"/>
                  <w:vAlign w:val="center"/>
                </w:tcPr>
                <w:p w14:paraId="30FED490">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环境质量底线</w:t>
                  </w:r>
                </w:p>
              </w:tc>
              <w:tc>
                <w:tcPr>
                  <w:tcW w:w="1820" w:type="pct"/>
                  <w:noWrap w:val="0"/>
                  <w:vAlign w:val="center"/>
                </w:tcPr>
                <w:p w14:paraId="1BED22AF">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环境质量现状超标地区以及未达到环境质量目标考核要求的地区上新项目将受到限制；对环境质量现状超标的地区，项目拟采取的措施不能满足区域环境质量改善目标管理要求的，依法不予审批其环评文件</w:t>
                  </w:r>
                </w:p>
              </w:tc>
              <w:tc>
                <w:tcPr>
                  <w:tcW w:w="1869" w:type="pct"/>
                  <w:noWrap w:val="0"/>
                  <w:vAlign w:val="center"/>
                </w:tcPr>
                <w:p w14:paraId="47898E67">
                  <w:pPr>
                    <w:keepNext w:val="0"/>
                    <w:keepLines w:val="0"/>
                    <w:pageBreakBefore w:val="0"/>
                    <w:widowControl w:val="0"/>
                    <w:kinsoku/>
                    <w:wordWrap/>
                    <w:overflowPunct/>
                    <w:topLinePunct w:val="0"/>
                    <w:bidi w:val="0"/>
                    <w:ind w:firstLine="0" w:firstLineChars="0"/>
                    <w:jc w:val="center"/>
                    <w:textAlignment w:val="auto"/>
                    <w:rPr>
                      <w:rFonts w:hint="default" w:ascii="Times New Roman" w:hAnsi="Times New Roman" w:eastAsia="宋体" w:cs="Times New Roman"/>
                      <w:color w:val="000000"/>
                      <w:sz w:val="21"/>
                      <w:szCs w:val="21"/>
                    </w:rPr>
                  </w:pPr>
                  <w:r>
                    <w:rPr>
                      <w:rStyle w:val="65"/>
                      <w:rFonts w:hint="default" w:ascii="Times New Roman" w:hAnsi="Times New Roman" w:eastAsia="宋体" w:cs="Times New Roman"/>
                      <w:b w:val="0"/>
                      <w:bCs w:val="0"/>
                      <w:color w:val="000000"/>
                      <w:sz w:val="21"/>
                      <w:szCs w:val="21"/>
                    </w:rPr>
                    <w:t>根据芜湖市生态环境局网站公布的《2023年芜湖市环境状况公报》</w:t>
                  </w:r>
                  <w:r>
                    <w:rPr>
                      <w:rFonts w:hint="default" w:ascii="Times New Roman" w:hAnsi="Times New Roman" w:eastAsia="宋体" w:cs="Times New Roman"/>
                      <w:bCs/>
                      <w:color w:val="000000"/>
                      <w:sz w:val="21"/>
                      <w:szCs w:val="21"/>
                      <w:lang w:val="zh-CN"/>
                    </w:rPr>
                    <w:t>，项目所在区域为环境空气质量达标区域。根据工程分析及污染防治分析及主要环境影响和保护措施，本项目废气、废水、噪声、固废污染物经处理后全部达标排放或者合理处置，对环境影响较小，不会改变区域环境功能级别</w:t>
                  </w:r>
                </w:p>
              </w:tc>
              <w:tc>
                <w:tcPr>
                  <w:tcW w:w="519" w:type="pct"/>
                  <w:noWrap w:val="0"/>
                  <w:vAlign w:val="center"/>
                </w:tcPr>
                <w:p w14:paraId="469A1B4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08038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2662609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3</w:t>
                  </w:r>
                </w:p>
              </w:tc>
              <w:tc>
                <w:tcPr>
                  <w:tcW w:w="516" w:type="pct"/>
                  <w:noWrap w:val="0"/>
                  <w:vAlign w:val="center"/>
                </w:tcPr>
                <w:p w14:paraId="4E2F1F8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资源利用上线</w:t>
                  </w:r>
                </w:p>
              </w:tc>
              <w:tc>
                <w:tcPr>
                  <w:tcW w:w="1820" w:type="pct"/>
                  <w:noWrap w:val="0"/>
                  <w:vAlign w:val="center"/>
                </w:tcPr>
                <w:p w14:paraId="2DACBD9C">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lang w:eastAsia="zh-CN"/>
                    </w:rPr>
                  </w:pPr>
                  <w:r>
                    <w:rPr>
                      <w:rFonts w:hint="default" w:ascii="Times New Roman" w:hAnsi="Times New Roman" w:eastAsia="宋体" w:cs="Times New Roman"/>
                      <w:color w:val="000000"/>
                      <w:kern w:val="0"/>
                      <w:sz w:val="21"/>
                      <w:szCs w:val="21"/>
                    </w:rPr>
                    <w:t>依据有关资源利用上线要求，即各地区能源、水、土地等资源消耗是不得突破的</w:t>
                  </w:r>
                  <w:r>
                    <w:rPr>
                      <w:rFonts w:hint="default"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天花板</w:t>
                  </w:r>
                  <w:r>
                    <w:rPr>
                      <w:rFonts w:hint="default" w:ascii="Times New Roman" w:hAnsi="Times New Roman" w:eastAsia="宋体" w:cs="Times New Roman"/>
                      <w:color w:val="000000"/>
                      <w:kern w:val="0"/>
                      <w:sz w:val="21"/>
                      <w:szCs w:val="21"/>
                      <w:lang w:eastAsia="zh-CN"/>
                    </w:rPr>
                    <w:t>”</w:t>
                  </w:r>
                </w:p>
              </w:tc>
              <w:tc>
                <w:tcPr>
                  <w:tcW w:w="1869" w:type="pct"/>
                  <w:noWrap w:val="0"/>
                  <w:vAlign w:val="center"/>
                </w:tcPr>
                <w:p w14:paraId="69E809F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位于工业园区，用水取自自来水管网，用电由市政供电网提供，余量充足，项目使用的原材料均为外购，对当地资源利用影响较小，并且项目产生的一般固废会交由物资回收单位处理，从而达到资源充分回收利用的效果。因此，项目建设符合资源利用上线要求。</w:t>
                  </w:r>
                </w:p>
              </w:tc>
              <w:tc>
                <w:tcPr>
                  <w:tcW w:w="519" w:type="pct"/>
                  <w:noWrap w:val="0"/>
                  <w:vAlign w:val="center"/>
                </w:tcPr>
                <w:p w14:paraId="68012C8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2CD891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3136D89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w:t>
                  </w:r>
                </w:p>
              </w:tc>
              <w:tc>
                <w:tcPr>
                  <w:tcW w:w="516" w:type="pct"/>
                  <w:noWrap w:val="0"/>
                  <w:vAlign w:val="center"/>
                </w:tcPr>
                <w:p w14:paraId="0C80B41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环境准入负面清单</w:t>
                  </w:r>
                </w:p>
              </w:tc>
              <w:tc>
                <w:tcPr>
                  <w:tcW w:w="1820" w:type="pct"/>
                  <w:noWrap w:val="0"/>
                  <w:vAlign w:val="center"/>
                </w:tcPr>
                <w:p w14:paraId="27A9F99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准入负面清单是基于生态保护红线、环境质量底线和资源利用上线，以清单方式列出的禁止、限制等差别化环境准入条件和要求。要在规划环评清单式管理试点的基础上，从布局选址、资源利用率、资源配置方式等方面入手，制定环境准入负面清单，充分发挥负面清单对产业发展和项目准入的指导和约束作用</w:t>
                  </w:r>
                </w:p>
              </w:tc>
              <w:tc>
                <w:tcPr>
                  <w:tcW w:w="1869" w:type="pct"/>
                  <w:noWrap w:val="0"/>
                  <w:vAlign w:val="center"/>
                </w:tcPr>
                <w:p w14:paraId="102FE27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属于[C2929]塑料零件及其他塑料制品制造，项目为新建项目，对照《产业结构调整指导目录（2024年本）》，不属于淘汰类和限制类，视为允许类；不属于《市场准入负面清单》（2022年版）、《芜湖市“三线一单”生态环境准入清单》中限制类和淘汰类建设项目</w:t>
                  </w:r>
                </w:p>
              </w:tc>
              <w:tc>
                <w:tcPr>
                  <w:tcW w:w="519" w:type="pct"/>
                  <w:noWrap w:val="0"/>
                  <w:vAlign w:val="center"/>
                </w:tcPr>
                <w:p w14:paraId="4183774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bl>
          <w:p w14:paraId="46BD60F9">
            <w:pPr>
              <w:adjustRightInd w:val="0"/>
              <w:snapToGrid w:val="0"/>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综上所述，本项目符合《关于以改善环境质量为核心加强环境影响评价管理的通知》（环环评[2016]150号）中相关要求。</w:t>
            </w:r>
          </w:p>
          <w:p w14:paraId="6D64053E">
            <w:pPr>
              <w:pStyle w:val="20"/>
              <w:jc w:val="center"/>
            </w:pPr>
            <w:r>
              <w:rPr>
                <w:rFonts w:hint="default" w:ascii="Times New Roman" w:hAnsi="Times New Roman" w:eastAsia="宋体" w:cs="Times New Roman"/>
                <w:b/>
                <w:bCs/>
                <w:color w:val="000000"/>
                <w:sz w:val="24"/>
              </w:rPr>
              <w:t>4、与《芜湖市生态环境分区管控文本（成果）》</w:t>
            </w:r>
            <w:r>
              <w:rPr>
                <w:rFonts w:hint="eastAsia"/>
                <w:b/>
                <w:kern w:val="0"/>
                <w:sz w:val="24"/>
                <w:highlight w:val="none"/>
              </w:rPr>
              <w:t>（2023年8月）</w:t>
            </w:r>
          </w:p>
          <w:p w14:paraId="1EE5ED51">
            <w:pPr>
              <w:spacing w:line="360" w:lineRule="auto"/>
              <w:ind w:firstLine="482" w:firstLineChars="200"/>
              <w:jc w:val="center"/>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符合性分析</w:t>
            </w:r>
          </w:p>
          <w:p w14:paraId="6E081610">
            <w:pPr>
              <w:autoSpaceDE w:val="0"/>
              <w:autoSpaceDN w:val="0"/>
              <w:adjustRightInd w:val="0"/>
              <w:snapToGrid w:val="0"/>
              <w:spacing w:line="360" w:lineRule="auto"/>
              <w:jc w:val="center"/>
              <w:rPr>
                <w:rFonts w:hint="default" w:ascii="Times New Roman" w:hAnsi="Times New Roman" w:eastAsia="宋体" w:cs="Times New Roman"/>
                <w:b/>
                <w:bCs/>
                <w:color w:val="000000"/>
                <w:kern w:val="24"/>
                <w:sz w:val="24"/>
              </w:rPr>
            </w:pPr>
            <w:r>
              <w:rPr>
                <w:rFonts w:hint="default" w:ascii="Times New Roman" w:hAnsi="Times New Roman" w:eastAsia="宋体" w:cs="Times New Roman"/>
                <w:b/>
                <w:bCs/>
                <w:color w:val="000000"/>
                <w:kern w:val="24"/>
                <w:sz w:val="24"/>
              </w:rPr>
              <w:t>表1-</w:t>
            </w:r>
            <w:r>
              <w:rPr>
                <w:rFonts w:hint="eastAsia" w:cs="Times New Roman"/>
                <w:b/>
                <w:bCs/>
                <w:color w:val="000000"/>
                <w:kern w:val="24"/>
                <w:sz w:val="24"/>
                <w:lang w:val="en-US" w:eastAsia="zh-CN"/>
              </w:rPr>
              <w:t>4</w:t>
            </w:r>
            <w:r>
              <w:rPr>
                <w:rFonts w:hint="default" w:ascii="Times New Roman" w:hAnsi="Times New Roman" w:eastAsia="宋体" w:cs="Times New Roman"/>
                <w:b/>
                <w:bCs/>
                <w:color w:val="000000"/>
                <w:kern w:val="24"/>
                <w:sz w:val="24"/>
              </w:rPr>
              <w:t xml:space="preserve">  本项目与芜湖市生态环境分区管控文本相符性分析一览表</w:t>
            </w:r>
          </w:p>
          <w:tbl>
            <w:tblPr>
              <w:tblStyle w:val="58"/>
              <w:tblW w:w="70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3130"/>
              <w:gridCol w:w="2186"/>
              <w:gridCol w:w="687"/>
            </w:tblGrid>
            <w:tr w14:paraId="11FC5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75" w:type="dxa"/>
                  <w:noWrap w:val="0"/>
                  <w:vAlign w:val="center"/>
                </w:tcPr>
                <w:p w14:paraId="4AE86644">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管控领域</w:t>
                  </w:r>
                </w:p>
              </w:tc>
              <w:tc>
                <w:tcPr>
                  <w:tcW w:w="3130" w:type="dxa"/>
                  <w:noWrap w:val="0"/>
                  <w:vAlign w:val="center"/>
                </w:tcPr>
                <w:p w14:paraId="7D06B3A2">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管控单元及管控要求</w:t>
                  </w:r>
                </w:p>
              </w:tc>
              <w:tc>
                <w:tcPr>
                  <w:tcW w:w="2186" w:type="dxa"/>
                  <w:noWrap w:val="0"/>
                  <w:vAlign w:val="center"/>
                </w:tcPr>
                <w:p w14:paraId="325020CD">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本项目情况</w:t>
                  </w:r>
                </w:p>
              </w:tc>
              <w:tc>
                <w:tcPr>
                  <w:tcW w:w="687" w:type="dxa"/>
                  <w:noWrap w:val="0"/>
                  <w:vAlign w:val="center"/>
                </w:tcPr>
                <w:p w14:paraId="5B9EFD6C">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相符性</w:t>
                  </w:r>
                </w:p>
              </w:tc>
            </w:tr>
            <w:tr w14:paraId="181EB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078" w:type="dxa"/>
                  <w:gridSpan w:val="4"/>
                  <w:noWrap w:val="0"/>
                  <w:vAlign w:val="center"/>
                </w:tcPr>
                <w:p w14:paraId="378558BB">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生态保护红线及生态分区管控</w:t>
                  </w:r>
                </w:p>
              </w:tc>
            </w:tr>
            <w:tr w14:paraId="44143E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67" w:hRule="atLeast"/>
                <w:jc w:val="center"/>
              </w:trPr>
              <w:tc>
                <w:tcPr>
                  <w:tcW w:w="1075" w:type="dxa"/>
                  <w:noWrap w:val="0"/>
                  <w:vAlign w:val="center"/>
                </w:tcPr>
                <w:p w14:paraId="1BE7F13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生态分区管控要求</w:t>
                  </w:r>
                </w:p>
              </w:tc>
              <w:tc>
                <w:tcPr>
                  <w:tcW w:w="3130" w:type="dxa"/>
                  <w:noWrap w:val="0"/>
                  <w:vAlign w:val="center"/>
                </w:tcPr>
                <w:p w14:paraId="5B38483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试行</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》，生态保护红线内自然保护区、风景名胜区、饮用水水源保护区等区域，依照法律法规执行。</w:t>
                  </w:r>
                </w:p>
              </w:tc>
              <w:tc>
                <w:tcPr>
                  <w:tcW w:w="2186" w:type="dxa"/>
                  <w:noWrap w:val="0"/>
                  <w:vAlign w:val="center"/>
                </w:tcPr>
                <w:p w14:paraId="5AB33858">
                  <w:pPr>
                    <w:autoSpaceDE w:val="0"/>
                    <w:autoSpaceDN w:val="0"/>
                    <w:adjustRightInd w:val="0"/>
                    <w:snapToGrid w:val="0"/>
                    <w:jc w:val="both"/>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eastAsia="zh-CN"/>
                    </w:rPr>
                    <w:t>芜湖经济技术开发区龙山街道大桥镇红星路 41号综合楼一楼1号</w:t>
                  </w:r>
                  <w:r>
                    <w:rPr>
                      <w:rFonts w:hint="default" w:ascii="Times New Roman" w:hAnsi="Times New Roman" w:eastAsia="宋体" w:cs="Times New Roman"/>
                      <w:color w:val="000000"/>
                      <w:kern w:val="24"/>
                      <w:sz w:val="21"/>
                      <w:szCs w:val="21"/>
                    </w:rPr>
                    <w:t>，不在生态保护红线范围内，详见附图</w:t>
                  </w:r>
                  <w:r>
                    <w:rPr>
                      <w:rFonts w:hint="default" w:ascii="Times New Roman" w:hAnsi="Times New Roman" w:eastAsia="宋体" w:cs="Times New Roman"/>
                      <w:color w:val="000000"/>
                      <w:kern w:val="24"/>
                      <w:sz w:val="21"/>
                      <w:szCs w:val="21"/>
                      <w:lang w:val="en-US" w:eastAsia="zh-CN"/>
                    </w:rPr>
                    <w:t>七</w:t>
                  </w:r>
                  <w:r>
                    <w:rPr>
                      <w:rFonts w:hint="default" w:ascii="Times New Roman" w:hAnsi="Times New Roman" w:eastAsia="宋体" w:cs="Times New Roman"/>
                      <w:color w:val="000000"/>
                      <w:kern w:val="24"/>
                      <w:sz w:val="21"/>
                      <w:szCs w:val="21"/>
                    </w:rPr>
                    <w:t>。根据</w:t>
                  </w:r>
                  <w:r>
                    <w:rPr>
                      <w:rFonts w:hint="default" w:ascii="Times New Roman" w:hAnsi="Times New Roman" w:eastAsia="宋体" w:cs="Times New Roman"/>
                      <w:color w:val="000000"/>
                      <w:kern w:val="24"/>
                      <w:sz w:val="21"/>
                      <w:szCs w:val="21"/>
                      <w:u w:val="none"/>
                    </w:rPr>
                    <w:t>《芜湖市生态环境分区管控文本（成果）》</w:t>
                  </w:r>
                  <w:r>
                    <w:rPr>
                      <w:rFonts w:hint="default" w:ascii="Times New Roman" w:hAnsi="Times New Roman" w:eastAsia="宋体" w:cs="Times New Roman"/>
                      <w:color w:val="000000"/>
                      <w:kern w:val="24"/>
                      <w:sz w:val="21"/>
                      <w:szCs w:val="21"/>
                    </w:rPr>
                    <w:t>，本项目区域亦不涉及一般生态空间区域。</w:t>
                  </w:r>
                </w:p>
              </w:tc>
              <w:tc>
                <w:tcPr>
                  <w:tcW w:w="687" w:type="dxa"/>
                  <w:noWrap w:val="0"/>
                  <w:vAlign w:val="center"/>
                </w:tcPr>
                <w:p w14:paraId="1F046577">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D938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47DE842">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环境质量底线及环境分区管控</w:t>
                  </w:r>
                </w:p>
              </w:tc>
            </w:tr>
            <w:tr w14:paraId="2FB2E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5" w:type="dxa"/>
                  <w:vMerge w:val="restart"/>
                  <w:noWrap w:val="0"/>
                  <w:vAlign w:val="center"/>
                </w:tcPr>
                <w:p w14:paraId="48FC937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水环境质量底线及分区管控</w:t>
                  </w:r>
                </w:p>
              </w:tc>
              <w:tc>
                <w:tcPr>
                  <w:tcW w:w="3130" w:type="dxa"/>
                  <w:noWrap w:val="0"/>
                  <w:vAlign w:val="center"/>
                </w:tcPr>
                <w:p w14:paraId="735FD9D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芜湖市水环境管控分区包括优先保护区、重点管控区和一般管控区。</w:t>
                  </w:r>
                </w:p>
              </w:tc>
              <w:tc>
                <w:tcPr>
                  <w:tcW w:w="2186" w:type="dxa"/>
                  <w:vMerge w:val="restart"/>
                  <w:noWrap w:val="0"/>
                  <w:vAlign w:val="center"/>
                </w:tcPr>
                <w:p w14:paraId="172A1148">
                  <w:pPr>
                    <w:autoSpaceDE w:val="0"/>
                    <w:autoSpaceDN w:val="0"/>
                    <w:adjustRightInd w:val="0"/>
                    <w:snapToGrid w:val="0"/>
                    <w:jc w:val="both"/>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eastAsia="zh-CN"/>
                    </w:rPr>
                    <w:t>芜湖经济技术开发区龙山街道大桥镇红星路 41号综合楼一楼1号</w:t>
                  </w:r>
                  <w:r>
                    <w:rPr>
                      <w:rFonts w:hint="default" w:ascii="Times New Roman" w:hAnsi="Times New Roman" w:eastAsia="宋体" w:cs="Times New Roman"/>
                      <w:color w:val="auto"/>
                      <w:kern w:val="24"/>
                      <w:sz w:val="21"/>
                      <w:szCs w:val="21"/>
                    </w:rPr>
                    <w:t>，属于水环境工业污染重点管控区。本项目废水主要为生活污水，通过市政管网排入</w:t>
                  </w:r>
                  <w:r>
                    <w:rPr>
                      <w:rFonts w:hint="default" w:ascii="Times New Roman" w:hAnsi="Times New Roman" w:eastAsia="宋体" w:cs="Times New Roman"/>
                      <w:color w:val="auto"/>
                      <w:sz w:val="21"/>
                      <w:szCs w:val="21"/>
                      <w:lang w:val="en-US" w:eastAsia="zh-CN"/>
                    </w:rPr>
                    <w:t>天门山污水处理厂</w:t>
                  </w:r>
                  <w:r>
                    <w:rPr>
                      <w:rFonts w:hint="default" w:ascii="Times New Roman" w:hAnsi="Times New Roman" w:eastAsia="宋体" w:cs="Times New Roman"/>
                      <w:color w:val="auto"/>
                      <w:kern w:val="24"/>
                      <w:sz w:val="21"/>
                      <w:szCs w:val="21"/>
                    </w:rPr>
                    <w:t>集中处理。</w:t>
                  </w:r>
                </w:p>
              </w:tc>
              <w:tc>
                <w:tcPr>
                  <w:tcW w:w="687" w:type="dxa"/>
                  <w:vMerge w:val="restart"/>
                  <w:noWrap w:val="0"/>
                  <w:vAlign w:val="center"/>
                </w:tcPr>
                <w:p w14:paraId="3A2C0C74">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5DAE3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8" w:hRule="atLeast"/>
                <w:jc w:val="center"/>
              </w:trPr>
              <w:tc>
                <w:tcPr>
                  <w:tcW w:w="1075" w:type="dxa"/>
                  <w:vMerge w:val="continue"/>
                  <w:noWrap w:val="0"/>
                  <w:vAlign w:val="center"/>
                </w:tcPr>
                <w:p w14:paraId="4CBBAF09">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130" w:type="dxa"/>
                  <w:noWrap w:val="0"/>
                  <w:vAlign w:val="center"/>
                </w:tcPr>
                <w:p w14:paraId="7257946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节能减排实施方案》、《芜湖市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节能减排实施方案》等要求，新建、改建和扩建项目水污染物实施</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等量替代</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w:t>
                  </w:r>
                </w:p>
              </w:tc>
              <w:tc>
                <w:tcPr>
                  <w:tcW w:w="2186" w:type="dxa"/>
                  <w:vMerge w:val="continue"/>
                  <w:noWrap w:val="0"/>
                  <w:vAlign w:val="center"/>
                </w:tcPr>
                <w:p w14:paraId="4E215BAC">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33A7D387">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5FA29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1D4F05D9">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大气环境质量底线及分区管控</w:t>
                  </w:r>
                </w:p>
              </w:tc>
              <w:tc>
                <w:tcPr>
                  <w:tcW w:w="3130" w:type="dxa"/>
                  <w:noWrap w:val="0"/>
                  <w:vAlign w:val="center"/>
                </w:tcPr>
                <w:p w14:paraId="26D562D9">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芜湖市大气环境管控分区包括优先保护区、重点管控区和一般管控区。</w:t>
                  </w:r>
                </w:p>
              </w:tc>
              <w:tc>
                <w:tcPr>
                  <w:tcW w:w="2186" w:type="dxa"/>
                  <w:vMerge w:val="restart"/>
                  <w:noWrap w:val="0"/>
                  <w:vAlign w:val="center"/>
                </w:tcPr>
                <w:p w14:paraId="5B58189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eastAsia="zh-CN"/>
                    </w:rPr>
                    <w:t>芜湖经济技术开发区龙山街道大桥镇红星路 41号综合楼一楼1号</w:t>
                  </w:r>
                  <w:r>
                    <w:rPr>
                      <w:rFonts w:hint="default" w:ascii="Times New Roman" w:hAnsi="Times New Roman" w:eastAsia="宋体" w:cs="Times New Roman"/>
                      <w:color w:val="000000"/>
                      <w:kern w:val="24"/>
                      <w:sz w:val="21"/>
                      <w:szCs w:val="21"/>
                    </w:rPr>
                    <w:t>，属于重点管控区。根据《202</w:t>
                  </w:r>
                  <w:r>
                    <w:rPr>
                      <w:rFonts w:hint="default" w:ascii="Times New Roman" w:hAnsi="Times New Roman" w:eastAsia="宋体" w:cs="Times New Roman"/>
                      <w:color w:val="000000"/>
                      <w:kern w:val="24"/>
                      <w:sz w:val="21"/>
                      <w:szCs w:val="21"/>
                      <w:lang w:val="en-US" w:eastAsia="zh-CN"/>
                    </w:rPr>
                    <w:t>3</w:t>
                  </w:r>
                  <w:r>
                    <w:rPr>
                      <w:rFonts w:hint="default" w:ascii="Times New Roman" w:hAnsi="Times New Roman" w:eastAsia="宋体" w:cs="Times New Roman"/>
                      <w:color w:val="000000"/>
                      <w:kern w:val="24"/>
                      <w:sz w:val="21"/>
                      <w:szCs w:val="21"/>
                    </w:rPr>
                    <w:t>年芜湖市生态环境状况公报》可知，项目区域202</w:t>
                  </w:r>
                  <w:r>
                    <w:rPr>
                      <w:rFonts w:hint="default" w:ascii="Times New Roman" w:hAnsi="Times New Roman" w:eastAsia="宋体" w:cs="Times New Roman"/>
                      <w:color w:val="000000"/>
                      <w:kern w:val="24"/>
                      <w:sz w:val="21"/>
                      <w:szCs w:val="21"/>
                      <w:lang w:val="en-US" w:eastAsia="zh-CN"/>
                    </w:rPr>
                    <w:t>3</w:t>
                  </w:r>
                  <w:r>
                    <w:rPr>
                      <w:rFonts w:hint="default" w:ascii="Times New Roman" w:hAnsi="Times New Roman" w:eastAsia="宋体" w:cs="Times New Roman"/>
                      <w:color w:val="000000"/>
                      <w:kern w:val="24"/>
                      <w:sz w:val="21"/>
                      <w:szCs w:val="21"/>
                    </w:rPr>
                    <w:t>年度PM</w:t>
                  </w:r>
                  <w:r>
                    <w:rPr>
                      <w:rFonts w:hint="default" w:ascii="Times New Roman" w:hAnsi="Times New Roman" w:eastAsia="宋体" w:cs="Times New Roman"/>
                      <w:color w:val="000000"/>
                      <w:kern w:val="24"/>
                      <w:sz w:val="21"/>
                      <w:szCs w:val="21"/>
                      <w:vertAlign w:val="subscript"/>
                      <w:lang w:val="en-US" w:eastAsia="zh-CN"/>
                    </w:rPr>
                    <w:t>2.5</w:t>
                  </w:r>
                  <w:r>
                    <w:rPr>
                      <w:rFonts w:hint="default" w:ascii="Times New Roman" w:hAnsi="Times New Roman" w:eastAsia="宋体" w:cs="Times New Roman"/>
                      <w:color w:val="000000"/>
                      <w:kern w:val="24"/>
                      <w:sz w:val="21"/>
                      <w:szCs w:val="21"/>
                    </w:rPr>
                    <w:t>达标，大气主要污染物总量指标实行区域内等量削减替代，建设项目需向生态环境主管部门申请大气污染物总量指标，不会降低区域现有环境功能。</w:t>
                  </w:r>
                </w:p>
              </w:tc>
              <w:tc>
                <w:tcPr>
                  <w:tcW w:w="687" w:type="dxa"/>
                  <w:vMerge w:val="restart"/>
                  <w:noWrap w:val="0"/>
                  <w:vAlign w:val="center"/>
                </w:tcPr>
                <w:p w14:paraId="0D46AB3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A8DD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1075" w:type="dxa"/>
                  <w:vMerge w:val="continue"/>
                  <w:noWrap w:val="0"/>
                  <w:vAlign w:val="center"/>
                </w:tcPr>
                <w:p w14:paraId="498C7FE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130" w:type="dxa"/>
                  <w:noWrap w:val="0"/>
                  <w:vAlign w:val="center"/>
                </w:tcPr>
                <w:p w14:paraId="47799DD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重点管控区：落实《安徽省大气污染防治条例》、《</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环境保护规划》、《重点行业挥发性有机物综合治理方案》等要求，严格目标实施计划，加强环境监管，促进生态环境质量好转。若上年度PM</w:t>
                  </w:r>
                  <w:r>
                    <w:rPr>
                      <w:rFonts w:hint="default" w:ascii="Times New Roman" w:hAnsi="Times New Roman" w:eastAsia="宋体" w:cs="Times New Roman"/>
                      <w:color w:val="000000"/>
                      <w:kern w:val="24"/>
                      <w:sz w:val="21"/>
                      <w:szCs w:val="21"/>
                      <w:vertAlign w:val="subscript"/>
                    </w:rPr>
                    <w:t>2.5</w:t>
                  </w:r>
                  <w:r>
                    <w:rPr>
                      <w:rFonts w:hint="default" w:ascii="Times New Roman" w:hAnsi="Times New Roman" w:eastAsia="宋体" w:cs="Times New Roman"/>
                      <w:color w:val="000000"/>
                      <w:kern w:val="24"/>
                      <w:sz w:val="21"/>
                      <w:szCs w:val="21"/>
                    </w:rPr>
                    <w:t>不达标，新建、改建和扩建项目大气污染物实施</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倍量替代</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，执行特别排放标准的行业实施提标升级改造。</w:t>
                  </w:r>
                </w:p>
              </w:tc>
              <w:tc>
                <w:tcPr>
                  <w:tcW w:w="2186" w:type="dxa"/>
                  <w:vMerge w:val="continue"/>
                  <w:noWrap w:val="0"/>
                  <w:vAlign w:val="center"/>
                </w:tcPr>
                <w:p w14:paraId="1144BC5D">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17177F1D">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60E0F5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64E041AC">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土壤环境风险防控底线及分区管控</w:t>
                  </w:r>
                </w:p>
              </w:tc>
              <w:tc>
                <w:tcPr>
                  <w:tcW w:w="3130" w:type="dxa"/>
                  <w:noWrap w:val="0"/>
                  <w:vAlign w:val="center"/>
                </w:tcPr>
                <w:p w14:paraId="5F88C3F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芜湖市土壤风险防控分区包括优先保护区、重点管控区和一般管控区。</w:t>
                  </w:r>
                </w:p>
              </w:tc>
              <w:tc>
                <w:tcPr>
                  <w:tcW w:w="2186" w:type="dxa"/>
                  <w:vMerge w:val="restart"/>
                  <w:noWrap w:val="0"/>
                  <w:vAlign w:val="center"/>
                </w:tcPr>
                <w:p w14:paraId="34A8BBA2">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eastAsia="zh-CN"/>
                    </w:rPr>
                    <w:t>芜湖经济技术开发区龙山街道大桥镇红星路 41号综合楼一楼1号</w:t>
                  </w:r>
                  <w:r>
                    <w:rPr>
                      <w:rFonts w:hint="default" w:ascii="Times New Roman" w:hAnsi="Times New Roman" w:eastAsia="宋体" w:cs="Times New Roman"/>
                      <w:color w:val="auto"/>
                      <w:kern w:val="24"/>
                      <w:sz w:val="21"/>
                      <w:szCs w:val="21"/>
                    </w:rPr>
                    <w:t>，属于土壤环境一般管控区。本项目不涉及有色金属冶炼、石油加工、化工、焦</w:t>
                  </w:r>
                  <w:r>
                    <w:rPr>
                      <w:rFonts w:hint="default" w:ascii="Times New Roman" w:hAnsi="Times New Roman" w:eastAsia="宋体" w:cs="Times New Roman"/>
                      <w:color w:val="000000"/>
                      <w:kern w:val="24"/>
                      <w:sz w:val="21"/>
                      <w:szCs w:val="21"/>
                    </w:rPr>
                    <w:t>化、电镀、制革等行业生产经营活动，且项目采取分区防渗，因此不会对区域土壤环境造成影响。</w:t>
                  </w:r>
                </w:p>
              </w:tc>
              <w:tc>
                <w:tcPr>
                  <w:tcW w:w="687" w:type="dxa"/>
                  <w:vMerge w:val="restart"/>
                  <w:noWrap w:val="0"/>
                  <w:vAlign w:val="center"/>
                </w:tcPr>
                <w:p w14:paraId="5E497DB2">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6D070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5" w:hRule="atLeast"/>
                <w:jc w:val="center"/>
              </w:trPr>
              <w:tc>
                <w:tcPr>
                  <w:tcW w:w="1075" w:type="dxa"/>
                  <w:vMerge w:val="continue"/>
                  <w:noWrap w:val="0"/>
                  <w:vAlign w:val="center"/>
                </w:tcPr>
                <w:p w14:paraId="07D3E01C">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130" w:type="dxa"/>
                  <w:noWrap w:val="0"/>
                  <w:vAlign w:val="center"/>
                </w:tcPr>
                <w:p w14:paraId="66CD686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一般管控区：依据《中华人民共和国土壤污染防治法》、《土壤污染防治行动计划》、《安徽省土壤污染防治工作方案》、《安徽省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环境保护规划》、《芜湖市土壤污染防治工作方案》等要求及各市土壤污染防治工作方案对一般管控区实施管控。</w:t>
                  </w:r>
                </w:p>
              </w:tc>
              <w:tc>
                <w:tcPr>
                  <w:tcW w:w="2186" w:type="dxa"/>
                  <w:vMerge w:val="continue"/>
                  <w:noWrap w:val="0"/>
                  <w:vAlign w:val="center"/>
                </w:tcPr>
                <w:p w14:paraId="446C21F1">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3070DC9C">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572F7B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B4BF377">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资源利用上线及自然资源开发分区管控</w:t>
                  </w:r>
                </w:p>
              </w:tc>
            </w:tr>
            <w:tr w14:paraId="5E5E6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5" w:hRule="atLeast"/>
                <w:jc w:val="center"/>
              </w:trPr>
              <w:tc>
                <w:tcPr>
                  <w:tcW w:w="1075" w:type="dxa"/>
                  <w:noWrap w:val="0"/>
                  <w:vAlign w:val="center"/>
                </w:tcPr>
                <w:p w14:paraId="5C06668C">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水资源利用上线及分区管控</w:t>
                  </w:r>
                </w:p>
              </w:tc>
              <w:tc>
                <w:tcPr>
                  <w:tcW w:w="3130" w:type="dxa"/>
                  <w:noWrap w:val="0"/>
                  <w:vAlign w:val="center"/>
                </w:tcPr>
                <w:p w14:paraId="260CB911">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芜湖市水资源管控分区全部为一般管控区。管控要求：落实《国务院办公厅关于印发实行最严格水资源管理制度考核办法的通知》、《</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水资源消耗总量和强度双控行动方案》、《安徽省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水资源消耗总量和强度双控工作方案》和《芜湖市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水资源消耗总量和强度双控工作方案》等要求。</w:t>
                  </w:r>
                </w:p>
              </w:tc>
              <w:tc>
                <w:tcPr>
                  <w:tcW w:w="2186" w:type="dxa"/>
                  <w:noWrap w:val="0"/>
                  <w:vAlign w:val="center"/>
                </w:tcPr>
                <w:p w14:paraId="3E31D57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本项目用水来自区域市政供水管网，新增用水主要为生活用水；满足水资源利用上线要求。</w:t>
                  </w:r>
                </w:p>
              </w:tc>
              <w:tc>
                <w:tcPr>
                  <w:tcW w:w="687" w:type="dxa"/>
                  <w:noWrap w:val="0"/>
                  <w:vAlign w:val="center"/>
                </w:tcPr>
                <w:p w14:paraId="248263B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57B91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48FDC21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土地资源利用上线及分区管控</w:t>
                  </w:r>
                </w:p>
              </w:tc>
              <w:tc>
                <w:tcPr>
                  <w:tcW w:w="3130" w:type="dxa"/>
                  <w:noWrap w:val="0"/>
                  <w:vAlign w:val="center"/>
                </w:tcPr>
                <w:p w14:paraId="0A6B8F4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芜湖市土地资源管控区划分为两类，分别为重点管控区和一般管控区。</w:t>
                  </w:r>
                </w:p>
              </w:tc>
              <w:tc>
                <w:tcPr>
                  <w:tcW w:w="2186" w:type="dxa"/>
                  <w:vMerge w:val="restart"/>
                  <w:noWrap w:val="0"/>
                  <w:vAlign w:val="center"/>
                </w:tcPr>
                <w:p w14:paraId="733B635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eastAsia="zh-CN"/>
                    </w:rPr>
                    <w:t>芜湖经济技术开发区龙山街道大桥镇红星路41号综合楼一楼1号</w:t>
                  </w:r>
                  <w:r>
                    <w:rPr>
                      <w:rFonts w:hint="default" w:ascii="Times New Roman" w:hAnsi="Times New Roman" w:eastAsia="宋体" w:cs="Times New Roman"/>
                      <w:color w:val="000000"/>
                      <w:kern w:val="24"/>
                      <w:sz w:val="21"/>
                      <w:szCs w:val="21"/>
                    </w:rPr>
                    <w:t>，属于土地资源重点管控区。本项目用地为工业用地，符合规划要求。土地节约集约利用水平较高，不会突破土地资源利用上线。</w:t>
                  </w:r>
                </w:p>
              </w:tc>
              <w:tc>
                <w:tcPr>
                  <w:tcW w:w="687" w:type="dxa"/>
                  <w:vMerge w:val="restart"/>
                  <w:noWrap w:val="0"/>
                  <w:vAlign w:val="center"/>
                </w:tcPr>
                <w:p w14:paraId="684AD858">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9C16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1075" w:type="dxa"/>
                  <w:vMerge w:val="continue"/>
                  <w:noWrap w:val="0"/>
                  <w:vAlign w:val="center"/>
                </w:tcPr>
                <w:p w14:paraId="2E0B6BF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130" w:type="dxa"/>
                  <w:noWrap w:val="0"/>
                  <w:vAlign w:val="center"/>
                </w:tcPr>
                <w:p w14:paraId="742835CA">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落实《全国国土空间规划纲要（2021-2035年）》、《安徽省国土空间规划（2021-2035年）》、《芜湖市国土空间规划（2021-2035年）》、《自然资源</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规划编制工作方案》、《安徽省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自然资源保护和利用规划》等要求。</w:t>
                  </w:r>
                </w:p>
              </w:tc>
              <w:tc>
                <w:tcPr>
                  <w:tcW w:w="2186" w:type="dxa"/>
                  <w:vMerge w:val="continue"/>
                  <w:noWrap w:val="0"/>
                  <w:vAlign w:val="center"/>
                </w:tcPr>
                <w:p w14:paraId="5A47D74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2BFE789B">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3B4C8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1075" w:type="dxa"/>
                  <w:noWrap w:val="0"/>
                  <w:vAlign w:val="center"/>
                </w:tcPr>
                <w:p w14:paraId="0625D67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岸线资源利用上线及分区管控</w:t>
                  </w:r>
                </w:p>
              </w:tc>
              <w:tc>
                <w:tcPr>
                  <w:tcW w:w="3130" w:type="dxa"/>
                  <w:noWrap w:val="0"/>
                  <w:vAlign w:val="center"/>
                </w:tcPr>
                <w:p w14:paraId="4B38860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按照生态环境部</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三线一单</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岸线生态环境分类管控技术说明，长江岸线分为优先保护岸线、重点管控岸线、一般管控岸线。</w:t>
                  </w:r>
                </w:p>
              </w:tc>
              <w:tc>
                <w:tcPr>
                  <w:tcW w:w="2186" w:type="dxa"/>
                  <w:noWrap w:val="0"/>
                  <w:vAlign w:val="center"/>
                </w:tcPr>
                <w:p w14:paraId="4EBDDFD6">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auto"/>
                      <w:sz w:val="21"/>
                      <w:szCs w:val="21"/>
                    </w:rPr>
                    <w:t>本项目距离长江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芜湖段</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岸线约</w:t>
                  </w:r>
                  <w:r>
                    <w:rPr>
                      <w:rFonts w:hint="default" w:ascii="Times New Roman" w:hAnsi="Times New Roman" w:eastAsia="宋体" w:cs="Times New Roman"/>
                      <w:color w:val="auto"/>
                      <w:sz w:val="21"/>
                      <w:szCs w:val="21"/>
                      <w:lang w:val="en-US" w:eastAsia="zh-CN"/>
                    </w:rPr>
                    <w:t>2.9k</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4"/>
                      <w:sz w:val="21"/>
                      <w:szCs w:val="21"/>
                    </w:rPr>
                    <w:t>不涉及长江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芜湖段</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4"/>
                      <w:sz w:val="21"/>
                      <w:szCs w:val="21"/>
                    </w:rPr>
                    <w:t>岸线。</w:t>
                  </w:r>
                </w:p>
              </w:tc>
              <w:tc>
                <w:tcPr>
                  <w:tcW w:w="687" w:type="dxa"/>
                  <w:noWrap w:val="0"/>
                  <w:vAlign w:val="center"/>
                </w:tcPr>
                <w:p w14:paraId="15E8C2F4">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17453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1D6FFB5">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生态环境准入清单</w:t>
                  </w:r>
                </w:p>
              </w:tc>
            </w:tr>
            <w:tr w14:paraId="725D1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1075" w:type="dxa"/>
                  <w:noWrap w:val="0"/>
                  <w:vAlign w:val="center"/>
                </w:tcPr>
                <w:p w14:paraId="2168BA2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开发区清单</w:t>
                  </w:r>
                </w:p>
              </w:tc>
              <w:tc>
                <w:tcPr>
                  <w:tcW w:w="3130" w:type="dxa"/>
                  <w:noWrap w:val="0"/>
                  <w:vAlign w:val="center"/>
                </w:tcPr>
                <w:p w14:paraId="16A8C72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根据芜湖市各开发区基础特征、产业发展特点，考虑开发区主要环境问题，结合已批复的规划环评（或跟踪环评）报告要求，确定各开发区差异化清单。</w:t>
                  </w:r>
                </w:p>
              </w:tc>
              <w:tc>
                <w:tcPr>
                  <w:tcW w:w="2186" w:type="dxa"/>
                  <w:noWrap w:val="0"/>
                  <w:vAlign w:val="center"/>
                </w:tcPr>
                <w:p w14:paraId="41930396">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项目</w:t>
                  </w:r>
                  <w:r>
                    <w:rPr>
                      <w:rFonts w:hint="default" w:ascii="Times New Roman" w:hAnsi="Times New Roman" w:eastAsia="宋体" w:cs="Times New Roman"/>
                      <w:color w:val="000000"/>
                      <w:spacing w:val="-4"/>
                      <w:sz w:val="21"/>
                      <w:szCs w:val="21"/>
                    </w:rPr>
                    <w:t>不属于《产业结构调整指导目录（2024年本）》中的鼓励类及限制类项目，视为允许类项目；不属于《市场准入负面清单（2022年版，试行）》和《长江经济带发展负面清单指南》（试行）中的项目</w:t>
                  </w:r>
                  <w:r>
                    <w:rPr>
                      <w:rFonts w:hint="default" w:ascii="Times New Roman" w:hAnsi="Times New Roman" w:eastAsia="宋体" w:cs="Times New Roman"/>
                      <w:color w:val="000000"/>
                      <w:kern w:val="24"/>
                      <w:sz w:val="21"/>
                      <w:szCs w:val="21"/>
                    </w:rPr>
                    <w:t>，</w:t>
                  </w:r>
                  <w:r>
                    <w:rPr>
                      <w:rFonts w:hint="default" w:ascii="Times New Roman" w:hAnsi="Times New Roman" w:eastAsia="宋体" w:cs="Times New Roman"/>
                      <w:color w:val="000000"/>
                      <w:kern w:val="24"/>
                      <w:sz w:val="21"/>
                      <w:szCs w:val="21"/>
                      <w:lang w:val="en-US" w:eastAsia="zh-CN"/>
                    </w:rPr>
                    <w:t>不在</w:t>
                  </w:r>
                  <w:r>
                    <w:rPr>
                      <w:rFonts w:hint="default" w:ascii="Times New Roman" w:hAnsi="Times New Roman" w:eastAsia="宋体" w:cs="Times New Roman"/>
                      <w:color w:val="000000"/>
                      <w:kern w:val="24"/>
                      <w:sz w:val="21"/>
                      <w:szCs w:val="21"/>
                    </w:rPr>
                    <w:t>园区限制准入及禁止准入负面清单</w:t>
                  </w:r>
                  <w:r>
                    <w:rPr>
                      <w:rFonts w:hint="default" w:ascii="Times New Roman" w:hAnsi="Times New Roman" w:eastAsia="宋体" w:cs="Times New Roman"/>
                      <w:color w:val="000000"/>
                      <w:kern w:val="24"/>
                      <w:sz w:val="21"/>
                      <w:szCs w:val="21"/>
                      <w:lang w:val="en-US" w:eastAsia="zh-CN"/>
                    </w:rPr>
                    <w:t>内。</w:t>
                  </w:r>
                  <w:r>
                    <w:rPr>
                      <w:rFonts w:hint="default" w:ascii="Times New Roman" w:hAnsi="Times New Roman" w:eastAsia="宋体" w:cs="Times New Roman"/>
                      <w:color w:val="000000"/>
                      <w:kern w:val="24"/>
                      <w:sz w:val="21"/>
                      <w:szCs w:val="21"/>
                    </w:rPr>
                    <w:t>项目建设符合国家及地方产业政策，满足负面清单管理要求。</w:t>
                  </w:r>
                </w:p>
              </w:tc>
              <w:tc>
                <w:tcPr>
                  <w:tcW w:w="687" w:type="dxa"/>
                  <w:noWrap w:val="0"/>
                  <w:vAlign w:val="center"/>
                </w:tcPr>
                <w:p w14:paraId="0D9D1E47">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bl>
          <w:p w14:paraId="09BDEAB6">
            <w:pPr>
              <w:adjustRightInd w:val="0"/>
              <w:snapToGrid w:val="0"/>
              <w:spacing w:line="360" w:lineRule="auto"/>
              <w:ind w:firstLine="482" w:firstLineChars="200"/>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5、与《芜湖市生态环境分区管控生态环境准入清单》相符性分析</w:t>
            </w:r>
          </w:p>
          <w:p w14:paraId="551513D5">
            <w:pPr>
              <w:adjustRightInd w:val="0"/>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本项目位于芜湖经济技术开发区，属于芜湖市大气环境高排放重点管控区及水环境工业污染源重点管控区，本次环评筛选了与本项目有关的芜湖市重点管控单元生态环境准入清单与开发区生态环境准入清单，本项目与其相符性分析详见下表。</w:t>
            </w:r>
          </w:p>
          <w:p w14:paraId="71E2B9B9">
            <w:pPr>
              <w:widowControl/>
              <w:jc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表1-</w:t>
            </w:r>
            <w:r>
              <w:rPr>
                <w:rFonts w:hint="eastAsia" w:cs="Times New Roman"/>
                <w:b/>
                <w:color w:val="000000"/>
                <w:sz w:val="24"/>
                <w:lang w:val="en-US" w:eastAsia="zh-CN"/>
              </w:rPr>
              <w:t>5</w:t>
            </w:r>
            <w:r>
              <w:rPr>
                <w:rFonts w:hint="default" w:ascii="Times New Roman" w:hAnsi="Times New Roman" w:eastAsia="宋体" w:cs="Times New Roman"/>
                <w:b/>
                <w:color w:val="000000"/>
                <w:sz w:val="24"/>
              </w:rPr>
              <w:t xml:space="preserve">  项目与《</w:t>
            </w:r>
            <w:r>
              <w:rPr>
                <w:rFonts w:hint="default" w:ascii="Times New Roman" w:hAnsi="Times New Roman" w:eastAsia="宋体" w:cs="Times New Roman"/>
                <w:b/>
                <w:bCs/>
                <w:color w:val="000000"/>
                <w:kern w:val="0"/>
                <w:sz w:val="24"/>
                <w:lang w:bidi="ar"/>
              </w:rPr>
              <w:t>芜湖市生态环境分区管控生态环境准入清单</w:t>
            </w:r>
            <w:r>
              <w:rPr>
                <w:rFonts w:hint="default" w:ascii="Times New Roman" w:hAnsi="Times New Roman" w:eastAsia="宋体" w:cs="Times New Roman"/>
                <w:b/>
                <w:color w:val="000000"/>
                <w:sz w:val="24"/>
              </w:rPr>
              <w:t>》相符性分析</w:t>
            </w:r>
          </w:p>
          <w:tbl>
            <w:tblPr>
              <w:tblStyle w:val="58"/>
              <w:tblW w:w="701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9"/>
              <w:gridCol w:w="1"/>
              <w:gridCol w:w="350"/>
              <w:gridCol w:w="364"/>
              <w:gridCol w:w="3"/>
              <w:gridCol w:w="412"/>
              <w:gridCol w:w="4"/>
              <w:gridCol w:w="429"/>
              <w:gridCol w:w="5"/>
              <w:gridCol w:w="2694"/>
              <w:gridCol w:w="6"/>
              <w:gridCol w:w="1675"/>
              <w:gridCol w:w="8"/>
              <w:gridCol w:w="441"/>
              <w:gridCol w:w="28"/>
            </w:tblGrid>
            <w:tr w14:paraId="0DF0B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3" w:type="pct"/>
                <w:trHeight w:val="879" w:hRule="atLeast"/>
              </w:trPr>
              <w:tc>
                <w:tcPr>
                  <w:tcW w:w="427" w:type="pct"/>
                  <w:noWrap w:val="0"/>
                  <w:vAlign w:val="center"/>
                </w:tcPr>
                <w:p w14:paraId="6A6FB7CA">
                  <w:pPr>
                    <w:jc w:val="center"/>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val="en-US" w:eastAsia="zh-CN"/>
                    </w:rPr>
                    <w:t>管控单元</w:t>
                  </w:r>
                </w:p>
              </w:tc>
              <w:tc>
                <w:tcPr>
                  <w:tcW w:w="510" w:type="pct"/>
                  <w:gridSpan w:val="3"/>
                  <w:noWrap w:val="0"/>
                  <w:vAlign w:val="center"/>
                </w:tcPr>
                <w:p w14:paraId="785B139D">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清单编制要求</w:t>
                  </w:r>
                </w:p>
              </w:tc>
              <w:tc>
                <w:tcPr>
                  <w:tcW w:w="296" w:type="pct"/>
                  <w:gridSpan w:val="2"/>
                  <w:noWrap w:val="0"/>
                  <w:vAlign w:val="center"/>
                </w:tcPr>
                <w:p w14:paraId="32A98CC7">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词条名称</w:t>
                  </w:r>
                </w:p>
              </w:tc>
              <w:tc>
                <w:tcPr>
                  <w:tcW w:w="309" w:type="pct"/>
                  <w:gridSpan w:val="2"/>
                  <w:noWrap w:val="0"/>
                  <w:vAlign w:val="center"/>
                </w:tcPr>
                <w:p w14:paraId="5B53D7D2">
                  <w:pPr>
                    <w:jc w:val="center"/>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val="en-US" w:eastAsia="zh-CN"/>
                    </w:rPr>
                    <w:t>序号</w:t>
                  </w:r>
                </w:p>
              </w:tc>
              <w:tc>
                <w:tcPr>
                  <w:tcW w:w="1923" w:type="pct"/>
                  <w:gridSpan w:val="2"/>
                  <w:noWrap w:val="0"/>
                  <w:vAlign w:val="center"/>
                </w:tcPr>
                <w:p w14:paraId="7CB192B4">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准入要求</w:t>
                  </w:r>
                </w:p>
              </w:tc>
              <w:tc>
                <w:tcPr>
                  <w:tcW w:w="1198" w:type="pct"/>
                  <w:gridSpan w:val="2"/>
                  <w:noWrap w:val="0"/>
                  <w:vAlign w:val="center"/>
                </w:tcPr>
                <w:p w14:paraId="34AA7352">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本项目特点</w:t>
                  </w:r>
                </w:p>
              </w:tc>
              <w:tc>
                <w:tcPr>
                  <w:tcW w:w="320" w:type="pct"/>
                  <w:gridSpan w:val="2"/>
                  <w:noWrap w:val="0"/>
                  <w:vAlign w:val="center"/>
                </w:tcPr>
                <w:p w14:paraId="6AF57E9E">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相符性</w:t>
                  </w:r>
                </w:p>
              </w:tc>
            </w:tr>
            <w:tr w14:paraId="5ECA60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427" w:type="pct"/>
                  <w:gridSpan w:val="2"/>
                  <w:vMerge w:val="restart"/>
                  <w:noWrap w:val="0"/>
                  <w:vAlign w:val="center"/>
                </w:tcPr>
                <w:p w14:paraId="60D534C7">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重点管控单元</w:t>
                  </w:r>
                </w:p>
              </w:tc>
              <w:tc>
                <w:tcPr>
                  <w:tcW w:w="249" w:type="pct"/>
                  <w:vMerge w:val="restart"/>
                  <w:noWrap w:val="0"/>
                  <w:vAlign w:val="center"/>
                </w:tcPr>
                <w:p w14:paraId="01B0BD14">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空间布局约束</w:t>
                  </w:r>
                </w:p>
              </w:tc>
              <w:tc>
                <w:tcPr>
                  <w:tcW w:w="261" w:type="pct"/>
                  <w:gridSpan w:val="2"/>
                  <w:vMerge w:val="restart"/>
                  <w:noWrap w:val="0"/>
                  <w:vAlign w:val="center"/>
                </w:tcPr>
                <w:p w14:paraId="5178B6B2">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cs="Times New Roman"/>
                      <w:kern w:val="2"/>
                      <w:sz w:val="21"/>
                      <w:szCs w:val="21"/>
                      <w:lang w:val="en-US" w:eastAsia="zh-CN" w:bidi="ar-SA"/>
                    </w:rPr>
                    <w:t>禁止开发建设活动的要求</w:t>
                  </w:r>
                </w:p>
              </w:tc>
              <w:tc>
                <w:tcPr>
                  <w:tcW w:w="296" w:type="pct"/>
                  <w:gridSpan w:val="2"/>
                  <w:vMerge w:val="restart"/>
                  <w:noWrap w:val="0"/>
                  <w:vAlign w:val="center"/>
                </w:tcPr>
                <w:p w14:paraId="3034B7C0">
                  <w:pPr>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芜湖-重点-空间布局-禁止</w:t>
                  </w:r>
                </w:p>
              </w:tc>
              <w:tc>
                <w:tcPr>
                  <w:tcW w:w="309" w:type="pct"/>
                  <w:gridSpan w:val="2"/>
                  <w:noWrap w:val="0"/>
                  <w:vAlign w:val="center"/>
                </w:tcPr>
                <w:p w14:paraId="6B281E47">
                  <w:pPr>
                    <w:jc w:val="center"/>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3</w:t>
                  </w:r>
                </w:p>
              </w:tc>
              <w:tc>
                <w:tcPr>
                  <w:tcW w:w="1923" w:type="pct"/>
                  <w:gridSpan w:val="2"/>
                  <w:noWrap w:val="0"/>
                  <w:vAlign w:val="center"/>
                </w:tcPr>
                <w:p w14:paraId="6F08530E">
                  <w:pPr>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rPr>
                    <w:t>严禁新增钢铁、焦化、电解铝、铸造、水泥和平板玻璃等产能</w:t>
                  </w:r>
                </w:p>
              </w:tc>
              <w:tc>
                <w:tcPr>
                  <w:tcW w:w="1198" w:type="pct"/>
                  <w:gridSpan w:val="2"/>
                  <w:noWrap w:val="0"/>
                  <w:vAlign w:val="center"/>
                </w:tcPr>
                <w:p w14:paraId="5F0A73DB">
                  <w:pPr>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rPr>
                    <w:t>本项目不涉及钢铁、焦化、电解铝、铸造、水泥和平板玻璃等</w:t>
                  </w:r>
                </w:p>
              </w:tc>
              <w:tc>
                <w:tcPr>
                  <w:tcW w:w="334" w:type="pct"/>
                  <w:gridSpan w:val="2"/>
                  <w:noWrap w:val="0"/>
                  <w:vAlign w:val="center"/>
                </w:tcPr>
                <w:p w14:paraId="42F24CEE">
                  <w:pP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cs="Times New Roman"/>
                      <w:color w:val="auto"/>
                      <w:spacing w:val="-4"/>
                      <w:sz w:val="21"/>
                      <w:szCs w:val="21"/>
                      <w:highlight w:val="none"/>
                      <w:lang w:val="en-US" w:eastAsia="zh-CN"/>
                    </w:rPr>
                    <w:t>相符</w:t>
                  </w:r>
                </w:p>
              </w:tc>
            </w:tr>
            <w:tr w14:paraId="5D869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48" w:hRule="atLeast"/>
              </w:trPr>
              <w:tc>
                <w:tcPr>
                  <w:tcW w:w="427" w:type="pct"/>
                  <w:gridSpan w:val="2"/>
                  <w:vMerge w:val="continue"/>
                  <w:noWrap w:val="0"/>
                  <w:vAlign w:val="center"/>
                </w:tcPr>
                <w:p w14:paraId="5BE764CD">
                  <w:pPr>
                    <w:jc w:val="center"/>
                    <w:rPr>
                      <w:rFonts w:hint="default" w:ascii="Times New Roman" w:hAnsi="Times New Roman" w:eastAsia="宋体" w:cs="Times New Roman"/>
                      <w:color w:val="000000"/>
                      <w:spacing w:val="-4"/>
                      <w:sz w:val="21"/>
                      <w:szCs w:val="21"/>
                    </w:rPr>
                  </w:pPr>
                </w:p>
              </w:tc>
              <w:tc>
                <w:tcPr>
                  <w:tcW w:w="249" w:type="pct"/>
                  <w:vMerge w:val="continue"/>
                  <w:noWrap w:val="0"/>
                  <w:vAlign w:val="center"/>
                </w:tcPr>
                <w:p w14:paraId="2438B236">
                  <w:pPr>
                    <w:jc w:val="center"/>
                    <w:rPr>
                      <w:rFonts w:hint="default" w:ascii="Times New Roman" w:hAnsi="Times New Roman" w:eastAsia="宋体" w:cs="Times New Roman"/>
                      <w:color w:val="000000"/>
                      <w:spacing w:val="-4"/>
                      <w:sz w:val="21"/>
                      <w:szCs w:val="21"/>
                    </w:rPr>
                  </w:pPr>
                </w:p>
              </w:tc>
              <w:tc>
                <w:tcPr>
                  <w:tcW w:w="261" w:type="pct"/>
                  <w:gridSpan w:val="2"/>
                  <w:vMerge w:val="continue"/>
                  <w:noWrap w:val="0"/>
                  <w:vAlign w:val="center"/>
                </w:tcPr>
                <w:p w14:paraId="06C49157">
                  <w:pPr>
                    <w:jc w:val="center"/>
                    <w:rPr>
                      <w:rFonts w:hint="default" w:ascii="Times New Roman" w:hAnsi="Times New Roman" w:eastAsia="宋体" w:cs="Times New Roman"/>
                      <w:color w:val="000000"/>
                      <w:spacing w:val="-4"/>
                      <w:sz w:val="21"/>
                      <w:szCs w:val="21"/>
                    </w:rPr>
                  </w:pPr>
                </w:p>
              </w:tc>
              <w:tc>
                <w:tcPr>
                  <w:tcW w:w="296" w:type="pct"/>
                  <w:gridSpan w:val="2"/>
                  <w:vMerge w:val="continue"/>
                  <w:noWrap w:val="0"/>
                  <w:vAlign w:val="center"/>
                </w:tcPr>
                <w:p w14:paraId="1DAC41C3">
                  <w:pPr>
                    <w:rPr>
                      <w:rFonts w:hint="default" w:ascii="Times New Roman" w:hAnsi="Times New Roman" w:eastAsia="宋体" w:cs="Times New Roman"/>
                      <w:color w:val="000000"/>
                      <w:spacing w:val="-4"/>
                      <w:sz w:val="21"/>
                      <w:szCs w:val="21"/>
                      <w:highlight w:val="none"/>
                    </w:rPr>
                  </w:pPr>
                </w:p>
              </w:tc>
              <w:tc>
                <w:tcPr>
                  <w:tcW w:w="309" w:type="pct"/>
                  <w:gridSpan w:val="2"/>
                  <w:noWrap w:val="0"/>
                  <w:vAlign w:val="center"/>
                </w:tcPr>
                <w:p w14:paraId="4EB993DD">
                  <w:pPr>
                    <w:jc w:val="center"/>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cs="Times New Roman"/>
                      <w:sz w:val="21"/>
                      <w:szCs w:val="21"/>
                      <w:lang w:val="en-US" w:eastAsia="zh-CN"/>
                    </w:rPr>
                    <w:t>16</w:t>
                  </w:r>
                </w:p>
              </w:tc>
              <w:tc>
                <w:tcPr>
                  <w:tcW w:w="1923" w:type="pct"/>
                  <w:gridSpan w:val="2"/>
                  <w:noWrap w:val="0"/>
                  <w:vAlign w:val="center"/>
                </w:tcPr>
                <w:p w14:paraId="66A8264C">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严格执行相关行业企业布局选址要求，禁止在居民区、学校、医疗和养老机构等周边新建有色金属冶炼、焦化等行业企业</w:t>
                  </w:r>
                </w:p>
              </w:tc>
              <w:tc>
                <w:tcPr>
                  <w:tcW w:w="1198" w:type="pct"/>
                  <w:gridSpan w:val="2"/>
                  <w:noWrap w:val="0"/>
                  <w:vAlign w:val="center"/>
                </w:tcPr>
                <w:p w14:paraId="411FE3B0">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本项目不属于新建有色金属冶炼、焦化等行业企业，根据芜湖经济技术开发区总体规划用地布局，项目地块为工业用地</w:t>
                  </w:r>
                </w:p>
              </w:tc>
              <w:tc>
                <w:tcPr>
                  <w:tcW w:w="334" w:type="pct"/>
                  <w:gridSpan w:val="2"/>
                  <w:noWrap w:val="0"/>
                  <w:vAlign w:val="center"/>
                </w:tcPr>
                <w:p w14:paraId="216946AC">
                  <w:pPr>
                    <w:jc w:val="center"/>
                    <w:rPr>
                      <w:rFonts w:hint="default" w:ascii="Times New Roman" w:hAnsi="Times New Roman" w:cs="Times New Roman"/>
                      <w:sz w:val="21"/>
                      <w:szCs w:val="21"/>
                    </w:rPr>
                  </w:pPr>
                  <w:r>
                    <w:rPr>
                      <w:rFonts w:hint="default" w:ascii="Times New Roman" w:hAnsi="Times New Roman" w:cs="Times New Roman"/>
                      <w:color w:val="auto"/>
                      <w:spacing w:val="-4"/>
                      <w:sz w:val="21"/>
                      <w:szCs w:val="21"/>
                      <w:highlight w:val="none"/>
                      <w:lang w:val="en-US" w:eastAsia="zh-CN"/>
                    </w:rPr>
                    <w:t>相符</w:t>
                  </w:r>
                </w:p>
              </w:tc>
            </w:tr>
            <w:tr w14:paraId="6FB6CD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9" w:hRule="atLeast"/>
              </w:trPr>
              <w:tc>
                <w:tcPr>
                  <w:tcW w:w="427" w:type="pct"/>
                  <w:gridSpan w:val="2"/>
                  <w:vMerge w:val="continue"/>
                  <w:noWrap w:val="0"/>
                  <w:vAlign w:val="center"/>
                </w:tcPr>
                <w:p w14:paraId="62817863">
                  <w:pPr>
                    <w:jc w:val="center"/>
                    <w:rPr>
                      <w:rFonts w:hint="default" w:ascii="Times New Roman" w:hAnsi="Times New Roman" w:eastAsia="宋体" w:cs="Times New Roman"/>
                      <w:color w:val="000000"/>
                      <w:spacing w:val="-4"/>
                      <w:sz w:val="21"/>
                      <w:szCs w:val="21"/>
                    </w:rPr>
                  </w:pPr>
                </w:p>
              </w:tc>
              <w:tc>
                <w:tcPr>
                  <w:tcW w:w="249" w:type="pct"/>
                  <w:vMerge w:val="continue"/>
                  <w:noWrap w:val="0"/>
                  <w:vAlign w:val="center"/>
                </w:tcPr>
                <w:p w14:paraId="0576B6FD">
                  <w:pPr>
                    <w:jc w:val="center"/>
                    <w:rPr>
                      <w:rFonts w:hint="default" w:ascii="Times New Roman" w:hAnsi="Times New Roman" w:eastAsia="宋体" w:cs="Times New Roman"/>
                      <w:color w:val="000000"/>
                      <w:spacing w:val="-4"/>
                      <w:sz w:val="21"/>
                      <w:szCs w:val="21"/>
                    </w:rPr>
                  </w:pPr>
                </w:p>
              </w:tc>
              <w:tc>
                <w:tcPr>
                  <w:tcW w:w="261" w:type="pct"/>
                  <w:gridSpan w:val="2"/>
                  <w:vMerge w:val="continue"/>
                  <w:noWrap w:val="0"/>
                  <w:vAlign w:val="center"/>
                </w:tcPr>
                <w:p w14:paraId="501109D9">
                  <w:pPr>
                    <w:jc w:val="center"/>
                    <w:rPr>
                      <w:rFonts w:hint="default" w:ascii="Times New Roman" w:hAnsi="Times New Roman" w:eastAsia="宋体" w:cs="Times New Roman"/>
                      <w:color w:val="000000"/>
                      <w:spacing w:val="-4"/>
                      <w:sz w:val="21"/>
                      <w:szCs w:val="21"/>
                    </w:rPr>
                  </w:pPr>
                </w:p>
              </w:tc>
              <w:tc>
                <w:tcPr>
                  <w:tcW w:w="296" w:type="pct"/>
                  <w:gridSpan w:val="2"/>
                  <w:vMerge w:val="continue"/>
                  <w:noWrap w:val="0"/>
                  <w:vAlign w:val="center"/>
                </w:tcPr>
                <w:p w14:paraId="45C065C9">
                  <w:pPr>
                    <w:autoSpaceDE w:val="0"/>
                    <w:autoSpaceDN w:val="0"/>
                    <w:adjustRightInd w:val="0"/>
                    <w:jc w:val="center"/>
                    <w:textAlignment w:val="baseline"/>
                    <w:rPr>
                      <w:rFonts w:hint="default" w:ascii="Times New Roman" w:hAnsi="Times New Roman" w:eastAsia="宋体" w:cs="Times New Roman"/>
                      <w:color w:val="000000"/>
                      <w:spacing w:val="-4"/>
                      <w:sz w:val="21"/>
                      <w:szCs w:val="21"/>
                    </w:rPr>
                  </w:pPr>
                </w:p>
              </w:tc>
              <w:tc>
                <w:tcPr>
                  <w:tcW w:w="309" w:type="pct"/>
                  <w:gridSpan w:val="2"/>
                  <w:noWrap w:val="0"/>
                  <w:vAlign w:val="center"/>
                </w:tcPr>
                <w:p w14:paraId="31847E63">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eastAsia="zh-CN"/>
                    </w:rPr>
                  </w:pPr>
                  <w:r>
                    <w:rPr>
                      <w:rFonts w:hint="default" w:ascii="Times New Roman" w:hAnsi="Times New Roman" w:eastAsia="宋体" w:cs="Times New Roman"/>
                      <w:color w:val="000000"/>
                      <w:spacing w:val="-4"/>
                      <w:sz w:val="21"/>
                      <w:szCs w:val="21"/>
                      <w:highlight w:val="none"/>
                      <w:lang w:val="en-US" w:eastAsia="zh-CN"/>
                    </w:rPr>
                    <w:t>21</w:t>
                  </w:r>
                </w:p>
              </w:tc>
              <w:tc>
                <w:tcPr>
                  <w:tcW w:w="1923" w:type="pct"/>
                  <w:gridSpan w:val="2"/>
                  <w:noWrap w:val="0"/>
                  <w:vAlign w:val="center"/>
                </w:tcPr>
                <w:p w14:paraId="494B5091">
                  <w:pPr>
                    <w:keepNext w:val="0"/>
                    <w:keepLines w:val="0"/>
                    <w:widowControl/>
                    <w:suppressLineNumbers w:val="0"/>
                    <w:jc w:val="center"/>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0"/>
                      <w:sz w:val="21"/>
                      <w:szCs w:val="21"/>
                      <w:lang w:val="en-US" w:eastAsia="zh-CN" w:bidi="ar"/>
                    </w:rPr>
                    <w:t>严禁1公里范围内新建化工项目。长江干支流岸线1公里范围内，严禁新建、扩建化工园区和化工项目。已批未开工的项目，依法停止建设，支持重新选址。已经开工建设的项目，严格进行检查评估，不符合岸线规划和环保、安全要求的，全部依法依规停建搬迁。严控5公里范围内新建重化工重污染项目。严禁新建布局重化工园区。合规化工园区内，严禁新批环境基础设施不完善或长期不能稳定运行的企业新建和扩建化工项目。严管15公里范围内新建项目，禁止建设没有环境容量和减排总量项目</w:t>
                  </w:r>
                </w:p>
              </w:tc>
              <w:tc>
                <w:tcPr>
                  <w:tcW w:w="1198" w:type="pct"/>
                  <w:gridSpan w:val="2"/>
                  <w:noWrap w:val="0"/>
                  <w:vAlign w:val="center"/>
                </w:tcPr>
                <w:p w14:paraId="42ADBD49">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本项目为新建性质，与长江干流岸线距离</w:t>
                  </w:r>
                  <w:r>
                    <w:rPr>
                      <w:rFonts w:hint="default" w:ascii="Times New Roman" w:hAnsi="Times New Roman" w:eastAsia="宋体" w:cs="Times New Roman"/>
                      <w:color w:val="000000"/>
                      <w:kern w:val="21"/>
                      <w:sz w:val="21"/>
                      <w:szCs w:val="21"/>
                      <w:highlight w:val="none"/>
                      <w:lang w:val="en-US" w:eastAsia="zh-CN"/>
                    </w:rPr>
                    <w:t>2.9</w:t>
                  </w:r>
                  <w:r>
                    <w:rPr>
                      <w:rFonts w:hint="default" w:ascii="Times New Roman" w:hAnsi="Times New Roman" w:eastAsia="宋体" w:cs="Times New Roman"/>
                      <w:color w:val="000000"/>
                      <w:kern w:val="21"/>
                      <w:sz w:val="21"/>
                      <w:szCs w:val="21"/>
                      <w:highlight w:val="none"/>
                    </w:rPr>
                    <w:t>km，本项目不属于化工项目</w:t>
                  </w:r>
                </w:p>
              </w:tc>
              <w:tc>
                <w:tcPr>
                  <w:tcW w:w="334" w:type="pct"/>
                  <w:gridSpan w:val="2"/>
                  <w:noWrap w:val="0"/>
                  <w:vAlign w:val="center"/>
                </w:tcPr>
                <w:p w14:paraId="6BCBF409">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5F489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427" w:type="pct"/>
                  <w:gridSpan w:val="2"/>
                  <w:vMerge w:val="continue"/>
                  <w:noWrap w:val="0"/>
                  <w:vAlign w:val="center"/>
                </w:tcPr>
                <w:p w14:paraId="310E3EB1">
                  <w:pPr>
                    <w:jc w:val="center"/>
                    <w:rPr>
                      <w:rFonts w:hint="default" w:ascii="Times New Roman" w:hAnsi="Times New Roman" w:eastAsia="宋体" w:cs="Times New Roman"/>
                      <w:color w:val="000000"/>
                      <w:spacing w:val="-4"/>
                      <w:sz w:val="21"/>
                      <w:szCs w:val="21"/>
                    </w:rPr>
                  </w:pPr>
                </w:p>
              </w:tc>
              <w:tc>
                <w:tcPr>
                  <w:tcW w:w="249" w:type="pct"/>
                  <w:vMerge w:val="restart"/>
                  <w:noWrap w:val="0"/>
                  <w:vAlign w:val="center"/>
                </w:tcPr>
                <w:p w14:paraId="380F2F71">
                  <w:pPr>
                    <w:jc w:val="center"/>
                    <w:rPr>
                      <w:rFonts w:hint="default" w:ascii="Times New Roman" w:hAnsi="Times New Roman" w:eastAsia="宋体" w:cs="Times New Roman"/>
                      <w:color w:val="000000"/>
                      <w:spacing w:val="-4"/>
                      <w:sz w:val="21"/>
                      <w:szCs w:val="21"/>
                    </w:rPr>
                  </w:pPr>
                </w:p>
              </w:tc>
              <w:tc>
                <w:tcPr>
                  <w:tcW w:w="261" w:type="pct"/>
                  <w:gridSpan w:val="2"/>
                  <w:vMerge w:val="restart"/>
                  <w:noWrap w:val="0"/>
                  <w:vAlign w:val="center"/>
                </w:tcPr>
                <w:p w14:paraId="2D68476D">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限制开发建设活动的要求</w:t>
                  </w:r>
                </w:p>
              </w:tc>
              <w:tc>
                <w:tcPr>
                  <w:tcW w:w="296" w:type="pct"/>
                  <w:gridSpan w:val="2"/>
                  <w:vMerge w:val="restart"/>
                  <w:noWrap w:val="0"/>
                  <w:vAlign w:val="center"/>
                </w:tcPr>
                <w:p w14:paraId="37EBA62E">
                  <w:pPr>
                    <w:autoSpaceDE w:val="0"/>
                    <w:autoSpaceDN w:val="0"/>
                    <w:adjustRightInd w:val="0"/>
                    <w:jc w:val="center"/>
                    <w:textAlignment w:val="baseline"/>
                    <w:rPr>
                      <w:rFonts w:hint="default" w:ascii="Times New Roman" w:hAnsi="Times New Roman" w:eastAsia="宋体" w:cs="Times New Roman"/>
                      <w:color w:val="000000"/>
                      <w:spacing w:val="-4"/>
                      <w:sz w:val="21"/>
                      <w:szCs w:val="21"/>
                    </w:rPr>
                  </w:pPr>
                  <w:r>
                    <w:rPr>
                      <w:rFonts w:hint="default" w:ascii="Times New Roman" w:hAnsi="Times New Roman" w:cs="Times New Roman"/>
                      <w:kern w:val="2"/>
                      <w:sz w:val="21"/>
                      <w:szCs w:val="21"/>
                      <w:lang w:val="en-US" w:eastAsia="zh-CN" w:bidi="ar-SA"/>
                    </w:rPr>
                    <w:t>芜湖-重点-空间布局-限制</w:t>
                  </w:r>
                </w:p>
              </w:tc>
              <w:tc>
                <w:tcPr>
                  <w:tcW w:w="309" w:type="pct"/>
                  <w:gridSpan w:val="2"/>
                  <w:noWrap w:val="0"/>
                  <w:vAlign w:val="center"/>
                </w:tcPr>
                <w:p w14:paraId="6D55B53E">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27</w:t>
                  </w:r>
                </w:p>
              </w:tc>
              <w:tc>
                <w:tcPr>
                  <w:tcW w:w="1923" w:type="pct"/>
                  <w:gridSpan w:val="2"/>
                  <w:noWrap w:val="0"/>
                  <w:vAlign w:val="center"/>
                </w:tcPr>
                <w:p w14:paraId="12F3305F">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严控5公里范围内新建重化工重污染项目。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w:t>
                  </w:r>
                </w:p>
              </w:tc>
              <w:tc>
                <w:tcPr>
                  <w:tcW w:w="1198" w:type="pct"/>
                  <w:gridSpan w:val="2"/>
                  <w:noWrap w:val="0"/>
                  <w:vAlign w:val="center"/>
                </w:tcPr>
                <w:p w14:paraId="1DD20D55">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本项目性质为新建，与长江干流岸线距离</w:t>
                  </w:r>
                  <w:r>
                    <w:rPr>
                      <w:rFonts w:hint="default" w:ascii="Times New Roman" w:hAnsi="Times New Roman" w:eastAsia="宋体" w:cs="Times New Roman"/>
                      <w:color w:val="000000"/>
                      <w:kern w:val="21"/>
                      <w:sz w:val="21"/>
                      <w:szCs w:val="21"/>
                      <w:highlight w:val="none"/>
                      <w:lang w:val="en-US" w:eastAsia="zh-CN"/>
                    </w:rPr>
                    <w:t>2.9</w:t>
                  </w:r>
                  <w:r>
                    <w:rPr>
                      <w:rFonts w:hint="default" w:ascii="Times New Roman" w:hAnsi="Times New Roman" w:eastAsia="宋体" w:cs="Times New Roman"/>
                      <w:color w:val="000000"/>
                      <w:kern w:val="21"/>
                      <w:sz w:val="21"/>
                      <w:szCs w:val="21"/>
                      <w:highlight w:val="none"/>
                    </w:rPr>
                    <w:t>km，污染物均可达标排放，且不属于石油化工和煤化工等重化工、重污染项目</w:t>
                  </w:r>
                </w:p>
              </w:tc>
              <w:tc>
                <w:tcPr>
                  <w:tcW w:w="334" w:type="pct"/>
                  <w:gridSpan w:val="2"/>
                  <w:noWrap w:val="0"/>
                  <w:vAlign w:val="center"/>
                </w:tcPr>
                <w:p w14:paraId="32DEB162">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3255B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427" w:type="pct"/>
                  <w:gridSpan w:val="2"/>
                  <w:vMerge w:val="continue"/>
                  <w:noWrap w:val="0"/>
                  <w:vAlign w:val="center"/>
                </w:tcPr>
                <w:p w14:paraId="33C62B08">
                  <w:pPr>
                    <w:jc w:val="center"/>
                    <w:rPr>
                      <w:rFonts w:hint="default" w:ascii="Times New Roman" w:hAnsi="Times New Roman" w:eastAsia="宋体" w:cs="Times New Roman"/>
                      <w:color w:val="000000"/>
                      <w:spacing w:val="-4"/>
                      <w:sz w:val="21"/>
                      <w:szCs w:val="21"/>
                    </w:rPr>
                  </w:pPr>
                </w:p>
              </w:tc>
              <w:tc>
                <w:tcPr>
                  <w:tcW w:w="249" w:type="pct"/>
                  <w:vMerge w:val="continue"/>
                  <w:noWrap w:val="0"/>
                  <w:vAlign w:val="center"/>
                </w:tcPr>
                <w:p w14:paraId="6869CA3F">
                  <w:pPr>
                    <w:jc w:val="center"/>
                    <w:rPr>
                      <w:rFonts w:hint="default" w:ascii="Times New Roman" w:hAnsi="Times New Roman" w:eastAsia="宋体" w:cs="Times New Roman"/>
                      <w:color w:val="000000"/>
                      <w:spacing w:val="-4"/>
                      <w:sz w:val="21"/>
                      <w:szCs w:val="21"/>
                    </w:rPr>
                  </w:pPr>
                </w:p>
              </w:tc>
              <w:tc>
                <w:tcPr>
                  <w:tcW w:w="261" w:type="pct"/>
                  <w:gridSpan w:val="2"/>
                  <w:vMerge w:val="continue"/>
                  <w:noWrap w:val="0"/>
                  <w:vAlign w:val="center"/>
                </w:tcPr>
                <w:p w14:paraId="130646B4">
                  <w:pPr>
                    <w:jc w:val="center"/>
                    <w:rPr>
                      <w:rFonts w:hint="default" w:ascii="Times New Roman" w:hAnsi="Times New Roman" w:eastAsia="宋体" w:cs="Times New Roman"/>
                      <w:color w:val="000000"/>
                      <w:spacing w:val="-4"/>
                      <w:sz w:val="21"/>
                      <w:szCs w:val="21"/>
                      <w:lang w:val="en-US" w:eastAsia="zh-CN"/>
                    </w:rPr>
                  </w:pPr>
                </w:p>
              </w:tc>
              <w:tc>
                <w:tcPr>
                  <w:tcW w:w="296" w:type="pct"/>
                  <w:gridSpan w:val="2"/>
                  <w:vMerge w:val="continue"/>
                  <w:noWrap w:val="0"/>
                  <w:vAlign w:val="center"/>
                </w:tcPr>
                <w:p w14:paraId="76CBE20E">
                  <w:pPr>
                    <w:autoSpaceDE w:val="0"/>
                    <w:autoSpaceDN w:val="0"/>
                    <w:adjustRightInd w:val="0"/>
                    <w:jc w:val="center"/>
                    <w:textAlignment w:val="baseline"/>
                    <w:rPr>
                      <w:rFonts w:hint="default" w:ascii="Times New Roman" w:hAnsi="Times New Roman" w:cs="Times New Roman"/>
                      <w:kern w:val="2"/>
                      <w:sz w:val="21"/>
                      <w:szCs w:val="21"/>
                      <w:lang w:val="en-US" w:eastAsia="zh-CN" w:bidi="ar-SA"/>
                    </w:rPr>
                  </w:pPr>
                </w:p>
              </w:tc>
              <w:tc>
                <w:tcPr>
                  <w:tcW w:w="309" w:type="pct"/>
                  <w:gridSpan w:val="2"/>
                  <w:noWrap w:val="0"/>
                  <w:vAlign w:val="center"/>
                </w:tcPr>
                <w:p w14:paraId="7F936813">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28</w:t>
                  </w:r>
                </w:p>
              </w:tc>
              <w:tc>
                <w:tcPr>
                  <w:tcW w:w="1923" w:type="pct"/>
                  <w:gridSpan w:val="2"/>
                  <w:noWrap w:val="0"/>
                  <w:vAlign w:val="center"/>
                </w:tcPr>
                <w:p w14:paraId="0A727290">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严管15公里范围内新建项目。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的项目。在岸线开发、河段利用、区域活动和产业发展等方面，全面执行国家长江经济带市场准入禁止限制目录。实施备案、环评、安评、能评等并联审批，未落实生态环保、安全生产、能源节约要求的，一律不得开工建设</w:t>
                  </w:r>
                </w:p>
              </w:tc>
              <w:tc>
                <w:tcPr>
                  <w:tcW w:w="1198" w:type="pct"/>
                  <w:gridSpan w:val="2"/>
                  <w:noWrap w:val="0"/>
                  <w:vAlign w:val="center"/>
                </w:tcPr>
                <w:p w14:paraId="773870CA">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21"/>
                      <w:sz w:val="21"/>
                      <w:szCs w:val="21"/>
                      <w:highlight w:val="none"/>
                    </w:rPr>
                    <w:t>本项目为新建性质，与长江干流岸线距离</w:t>
                  </w:r>
                  <w:r>
                    <w:rPr>
                      <w:rFonts w:hint="default" w:ascii="Times New Roman" w:hAnsi="Times New Roman" w:eastAsia="宋体" w:cs="Times New Roman"/>
                      <w:color w:val="000000"/>
                      <w:kern w:val="21"/>
                      <w:sz w:val="21"/>
                      <w:szCs w:val="21"/>
                      <w:highlight w:val="none"/>
                      <w:lang w:val="en-US" w:eastAsia="zh-CN"/>
                    </w:rPr>
                    <w:t>2.9</w:t>
                  </w:r>
                  <w:r>
                    <w:rPr>
                      <w:rFonts w:hint="default" w:ascii="Times New Roman" w:hAnsi="Times New Roman" w:eastAsia="宋体" w:cs="Times New Roman"/>
                      <w:color w:val="000000"/>
                      <w:kern w:val="21"/>
                      <w:sz w:val="21"/>
                      <w:szCs w:val="21"/>
                      <w:highlight w:val="none"/>
                    </w:rPr>
                    <w:t>km，</w:t>
                  </w:r>
                  <w:r>
                    <w:rPr>
                      <w:rFonts w:hint="default" w:ascii="Times New Roman" w:hAnsi="Times New Roman" w:eastAsia="宋体" w:cs="Times New Roman"/>
                      <w:color w:val="000000"/>
                      <w:kern w:val="0"/>
                      <w:sz w:val="21"/>
                      <w:szCs w:val="21"/>
                      <w:lang w:val="en-US" w:eastAsia="zh-CN" w:bidi="ar"/>
                    </w:rPr>
                    <w:t>污染物均可达标排放，不在长江经济带市场准入禁止限制目录</w:t>
                  </w:r>
                </w:p>
                <w:p w14:paraId="221B9833">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p>
              </w:tc>
              <w:tc>
                <w:tcPr>
                  <w:tcW w:w="334" w:type="pct"/>
                  <w:gridSpan w:val="2"/>
                  <w:noWrap w:val="0"/>
                  <w:vAlign w:val="center"/>
                </w:tcPr>
                <w:p w14:paraId="1F0E7BF8">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39F83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427" w:type="pct"/>
                  <w:gridSpan w:val="2"/>
                  <w:vMerge w:val="continue"/>
                  <w:noWrap w:val="0"/>
                  <w:vAlign w:val="center"/>
                </w:tcPr>
                <w:p w14:paraId="0E3D4888">
                  <w:pPr>
                    <w:jc w:val="center"/>
                    <w:rPr>
                      <w:rFonts w:hint="default" w:ascii="Times New Roman" w:hAnsi="Times New Roman" w:eastAsia="宋体" w:cs="Times New Roman"/>
                      <w:color w:val="000000"/>
                      <w:spacing w:val="-4"/>
                      <w:sz w:val="21"/>
                      <w:szCs w:val="21"/>
                    </w:rPr>
                  </w:pPr>
                </w:p>
              </w:tc>
              <w:tc>
                <w:tcPr>
                  <w:tcW w:w="249" w:type="pct"/>
                  <w:vMerge w:val="restart"/>
                  <w:noWrap w:val="0"/>
                  <w:vAlign w:val="center"/>
                </w:tcPr>
                <w:p w14:paraId="13714DE7">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污染物排放管控</w:t>
                  </w:r>
                </w:p>
              </w:tc>
              <w:tc>
                <w:tcPr>
                  <w:tcW w:w="261" w:type="pct"/>
                  <w:gridSpan w:val="2"/>
                  <w:vMerge w:val="restart"/>
                  <w:noWrap w:val="0"/>
                  <w:vAlign w:val="center"/>
                </w:tcPr>
                <w:p w14:paraId="61D1444E">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其他污染物排放管控要求</w:t>
                  </w:r>
                </w:p>
              </w:tc>
              <w:tc>
                <w:tcPr>
                  <w:tcW w:w="296" w:type="pct"/>
                  <w:gridSpan w:val="2"/>
                  <w:vMerge w:val="restart"/>
                  <w:noWrap w:val="0"/>
                  <w:vAlign w:val="center"/>
                </w:tcPr>
                <w:p w14:paraId="1DB1F2C5">
                  <w:pPr>
                    <w:autoSpaceDE w:val="0"/>
                    <w:autoSpaceDN w:val="0"/>
                    <w:adjustRightInd w:val="0"/>
                    <w:jc w:val="center"/>
                    <w:textAlignment w:val="baseline"/>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芜湖-重点-排污-提升</w:t>
                  </w:r>
                </w:p>
              </w:tc>
              <w:tc>
                <w:tcPr>
                  <w:tcW w:w="309" w:type="pct"/>
                  <w:gridSpan w:val="2"/>
                  <w:noWrap w:val="0"/>
                  <w:vAlign w:val="center"/>
                </w:tcPr>
                <w:p w14:paraId="0D8D9129">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49</w:t>
                  </w:r>
                </w:p>
              </w:tc>
              <w:tc>
                <w:tcPr>
                  <w:tcW w:w="1923" w:type="pct"/>
                  <w:gridSpan w:val="2"/>
                  <w:noWrap w:val="0"/>
                  <w:vAlign w:val="center"/>
                </w:tcPr>
                <w:p w14:paraId="04CAC9C7">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重点行业企业 VOCs 综合治理。从控、末端治理等方面，对各重点行业企业开展VOCs综合治理，提升废气收集率及末端治理效率</w:t>
                  </w:r>
                </w:p>
              </w:tc>
              <w:tc>
                <w:tcPr>
                  <w:tcW w:w="1198" w:type="pct"/>
                  <w:gridSpan w:val="2"/>
                  <w:noWrap w:val="0"/>
                  <w:vAlign w:val="center"/>
                </w:tcPr>
                <w:p w14:paraId="02CCBBE6">
                  <w:pPr>
                    <w:keepNext w:val="0"/>
                    <w:keepLines w:val="0"/>
                    <w:widowControl/>
                    <w:suppressLineNumbers w:val="0"/>
                    <w:jc w:val="center"/>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0"/>
                      <w:sz w:val="21"/>
                      <w:szCs w:val="21"/>
                      <w:lang w:val="en-US" w:eastAsia="zh-CN" w:bidi="ar"/>
                    </w:rPr>
                    <w:t>本项目废气收集率及末端治理效率不低于 90%</w:t>
                  </w:r>
                </w:p>
              </w:tc>
              <w:tc>
                <w:tcPr>
                  <w:tcW w:w="334" w:type="pct"/>
                  <w:gridSpan w:val="2"/>
                  <w:noWrap w:val="0"/>
                  <w:vAlign w:val="center"/>
                </w:tcPr>
                <w:p w14:paraId="10AA919E">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47FC7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6" w:hRule="atLeast"/>
              </w:trPr>
              <w:tc>
                <w:tcPr>
                  <w:tcW w:w="427" w:type="pct"/>
                  <w:gridSpan w:val="2"/>
                  <w:vMerge w:val="continue"/>
                  <w:noWrap w:val="0"/>
                  <w:vAlign w:val="center"/>
                </w:tcPr>
                <w:p w14:paraId="551559AA">
                  <w:pPr>
                    <w:jc w:val="center"/>
                    <w:rPr>
                      <w:rFonts w:hint="default" w:ascii="Times New Roman" w:hAnsi="Times New Roman" w:eastAsia="宋体" w:cs="Times New Roman"/>
                      <w:color w:val="000000"/>
                      <w:spacing w:val="-4"/>
                      <w:sz w:val="21"/>
                      <w:szCs w:val="21"/>
                    </w:rPr>
                  </w:pPr>
                </w:p>
              </w:tc>
              <w:tc>
                <w:tcPr>
                  <w:tcW w:w="249" w:type="pct"/>
                  <w:vMerge w:val="continue"/>
                  <w:noWrap w:val="0"/>
                  <w:vAlign w:val="center"/>
                </w:tcPr>
                <w:p w14:paraId="14B9D068">
                  <w:pPr>
                    <w:jc w:val="center"/>
                    <w:rPr>
                      <w:rFonts w:hint="default" w:ascii="Times New Roman" w:hAnsi="Times New Roman" w:eastAsia="宋体" w:cs="Times New Roman"/>
                      <w:color w:val="000000"/>
                      <w:spacing w:val="-4"/>
                      <w:sz w:val="21"/>
                      <w:szCs w:val="21"/>
                      <w:lang w:val="en-US" w:eastAsia="zh-CN"/>
                    </w:rPr>
                  </w:pPr>
                </w:p>
              </w:tc>
              <w:tc>
                <w:tcPr>
                  <w:tcW w:w="261" w:type="pct"/>
                  <w:gridSpan w:val="2"/>
                  <w:vMerge w:val="continue"/>
                  <w:noWrap w:val="0"/>
                  <w:vAlign w:val="center"/>
                </w:tcPr>
                <w:p w14:paraId="41F2DE9A">
                  <w:pPr>
                    <w:jc w:val="center"/>
                    <w:rPr>
                      <w:rFonts w:hint="default" w:ascii="Times New Roman" w:hAnsi="Times New Roman" w:eastAsia="宋体" w:cs="Times New Roman"/>
                      <w:color w:val="000000"/>
                      <w:spacing w:val="-4"/>
                      <w:sz w:val="21"/>
                      <w:szCs w:val="21"/>
                      <w:lang w:val="en-US" w:eastAsia="zh-CN"/>
                    </w:rPr>
                  </w:pPr>
                </w:p>
              </w:tc>
              <w:tc>
                <w:tcPr>
                  <w:tcW w:w="296" w:type="pct"/>
                  <w:gridSpan w:val="2"/>
                  <w:vMerge w:val="continue"/>
                  <w:noWrap w:val="0"/>
                  <w:vAlign w:val="center"/>
                </w:tcPr>
                <w:p w14:paraId="26735E72">
                  <w:pPr>
                    <w:autoSpaceDE w:val="0"/>
                    <w:autoSpaceDN w:val="0"/>
                    <w:adjustRightInd w:val="0"/>
                    <w:jc w:val="center"/>
                    <w:textAlignment w:val="baseline"/>
                    <w:rPr>
                      <w:rFonts w:hint="default" w:ascii="Times New Roman" w:hAnsi="Times New Roman" w:cs="Times New Roman"/>
                      <w:kern w:val="2"/>
                      <w:sz w:val="21"/>
                      <w:szCs w:val="21"/>
                      <w:lang w:val="en-US" w:eastAsia="zh-CN" w:bidi="ar-SA"/>
                    </w:rPr>
                  </w:pPr>
                </w:p>
              </w:tc>
              <w:tc>
                <w:tcPr>
                  <w:tcW w:w="309" w:type="pct"/>
                  <w:gridSpan w:val="2"/>
                  <w:noWrap w:val="0"/>
                  <w:vAlign w:val="center"/>
                </w:tcPr>
                <w:p w14:paraId="64E30B4E">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50</w:t>
                  </w:r>
                </w:p>
              </w:tc>
              <w:tc>
                <w:tcPr>
                  <w:tcW w:w="1923" w:type="pct"/>
                  <w:gridSpan w:val="2"/>
                  <w:noWrap w:val="0"/>
                  <w:vAlign w:val="center"/>
                </w:tcPr>
                <w:p w14:paraId="70319961">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持续推进以煤为燃料的工业炉窑清洁燃料替代改造，提高以电代煤、以气代煤比例。推进实施重点行业低VOC含量原辅材料源头替代。实施工业锅炉和炉窑提标改造和清洁能源替代，推动玻璃等行业深度治理</w:t>
                  </w:r>
                </w:p>
              </w:tc>
              <w:tc>
                <w:tcPr>
                  <w:tcW w:w="1198" w:type="pct"/>
                  <w:gridSpan w:val="2"/>
                  <w:noWrap w:val="0"/>
                  <w:vAlign w:val="center"/>
                </w:tcPr>
                <w:p w14:paraId="6D424E35">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本项目使用电能，为清洁能源</w:t>
                  </w:r>
                </w:p>
                <w:p w14:paraId="26756A41">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p>
              </w:tc>
              <w:tc>
                <w:tcPr>
                  <w:tcW w:w="334" w:type="pct"/>
                  <w:gridSpan w:val="2"/>
                  <w:noWrap w:val="0"/>
                  <w:vAlign w:val="center"/>
                </w:tcPr>
                <w:p w14:paraId="2A88BA85">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bl>
          <w:p w14:paraId="6BC8F8AB">
            <w:pPr>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②开发区与生态环境准入清单相符性</w:t>
            </w:r>
          </w:p>
          <w:p w14:paraId="35C611B0">
            <w:pPr>
              <w:spacing w:line="360" w:lineRule="auto"/>
              <w:ind w:firstLine="480" w:firstLineChars="200"/>
              <w:rPr>
                <w:rFonts w:hint="default" w:ascii="Times New Roman" w:hAnsi="Times New Roman" w:cs="Times New Roman"/>
                <w:color w:val="000000"/>
                <w:sz w:val="24"/>
              </w:rPr>
            </w:pPr>
            <w:r>
              <w:rPr>
                <w:rFonts w:hint="default" w:ascii="Times New Roman" w:hAnsi="Times New Roman" w:eastAsia="宋体" w:cs="Times New Roman"/>
                <w:color w:val="000000"/>
                <w:kern w:val="0"/>
                <w:sz w:val="24"/>
              </w:rPr>
              <w:t>根据《芜湖市生态环境分区管控生态环境准入清单》（芜湖市生态环境局，2023年8月）中表4开发区生态环境准入清单中开发区—芜湖经济技术开发区单元，</w:t>
            </w:r>
            <w:r>
              <w:rPr>
                <w:rFonts w:hint="default" w:ascii="Times New Roman" w:hAnsi="Times New Roman" w:cs="Times New Roman"/>
                <w:color w:val="000000"/>
                <w:sz w:val="24"/>
              </w:rPr>
              <w:t>对照安徽省生态环境厅发布的安徽省</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三线一单</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公众服务平台，经与</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三线一单</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成果数据分析，</w:t>
            </w:r>
            <w:r>
              <w:rPr>
                <w:rFonts w:hint="default" w:ascii="Times New Roman" w:hAnsi="Times New Roman" w:cs="Times New Roman"/>
                <w:color w:val="000000"/>
                <w:sz w:val="24"/>
                <w:lang w:val="en-US" w:eastAsia="zh-CN"/>
              </w:rPr>
              <w:t>本</w:t>
            </w:r>
            <w:r>
              <w:rPr>
                <w:rFonts w:hint="default" w:ascii="Times New Roman" w:hAnsi="Times New Roman" w:cs="Times New Roman"/>
                <w:color w:val="000000"/>
                <w:sz w:val="24"/>
              </w:rPr>
              <w:t>项目与1个环境管控单元存在交叠，其中优先保护类0个，重点管控类1个，一般管控类0个，环境管控单元编码为ZH34020720019。</w:t>
            </w:r>
          </w:p>
          <w:p w14:paraId="297A3B60">
            <w:pPr>
              <w:spacing w:line="360" w:lineRule="auto"/>
              <w:jc w:val="both"/>
              <w:rPr>
                <w:rFonts w:hint="default" w:ascii="Times New Roman" w:hAnsi="Times New Roman" w:cs="Times New Roman"/>
                <w:color w:val="000000"/>
                <w:sz w:val="24"/>
              </w:rPr>
            </w:pPr>
            <w:r>
              <w:rPr>
                <w:rFonts w:hint="default" w:ascii="Times New Roman" w:hAnsi="Times New Roman" w:cs="Times New Roman"/>
              </w:rPr>
              <w:drawing>
                <wp:inline distT="0" distB="0" distL="114300" distR="114300">
                  <wp:extent cx="4188460" cy="1997075"/>
                  <wp:effectExtent l="0" t="0" r="2540" b="317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0"/>
                          <a:stretch>
                            <a:fillRect/>
                          </a:stretch>
                        </pic:blipFill>
                        <pic:spPr>
                          <a:xfrm>
                            <a:off x="0" y="0"/>
                            <a:ext cx="4188460" cy="1997075"/>
                          </a:xfrm>
                          <a:prstGeom prst="rect">
                            <a:avLst/>
                          </a:prstGeom>
                          <a:noFill/>
                          <a:ln>
                            <a:noFill/>
                          </a:ln>
                        </pic:spPr>
                      </pic:pic>
                    </a:graphicData>
                  </a:graphic>
                </wp:inline>
              </w:drawing>
            </w:r>
          </w:p>
          <w:p w14:paraId="676AEA9D">
            <w:pPr>
              <w:spacing w:line="360" w:lineRule="auto"/>
              <w:jc w:val="center"/>
              <w:rPr>
                <w:rFonts w:hint="default" w:ascii="Times New Roman" w:hAnsi="Times New Roman" w:cs="Times New Roman"/>
                <w:color w:val="000000"/>
                <w:sz w:val="24"/>
              </w:rPr>
            </w:pPr>
            <w:r>
              <w:rPr>
                <w:rFonts w:hint="default" w:ascii="Times New Roman" w:hAnsi="Times New Roman" w:cs="Times New Roman"/>
                <w:b/>
                <w:bCs/>
                <w:color w:val="000000"/>
                <w:sz w:val="24"/>
              </w:rPr>
              <w:t>图1-1  与安徽省"三线一单"公众服务平台套图</w:t>
            </w:r>
          </w:p>
          <w:p w14:paraId="0C18E1A6">
            <w:pPr>
              <w:spacing w:line="360" w:lineRule="auto"/>
              <w:ind w:firstLine="480" w:firstLineChars="200"/>
              <w:rPr>
                <w:rFonts w:hint="default" w:ascii="Times New Roman" w:hAnsi="Times New Roman" w:eastAsia="宋体" w:cs="Times New Roman"/>
                <w:b/>
                <w:color w:val="000000"/>
                <w:kern w:val="0"/>
                <w:sz w:val="24"/>
              </w:rPr>
            </w:pPr>
            <w:r>
              <w:rPr>
                <w:rFonts w:hint="default" w:ascii="Times New Roman" w:hAnsi="Times New Roman" w:eastAsia="宋体" w:cs="Times New Roman"/>
                <w:color w:val="000000"/>
                <w:kern w:val="0"/>
                <w:sz w:val="24"/>
              </w:rPr>
              <w:t>本项目与其相符性分析详见下表。</w:t>
            </w:r>
          </w:p>
          <w:p w14:paraId="336851D4">
            <w:pPr>
              <w:autoSpaceDE w:val="0"/>
              <w:autoSpaceDN w:val="0"/>
              <w:adjustRightInd w:val="0"/>
              <w:snapToGrid w:val="0"/>
              <w:jc w:val="center"/>
              <w:rPr>
                <w:rFonts w:hint="default" w:ascii="Times New Roman" w:hAnsi="Times New Roman" w:eastAsia="宋体" w:cs="Times New Roman"/>
                <w:b/>
                <w:color w:val="000000"/>
                <w:kern w:val="0"/>
                <w:sz w:val="24"/>
                <w:lang w:val="en-US" w:eastAsia="zh-CN"/>
              </w:rPr>
            </w:pPr>
            <w:r>
              <w:rPr>
                <w:rFonts w:hint="default" w:ascii="Times New Roman" w:hAnsi="Times New Roman" w:eastAsia="宋体" w:cs="Times New Roman"/>
                <w:b/>
                <w:color w:val="000000"/>
                <w:kern w:val="0"/>
                <w:sz w:val="24"/>
              </w:rPr>
              <w:t>表1-</w:t>
            </w:r>
            <w:r>
              <w:rPr>
                <w:rFonts w:hint="eastAsia" w:cs="Times New Roman"/>
                <w:b/>
                <w:color w:val="000000"/>
                <w:kern w:val="0"/>
                <w:sz w:val="24"/>
                <w:lang w:val="en-US" w:eastAsia="zh-CN"/>
              </w:rPr>
              <w:t>6</w:t>
            </w:r>
            <w:r>
              <w:rPr>
                <w:rFonts w:hint="default" w:ascii="Times New Roman" w:hAnsi="Times New Roman" w:eastAsia="宋体" w:cs="Times New Roman"/>
                <w:b/>
                <w:color w:val="000000"/>
                <w:kern w:val="0"/>
                <w:sz w:val="24"/>
              </w:rPr>
              <w:t xml:space="preserve">  </w:t>
            </w:r>
            <w:r>
              <w:rPr>
                <w:rFonts w:hint="default" w:ascii="Times New Roman" w:hAnsi="Times New Roman" w:eastAsia="宋体" w:cs="Times New Roman"/>
                <w:b/>
                <w:color w:val="000000"/>
                <w:kern w:val="0"/>
                <w:sz w:val="24"/>
                <w:lang w:val="en-US" w:eastAsia="zh-CN"/>
              </w:rPr>
              <w:t>与本项目与《芜湖市生态环境分区管控生态环境准入清单》相符性分析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52"/>
              <w:gridCol w:w="611"/>
              <w:gridCol w:w="3609"/>
              <w:gridCol w:w="1804"/>
              <w:gridCol w:w="564"/>
            </w:tblGrid>
            <w:tr w14:paraId="45917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3" w:type="pct"/>
                  <w:tcBorders>
                    <w:tl2br w:val="nil"/>
                    <w:tr2bl w:val="nil"/>
                  </w:tcBorders>
                  <w:shd w:val="clear" w:color="auto" w:fill="auto"/>
                  <w:vAlign w:val="center"/>
                </w:tcPr>
                <w:p w14:paraId="1F52FB25">
                  <w:pPr>
                    <w:adjustRightInd w:val="0"/>
                    <w:jc w:val="center"/>
                    <w:textAlignment w:val="baseline"/>
                    <w:rPr>
                      <w:rFonts w:hint="default" w:ascii="Times New Roman" w:hAnsi="Times New Roman" w:cs="Times New Roman"/>
                      <w:b/>
                      <w:kern w:val="21"/>
                      <w:szCs w:val="21"/>
                    </w:rPr>
                  </w:pPr>
                  <w:r>
                    <w:rPr>
                      <w:rFonts w:hint="default" w:ascii="Times New Roman" w:hAnsi="Times New Roman" w:cs="Times New Roman"/>
                      <w:b/>
                      <w:kern w:val="21"/>
                      <w:szCs w:val="21"/>
                    </w:rPr>
                    <w:t>编号</w:t>
                  </w:r>
                </w:p>
              </w:tc>
              <w:tc>
                <w:tcPr>
                  <w:tcW w:w="440" w:type="pct"/>
                  <w:tcBorders>
                    <w:tl2br w:val="nil"/>
                    <w:tr2bl w:val="nil"/>
                  </w:tcBorders>
                  <w:shd w:val="clear" w:color="auto" w:fill="auto"/>
                  <w:vAlign w:val="center"/>
                </w:tcPr>
                <w:p w14:paraId="37091282">
                  <w:pPr>
                    <w:autoSpaceDE w:val="0"/>
                    <w:autoSpaceDN w:val="0"/>
                    <w:adjustRightInd w:val="0"/>
                    <w:jc w:val="center"/>
                    <w:textAlignment w:val="baseline"/>
                    <w:rPr>
                      <w:rFonts w:hint="default" w:ascii="Times New Roman" w:hAnsi="Times New Roman" w:cs="Times New Roman"/>
                      <w:b/>
                      <w:kern w:val="21"/>
                      <w:szCs w:val="21"/>
                    </w:rPr>
                  </w:pPr>
                  <w:r>
                    <w:rPr>
                      <w:rFonts w:hint="default" w:ascii="Times New Roman" w:hAnsi="Times New Roman" w:cs="Times New Roman"/>
                      <w:b/>
                      <w:kern w:val="21"/>
                      <w:szCs w:val="21"/>
                    </w:rPr>
                    <w:t>内容</w:t>
                  </w:r>
                </w:p>
              </w:tc>
              <w:tc>
                <w:tcPr>
                  <w:tcW w:w="2600" w:type="pct"/>
                  <w:tcBorders>
                    <w:tl2br w:val="nil"/>
                    <w:tr2bl w:val="nil"/>
                  </w:tcBorders>
                  <w:shd w:val="clear" w:color="auto" w:fill="auto"/>
                  <w:vAlign w:val="center"/>
                </w:tcPr>
                <w:p w14:paraId="0A7CD73A">
                  <w:pPr>
                    <w:autoSpaceDE w:val="0"/>
                    <w:autoSpaceDN w:val="0"/>
                    <w:adjustRightInd w:val="0"/>
                    <w:jc w:val="center"/>
                    <w:textAlignment w:val="baseline"/>
                    <w:rPr>
                      <w:rFonts w:hint="default" w:ascii="Times New Roman" w:hAnsi="Times New Roman" w:cs="Times New Roman"/>
                      <w:b/>
                      <w:kern w:val="21"/>
                      <w:szCs w:val="21"/>
                    </w:rPr>
                  </w:pPr>
                  <w:r>
                    <w:rPr>
                      <w:rFonts w:hint="default" w:ascii="Times New Roman" w:hAnsi="Times New Roman" w:cs="Times New Roman"/>
                      <w:b/>
                      <w:szCs w:val="21"/>
                    </w:rPr>
                    <w:t>要求</w:t>
                  </w:r>
                </w:p>
              </w:tc>
              <w:tc>
                <w:tcPr>
                  <w:tcW w:w="1299" w:type="pct"/>
                  <w:tcBorders>
                    <w:tl2br w:val="nil"/>
                    <w:tr2bl w:val="nil"/>
                  </w:tcBorders>
                  <w:shd w:val="clear" w:color="auto" w:fill="auto"/>
                  <w:vAlign w:val="center"/>
                </w:tcPr>
                <w:p w14:paraId="7067705B">
                  <w:pPr>
                    <w:autoSpaceDE w:val="0"/>
                    <w:autoSpaceDN w:val="0"/>
                    <w:adjustRightInd w:val="0"/>
                    <w:jc w:val="center"/>
                    <w:textAlignment w:val="baseline"/>
                    <w:rPr>
                      <w:rFonts w:hint="default" w:ascii="Times New Roman" w:hAnsi="Times New Roman" w:cs="Times New Roman"/>
                      <w:b/>
                      <w:kern w:val="21"/>
                      <w:szCs w:val="21"/>
                    </w:rPr>
                  </w:pPr>
                  <w:r>
                    <w:rPr>
                      <w:rFonts w:hint="default" w:ascii="Times New Roman" w:hAnsi="Times New Roman" w:cs="Times New Roman"/>
                      <w:b/>
                      <w:kern w:val="21"/>
                      <w:szCs w:val="21"/>
                    </w:rPr>
                    <w:t>本项目情况</w:t>
                  </w:r>
                </w:p>
              </w:tc>
              <w:tc>
                <w:tcPr>
                  <w:tcW w:w="406" w:type="pct"/>
                  <w:tcBorders>
                    <w:tl2br w:val="nil"/>
                    <w:tr2bl w:val="nil"/>
                  </w:tcBorders>
                  <w:shd w:val="clear" w:color="auto" w:fill="auto"/>
                  <w:vAlign w:val="center"/>
                </w:tcPr>
                <w:p w14:paraId="5997002E">
                  <w:pPr>
                    <w:autoSpaceDE w:val="0"/>
                    <w:autoSpaceDN w:val="0"/>
                    <w:adjustRightInd w:val="0"/>
                    <w:jc w:val="center"/>
                    <w:textAlignment w:val="baseline"/>
                    <w:rPr>
                      <w:rFonts w:hint="default" w:ascii="Times New Roman" w:hAnsi="Times New Roman" w:cs="Times New Roman"/>
                      <w:b/>
                      <w:kern w:val="21"/>
                      <w:szCs w:val="21"/>
                    </w:rPr>
                  </w:pPr>
                  <w:r>
                    <w:rPr>
                      <w:rFonts w:hint="default" w:ascii="Times New Roman" w:hAnsi="Times New Roman" w:cs="Times New Roman"/>
                      <w:b/>
                      <w:kern w:val="21"/>
                      <w:szCs w:val="21"/>
                    </w:rPr>
                    <w:t>分析结果</w:t>
                  </w:r>
                </w:p>
              </w:tc>
            </w:tr>
            <w:tr w14:paraId="63471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3" w:type="pct"/>
                  <w:tcBorders>
                    <w:tl2br w:val="nil"/>
                    <w:tr2bl w:val="nil"/>
                  </w:tcBorders>
                  <w:vAlign w:val="center"/>
                </w:tcPr>
                <w:p w14:paraId="2683B8F1">
                  <w:pPr>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kern w:val="21"/>
                      <w:szCs w:val="21"/>
                    </w:rPr>
                    <w:t>1</w:t>
                  </w:r>
                </w:p>
              </w:tc>
              <w:tc>
                <w:tcPr>
                  <w:tcW w:w="440" w:type="pct"/>
                  <w:tcBorders>
                    <w:tl2br w:val="nil"/>
                    <w:tr2bl w:val="nil"/>
                  </w:tcBorders>
                  <w:vAlign w:val="center"/>
                </w:tcPr>
                <w:p w14:paraId="3D07592A">
                  <w:pPr>
                    <w:autoSpaceDE w:val="0"/>
                    <w:autoSpaceDN w:val="0"/>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szCs w:val="21"/>
                    </w:rPr>
                    <w:t>环境风险防控</w:t>
                  </w:r>
                </w:p>
              </w:tc>
              <w:tc>
                <w:tcPr>
                  <w:tcW w:w="2600" w:type="pct"/>
                  <w:tcBorders>
                    <w:tl2br w:val="nil"/>
                    <w:tr2bl w:val="nil"/>
                  </w:tcBorders>
                  <w:vAlign w:val="center"/>
                </w:tcPr>
                <w:p w14:paraId="402BB07C">
                  <w:pPr>
                    <w:widowControl/>
                    <w:jc w:val="left"/>
                    <w:rPr>
                      <w:rFonts w:hint="default" w:ascii="Times New Roman" w:hAnsi="Times New Roman" w:cs="Times New Roman"/>
                    </w:rPr>
                  </w:pPr>
                  <w:r>
                    <w:rPr>
                      <w:rFonts w:hint="default" w:ascii="Times New Roman" w:hAnsi="Times New Roman" w:eastAsia="CIDFont" w:cs="Times New Roman"/>
                      <w:kern w:val="0"/>
                      <w:szCs w:val="21"/>
                      <w:lang w:bidi="ar"/>
                    </w:rPr>
                    <w:t>1</w:t>
                  </w:r>
                  <w:r>
                    <w:rPr>
                      <w:rFonts w:hint="default" w:ascii="Times New Roman" w:hAnsi="Times New Roman" w:cs="Times New Roman"/>
                      <w:kern w:val="0"/>
                      <w:szCs w:val="21"/>
                      <w:lang w:bidi="ar"/>
                    </w:rPr>
                    <w:t>、在城市建成区及居民区、学校等环境敏感区域，严禁现场露天灰土拌合，在建设工程现场禁止现场搅拌砂浆，在其它施工段进行灰土拌合，应采取有效措施防治扬尘污染。</w:t>
                  </w:r>
                </w:p>
                <w:p w14:paraId="4872E689">
                  <w:pPr>
                    <w:widowControl/>
                    <w:jc w:val="left"/>
                    <w:rPr>
                      <w:rFonts w:hint="default" w:ascii="Times New Roman" w:hAnsi="Times New Roman" w:cs="Times New Roman"/>
                      <w:kern w:val="21"/>
                      <w:szCs w:val="21"/>
                    </w:rPr>
                  </w:pPr>
                  <w:r>
                    <w:rPr>
                      <w:rFonts w:hint="default" w:ascii="Times New Roman" w:hAnsi="Times New Roman" w:eastAsia="CIDFont" w:cs="Times New Roman"/>
                      <w:kern w:val="0"/>
                      <w:szCs w:val="21"/>
                      <w:lang w:bidi="ar"/>
                    </w:rPr>
                    <w:t>2</w:t>
                  </w:r>
                  <w:r>
                    <w:rPr>
                      <w:rFonts w:hint="default" w:ascii="Times New Roman" w:hAnsi="Times New Roman" w:cs="Times New Roman"/>
                      <w:kern w:val="0"/>
                      <w:szCs w:val="21"/>
                      <w:lang w:bidi="ar"/>
                    </w:rPr>
                    <w:t>、排气口高度超过</w:t>
                  </w:r>
                  <w:r>
                    <w:rPr>
                      <w:rFonts w:hint="default" w:ascii="Times New Roman" w:hAnsi="Times New Roman" w:eastAsia="CIDFont" w:cs="Times New Roman"/>
                      <w:kern w:val="0"/>
                      <w:szCs w:val="21"/>
                      <w:lang w:bidi="ar"/>
                    </w:rPr>
                    <w:t>45</w:t>
                  </w:r>
                  <w:r>
                    <w:rPr>
                      <w:rFonts w:hint="default" w:ascii="Times New Roman" w:hAnsi="Times New Roman" w:cs="Times New Roman"/>
                      <w:kern w:val="0"/>
                      <w:szCs w:val="21"/>
                      <w:lang w:bidi="ar"/>
                    </w:rPr>
                    <w:t>米的高架源，化工、包装印刷、工业涂装等</w:t>
                  </w:r>
                  <w:r>
                    <w:rPr>
                      <w:rFonts w:hint="default" w:ascii="Times New Roman" w:hAnsi="Times New Roman" w:eastAsia="CIDFont" w:cs="Times New Roman"/>
                      <w:kern w:val="0"/>
                      <w:szCs w:val="21"/>
                      <w:lang w:bidi="ar"/>
                    </w:rPr>
                    <w:t>VOCs</w:t>
                  </w:r>
                  <w:r>
                    <w:rPr>
                      <w:rFonts w:hint="default" w:ascii="Times New Roman" w:hAnsi="Times New Roman" w:cs="Times New Roman"/>
                      <w:kern w:val="0"/>
                      <w:szCs w:val="21"/>
                      <w:lang w:bidi="ar"/>
                    </w:rPr>
                    <w:t>排放重点源，纳入重点排污单位名单，督促企业安装烟气排放自动监控设施。</w:t>
                  </w:r>
                </w:p>
              </w:tc>
              <w:tc>
                <w:tcPr>
                  <w:tcW w:w="1299" w:type="pct"/>
                  <w:tcBorders>
                    <w:tl2br w:val="nil"/>
                    <w:tr2bl w:val="nil"/>
                  </w:tcBorders>
                  <w:vAlign w:val="center"/>
                </w:tcPr>
                <w:p w14:paraId="6E6E52C5">
                  <w:pPr>
                    <w:jc w:val="left"/>
                    <w:rPr>
                      <w:rFonts w:hint="default" w:ascii="Times New Roman" w:hAnsi="Times New Roman" w:cs="Times New Roman"/>
                      <w:kern w:val="21"/>
                      <w:szCs w:val="21"/>
                    </w:rPr>
                  </w:pPr>
                  <w:r>
                    <w:rPr>
                      <w:rFonts w:hint="default" w:ascii="Times New Roman" w:hAnsi="Times New Roman" w:cs="Times New Roman"/>
                      <w:kern w:val="21"/>
                      <w:szCs w:val="21"/>
                    </w:rPr>
                    <w:t>1、</w:t>
                  </w:r>
                  <w:r>
                    <w:rPr>
                      <w:rFonts w:hint="default" w:ascii="Times New Roman" w:hAnsi="Times New Roman" w:cs="Times New Roman"/>
                      <w:szCs w:val="21"/>
                    </w:rPr>
                    <w:t>本项目租赁厂房生产，不新建厂房，施工期主要为设备安装，施工期影响较小</w:t>
                  </w:r>
                  <w:r>
                    <w:rPr>
                      <w:rFonts w:hint="default" w:ascii="Times New Roman" w:hAnsi="Times New Roman" w:cs="Times New Roman"/>
                      <w:kern w:val="21"/>
                      <w:szCs w:val="21"/>
                    </w:rPr>
                    <w:t>；</w:t>
                  </w:r>
                </w:p>
                <w:p w14:paraId="6FBAD855">
                  <w:pPr>
                    <w:jc w:val="left"/>
                    <w:rPr>
                      <w:rFonts w:hint="default" w:ascii="Times New Roman" w:hAnsi="Times New Roman" w:cs="Times New Roman"/>
                      <w:kern w:val="21"/>
                      <w:szCs w:val="21"/>
                    </w:rPr>
                  </w:pPr>
                  <w:r>
                    <w:rPr>
                      <w:rFonts w:hint="default" w:ascii="Times New Roman" w:hAnsi="Times New Roman" w:cs="Times New Roman"/>
                      <w:kern w:val="21"/>
                      <w:szCs w:val="21"/>
                    </w:rPr>
                    <w:t>2、本项目</w:t>
                  </w:r>
                  <w:r>
                    <w:rPr>
                      <w:rFonts w:hint="default" w:ascii="Times New Roman" w:hAnsi="Times New Roman" w:cs="Times New Roman"/>
                      <w:kern w:val="0"/>
                      <w:szCs w:val="21"/>
                      <w:lang w:bidi="ar"/>
                    </w:rPr>
                    <w:t>排气口高度为15米，不超过</w:t>
                  </w:r>
                  <w:r>
                    <w:rPr>
                      <w:rFonts w:hint="default" w:ascii="Times New Roman" w:hAnsi="Times New Roman" w:eastAsia="CIDFont" w:cs="Times New Roman"/>
                      <w:kern w:val="0"/>
                      <w:szCs w:val="21"/>
                      <w:lang w:bidi="ar"/>
                    </w:rPr>
                    <w:t>45</w:t>
                  </w:r>
                  <w:r>
                    <w:rPr>
                      <w:rFonts w:hint="default" w:ascii="Times New Roman" w:hAnsi="Times New Roman" w:cs="Times New Roman"/>
                      <w:kern w:val="0"/>
                      <w:szCs w:val="21"/>
                      <w:lang w:bidi="ar"/>
                    </w:rPr>
                    <w:t>米，</w:t>
                  </w:r>
                  <w:r>
                    <w:rPr>
                      <w:rFonts w:hint="default" w:ascii="Times New Roman" w:hAnsi="Times New Roman" w:cs="Times New Roman"/>
                      <w:kern w:val="0"/>
                      <w:szCs w:val="21"/>
                      <w:lang w:val="en-US" w:eastAsia="zh-CN" w:bidi="ar"/>
                    </w:rPr>
                    <w:t>本项目不属于重点排污单位</w:t>
                  </w:r>
                  <w:r>
                    <w:rPr>
                      <w:rFonts w:hint="default" w:ascii="Times New Roman" w:hAnsi="Times New Roman" w:cs="Times New Roman"/>
                      <w:kern w:val="0"/>
                      <w:szCs w:val="21"/>
                      <w:lang w:bidi="ar"/>
                    </w:rPr>
                    <w:t>。</w:t>
                  </w:r>
                </w:p>
              </w:tc>
              <w:tc>
                <w:tcPr>
                  <w:tcW w:w="406" w:type="pct"/>
                  <w:tcBorders>
                    <w:tl2br w:val="nil"/>
                    <w:tr2bl w:val="nil"/>
                  </w:tcBorders>
                  <w:vAlign w:val="center"/>
                </w:tcPr>
                <w:p w14:paraId="38412D6D">
                  <w:pPr>
                    <w:autoSpaceDE w:val="0"/>
                    <w:autoSpaceDN w:val="0"/>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kern w:val="21"/>
                      <w:szCs w:val="21"/>
                    </w:rPr>
                    <w:t>符合</w:t>
                  </w:r>
                </w:p>
              </w:tc>
            </w:tr>
            <w:tr w14:paraId="73DBB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53" w:type="pct"/>
                  <w:tcBorders>
                    <w:tl2br w:val="nil"/>
                    <w:tr2bl w:val="nil"/>
                  </w:tcBorders>
                  <w:vAlign w:val="center"/>
                </w:tcPr>
                <w:p w14:paraId="3A8C21A0">
                  <w:pPr>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kern w:val="21"/>
                      <w:szCs w:val="21"/>
                    </w:rPr>
                    <w:t>2</w:t>
                  </w:r>
                </w:p>
              </w:tc>
              <w:tc>
                <w:tcPr>
                  <w:tcW w:w="440" w:type="pct"/>
                  <w:tcBorders>
                    <w:tl2br w:val="nil"/>
                    <w:tr2bl w:val="nil"/>
                  </w:tcBorders>
                  <w:vAlign w:val="center"/>
                </w:tcPr>
                <w:p w14:paraId="44FD5140">
                  <w:pPr>
                    <w:autoSpaceDE w:val="0"/>
                    <w:autoSpaceDN w:val="0"/>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kern w:val="21"/>
                      <w:szCs w:val="21"/>
                    </w:rPr>
                    <w:t>产业准入要求</w:t>
                  </w:r>
                </w:p>
              </w:tc>
              <w:tc>
                <w:tcPr>
                  <w:tcW w:w="2600" w:type="pct"/>
                  <w:tcBorders>
                    <w:tl2br w:val="nil"/>
                    <w:tr2bl w:val="nil"/>
                  </w:tcBorders>
                  <w:vAlign w:val="center"/>
                </w:tcPr>
                <w:p w14:paraId="3295A707">
                  <w:pPr>
                    <w:widowControl/>
                    <w:jc w:val="left"/>
                    <w:rPr>
                      <w:rFonts w:hint="default" w:ascii="Times New Roman" w:hAnsi="Times New Roman" w:cs="Times New Roman"/>
                      <w:kern w:val="0"/>
                      <w:szCs w:val="21"/>
                      <w:lang w:bidi="ar"/>
                    </w:rPr>
                  </w:pPr>
                  <w:r>
                    <w:rPr>
                      <w:rFonts w:hint="default" w:ascii="Times New Roman" w:hAnsi="Times New Roman" w:cs="Times New Roman"/>
                      <w:kern w:val="0"/>
                      <w:szCs w:val="21"/>
                      <w:lang w:bidi="ar"/>
                    </w:rPr>
                    <w:fldChar w:fldCharType="begin"/>
                  </w:r>
                  <w:r>
                    <w:rPr>
                      <w:rFonts w:hint="default" w:ascii="Times New Roman" w:hAnsi="Times New Roman" w:cs="Times New Roman"/>
                      <w:kern w:val="0"/>
                      <w:szCs w:val="21"/>
                      <w:lang w:bidi="ar"/>
                    </w:rPr>
                    <w:instrText xml:space="preserve"> = 1 \* GB3 </w:instrText>
                  </w:r>
                  <w:r>
                    <w:rPr>
                      <w:rFonts w:hint="default" w:ascii="Times New Roman" w:hAnsi="Times New Roman" w:cs="Times New Roman"/>
                      <w:kern w:val="0"/>
                      <w:szCs w:val="21"/>
                      <w:lang w:bidi="ar"/>
                    </w:rPr>
                    <w:fldChar w:fldCharType="separate"/>
                  </w:r>
                  <w:r>
                    <w:rPr>
                      <w:rFonts w:hint="default" w:ascii="Times New Roman" w:hAnsi="Times New Roman" w:cs="Times New Roman"/>
                      <w:kern w:val="0"/>
                      <w:szCs w:val="21"/>
                      <w:lang w:bidi="ar"/>
                    </w:rPr>
                    <w:t>①</w:t>
                  </w:r>
                  <w:r>
                    <w:rPr>
                      <w:rFonts w:hint="default" w:ascii="Times New Roman" w:hAnsi="Times New Roman" w:cs="Times New Roman"/>
                      <w:kern w:val="0"/>
                      <w:szCs w:val="21"/>
                      <w:lang w:bidi="ar"/>
                    </w:rPr>
                    <w:fldChar w:fldCharType="end"/>
                  </w:r>
                  <w:r>
                    <w:rPr>
                      <w:rFonts w:hint="default" w:ascii="Times New Roman" w:hAnsi="Times New Roman" w:cs="Times New Roman"/>
                      <w:kern w:val="0"/>
                      <w:szCs w:val="21"/>
                      <w:lang w:bidi="ar"/>
                    </w:rPr>
                    <w:t>优先鼓励项目：属于汽车及零部件、家用电器、新材料三大主导产业和智能网联汽车电子、光电信息、5G及人工智能+、光伏、轨道交通装备等战略性新兴产业的项目，以及为“3+5”产业配套的精细化工项目，符合《产业结构调整指导目录（2019年本）》中鼓励类项目和《鼓励外商投资产业目录（2019年版）》中的项目。</w:t>
                  </w:r>
                </w:p>
                <w:p w14:paraId="69A3C67A">
                  <w:pPr>
                    <w:widowControl/>
                    <w:jc w:val="left"/>
                    <w:rPr>
                      <w:rFonts w:hint="default" w:ascii="Times New Roman" w:hAnsi="Times New Roman" w:cs="Times New Roman"/>
                      <w:kern w:val="0"/>
                      <w:szCs w:val="21"/>
                      <w:lang w:bidi="ar"/>
                    </w:rPr>
                  </w:pPr>
                  <w:r>
                    <w:rPr>
                      <w:rFonts w:hint="default" w:ascii="Times New Roman" w:hAnsi="Times New Roman" w:cs="Times New Roman"/>
                      <w:kern w:val="0"/>
                      <w:szCs w:val="21"/>
                      <w:lang w:bidi="ar"/>
                    </w:rPr>
                    <w:fldChar w:fldCharType="begin"/>
                  </w:r>
                  <w:r>
                    <w:rPr>
                      <w:rFonts w:hint="default" w:ascii="Times New Roman" w:hAnsi="Times New Roman" w:cs="Times New Roman"/>
                      <w:kern w:val="0"/>
                      <w:szCs w:val="21"/>
                      <w:lang w:bidi="ar"/>
                    </w:rPr>
                    <w:instrText xml:space="preserve"> = 2 \* GB3 </w:instrText>
                  </w:r>
                  <w:r>
                    <w:rPr>
                      <w:rFonts w:hint="default" w:ascii="Times New Roman" w:hAnsi="Times New Roman" w:cs="Times New Roman"/>
                      <w:kern w:val="0"/>
                      <w:szCs w:val="21"/>
                      <w:lang w:bidi="ar"/>
                    </w:rPr>
                    <w:fldChar w:fldCharType="separate"/>
                  </w:r>
                  <w:r>
                    <w:rPr>
                      <w:rFonts w:hint="default" w:ascii="Times New Roman" w:hAnsi="Times New Roman" w:cs="Times New Roman"/>
                      <w:kern w:val="0"/>
                      <w:szCs w:val="21"/>
                      <w:lang w:bidi="ar"/>
                    </w:rPr>
                    <w:t>②</w:t>
                  </w:r>
                  <w:r>
                    <w:rPr>
                      <w:rFonts w:hint="default" w:ascii="Times New Roman" w:hAnsi="Times New Roman" w:cs="Times New Roman"/>
                      <w:kern w:val="0"/>
                      <w:szCs w:val="21"/>
                      <w:lang w:bidi="ar"/>
                    </w:rPr>
                    <w:fldChar w:fldCharType="end"/>
                  </w:r>
                  <w:r>
                    <w:rPr>
                      <w:rFonts w:hint="default" w:ascii="Times New Roman" w:hAnsi="Times New Roman" w:cs="Times New Roman"/>
                      <w:kern w:val="0"/>
                      <w:szCs w:val="21"/>
                      <w:lang w:bidi="ar"/>
                    </w:rPr>
                    <w:t>限制发展项目：属于《产业结构调整指导目录（2019年本）》中限制类项目和《外商投资产业指导目录（2017年修订）》中限制外商投资产业目录中的项目。</w:t>
                  </w:r>
                </w:p>
                <w:p w14:paraId="4E7D1E24">
                  <w:pPr>
                    <w:widowControl/>
                    <w:jc w:val="left"/>
                    <w:rPr>
                      <w:rFonts w:hint="default" w:ascii="Times New Roman" w:hAnsi="Times New Roman" w:cs="Times New Roman"/>
                      <w:szCs w:val="21"/>
                    </w:rPr>
                  </w:pPr>
                  <w:r>
                    <w:rPr>
                      <w:rFonts w:hint="default" w:ascii="Times New Roman" w:hAnsi="Times New Roman" w:cs="Times New Roman"/>
                      <w:kern w:val="0"/>
                      <w:szCs w:val="21"/>
                      <w:lang w:bidi="ar"/>
                    </w:rPr>
                    <w:fldChar w:fldCharType="begin"/>
                  </w:r>
                  <w:r>
                    <w:rPr>
                      <w:rFonts w:hint="default" w:ascii="Times New Roman" w:hAnsi="Times New Roman" w:cs="Times New Roman"/>
                      <w:kern w:val="0"/>
                      <w:szCs w:val="21"/>
                      <w:lang w:bidi="ar"/>
                    </w:rPr>
                    <w:instrText xml:space="preserve"> = 3 \* GB3 </w:instrText>
                  </w:r>
                  <w:r>
                    <w:rPr>
                      <w:rFonts w:hint="default" w:ascii="Times New Roman" w:hAnsi="Times New Roman" w:cs="Times New Roman"/>
                      <w:kern w:val="0"/>
                      <w:szCs w:val="21"/>
                      <w:lang w:bidi="ar"/>
                    </w:rPr>
                    <w:fldChar w:fldCharType="separate"/>
                  </w:r>
                  <w:r>
                    <w:rPr>
                      <w:rFonts w:hint="default" w:ascii="Times New Roman" w:hAnsi="Times New Roman" w:cs="Times New Roman"/>
                      <w:kern w:val="0"/>
                      <w:szCs w:val="21"/>
                      <w:lang w:bidi="ar"/>
                    </w:rPr>
                    <w:t>③</w:t>
                  </w:r>
                  <w:r>
                    <w:rPr>
                      <w:rFonts w:hint="default" w:ascii="Times New Roman" w:hAnsi="Times New Roman" w:cs="Times New Roman"/>
                      <w:kern w:val="0"/>
                      <w:szCs w:val="21"/>
                      <w:lang w:bidi="ar"/>
                    </w:rPr>
                    <w:fldChar w:fldCharType="end"/>
                  </w:r>
                  <w:r>
                    <w:rPr>
                      <w:rFonts w:hint="default" w:ascii="Times New Roman" w:hAnsi="Times New Roman" w:cs="Times New Roman"/>
                      <w:kern w:val="0"/>
                      <w:szCs w:val="21"/>
                      <w:lang w:bidi="ar"/>
                    </w:rPr>
                    <w:t>禁止发展项目：属于《产业结构调整指导目录（2019年本）》中淘汰类项目和《外商投资产业指导目录（2017年修订）》中禁止外商投资产业目录中的项目。</w:t>
                  </w:r>
                </w:p>
              </w:tc>
              <w:tc>
                <w:tcPr>
                  <w:tcW w:w="1299" w:type="pct"/>
                  <w:tcBorders>
                    <w:tl2br w:val="nil"/>
                    <w:tr2bl w:val="nil"/>
                  </w:tcBorders>
                  <w:vAlign w:val="center"/>
                </w:tcPr>
                <w:p w14:paraId="4D8FD7D7">
                  <w:pPr>
                    <w:autoSpaceDE w:val="0"/>
                    <w:autoSpaceDN w:val="0"/>
                    <w:adjustRightInd w:val="0"/>
                    <w:jc w:val="center"/>
                    <w:textAlignment w:val="baseline"/>
                    <w:rPr>
                      <w:rFonts w:hint="default" w:ascii="Times New Roman" w:hAnsi="Times New Roman" w:cs="Times New Roman"/>
                      <w:szCs w:val="21"/>
                    </w:rPr>
                  </w:pPr>
                  <w:r>
                    <w:rPr>
                      <w:rFonts w:hint="default" w:ascii="Times New Roman" w:hAnsi="Times New Roman" w:cs="Times New Roman"/>
                      <w:kern w:val="0"/>
                      <w:szCs w:val="21"/>
                    </w:rPr>
                    <w:t>本项目属于塑料零件及其他塑料制品制造，不属于开发区限制发展和禁止发展项目。</w:t>
                  </w:r>
                </w:p>
              </w:tc>
              <w:tc>
                <w:tcPr>
                  <w:tcW w:w="406" w:type="pct"/>
                  <w:tcBorders>
                    <w:tl2br w:val="nil"/>
                    <w:tr2bl w:val="nil"/>
                  </w:tcBorders>
                  <w:vAlign w:val="center"/>
                </w:tcPr>
                <w:p w14:paraId="7B4F6AFA">
                  <w:pPr>
                    <w:autoSpaceDE w:val="0"/>
                    <w:autoSpaceDN w:val="0"/>
                    <w:adjustRightInd w:val="0"/>
                    <w:jc w:val="center"/>
                    <w:textAlignment w:val="baseline"/>
                    <w:rPr>
                      <w:rFonts w:hint="default" w:ascii="Times New Roman" w:hAnsi="Times New Roman" w:cs="Times New Roman"/>
                      <w:kern w:val="21"/>
                      <w:szCs w:val="21"/>
                    </w:rPr>
                  </w:pPr>
                  <w:r>
                    <w:rPr>
                      <w:rFonts w:hint="default" w:ascii="Times New Roman" w:hAnsi="Times New Roman" w:cs="Times New Roman"/>
                      <w:kern w:val="21"/>
                      <w:szCs w:val="21"/>
                    </w:rPr>
                    <w:t>符合</w:t>
                  </w:r>
                </w:p>
              </w:tc>
            </w:tr>
          </w:tbl>
          <w:p w14:paraId="5D02462F">
            <w:pPr>
              <w:spacing w:line="360" w:lineRule="auto"/>
              <w:ind w:firstLine="480" w:firstLineChars="200"/>
              <w:rPr>
                <w:rFonts w:hint="default" w:ascii="Times New Roman" w:hAnsi="Times New Roman" w:cs="Times New Roman"/>
                <w:color w:val="000000"/>
              </w:rPr>
            </w:pPr>
            <w:r>
              <w:rPr>
                <w:rFonts w:hint="default" w:ascii="Times New Roman" w:hAnsi="Times New Roman" w:eastAsia="宋体" w:cs="Times New Roman"/>
                <w:color w:val="000000"/>
                <w:kern w:val="0"/>
                <w:sz w:val="24"/>
              </w:rPr>
              <w:t>由上表可知，本项目建设符合《芜湖市生态环境分区管控生态环境准入清单》文件中的相关要求。</w:t>
            </w:r>
          </w:p>
          <w:p w14:paraId="43612E82">
            <w:pPr>
              <w:spacing w:line="360" w:lineRule="auto"/>
              <w:ind w:firstLine="482" w:firstLineChars="200"/>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6、与</w:t>
            </w:r>
            <w:r>
              <w:rPr>
                <w:rFonts w:hint="default" w:ascii="Times New Roman" w:hAnsi="Times New Roman" w:eastAsia="宋体" w:cs="Times New Roman"/>
                <w:b/>
                <w:color w:val="000000"/>
                <w:sz w:val="24"/>
                <w:lang w:eastAsia="zh-CN"/>
              </w:rPr>
              <w:t>“</w:t>
            </w:r>
            <w:r>
              <w:rPr>
                <w:rFonts w:hint="default" w:ascii="Times New Roman" w:hAnsi="Times New Roman" w:eastAsia="宋体" w:cs="Times New Roman"/>
                <w:b/>
                <w:color w:val="000000"/>
                <w:sz w:val="24"/>
              </w:rPr>
              <w:t>三区三线</w:t>
            </w:r>
            <w:r>
              <w:rPr>
                <w:rFonts w:hint="default" w:ascii="Times New Roman" w:hAnsi="Times New Roman" w:eastAsia="宋体" w:cs="Times New Roman"/>
                <w:b/>
                <w:color w:val="000000"/>
                <w:sz w:val="24"/>
                <w:lang w:eastAsia="zh-CN"/>
              </w:rPr>
              <w:t>”</w:t>
            </w:r>
            <w:r>
              <w:rPr>
                <w:rFonts w:hint="default" w:ascii="Times New Roman" w:hAnsi="Times New Roman" w:eastAsia="宋体" w:cs="Times New Roman"/>
                <w:b/>
                <w:color w:val="000000"/>
                <w:sz w:val="24"/>
              </w:rPr>
              <w:t>符合性分析</w:t>
            </w:r>
          </w:p>
          <w:p w14:paraId="741BB755">
            <w:pPr>
              <w:spacing w:line="360" w:lineRule="auto"/>
              <w:ind w:firstLine="424" w:firstLineChars="177"/>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根据《中共中央国务院关于建立国土空间规划体系并监督实施的若干意见》（中发【2019】18号）、自然资源部关于在全国开展</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三区三线</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划定工作的函（自然资函【2022】47号），</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三区</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是指城镇空间、农业空间和生态空间，</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三线</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是指生态保护红线、永久基本农田保护红线和城镇开发边界。本项目位于</w:t>
            </w:r>
            <w:r>
              <w:rPr>
                <w:rFonts w:hint="default" w:ascii="Times New Roman" w:hAnsi="Times New Roman" w:cs="Times New Roman"/>
                <w:bCs/>
                <w:color w:val="000000"/>
                <w:sz w:val="24"/>
                <w:lang w:eastAsia="zh-CN"/>
              </w:rPr>
              <w:t>芜湖经济技术开发区龙山街道大桥镇红星路 41号综合楼一楼1号</w:t>
            </w:r>
            <w:r>
              <w:rPr>
                <w:rFonts w:hint="default" w:ascii="Times New Roman" w:hAnsi="Times New Roman" w:eastAsia="宋体" w:cs="Times New Roman"/>
                <w:bCs/>
                <w:color w:val="000000"/>
                <w:sz w:val="24"/>
              </w:rPr>
              <w:t>，项目用地属于工业用地，根据现状调查，本项目用地不属于永久基本农田保护红线，不在生态保护红线范围内，项目选址</w:t>
            </w:r>
            <w:r>
              <w:rPr>
                <w:rFonts w:hint="default" w:ascii="Times New Roman" w:hAnsi="Times New Roman" w:eastAsia="宋体" w:cs="Times New Roman"/>
                <w:bCs/>
                <w:color w:val="000000"/>
                <w:sz w:val="24"/>
                <w:lang w:val="en-US" w:eastAsia="zh-CN"/>
              </w:rPr>
              <w:t>属于</w:t>
            </w:r>
            <w:r>
              <w:rPr>
                <w:rFonts w:hint="default" w:ascii="Times New Roman" w:hAnsi="Times New Roman" w:eastAsia="宋体" w:cs="Times New Roman"/>
                <w:bCs/>
                <w:color w:val="000000"/>
                <w:sz w:val="24"/>
              </w:rPr>
              <w:t>城镇开发边界以内，因此，本项目符合</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三区三线</w:t>
            </w:r>
            <w:r>
              <w:rPr>
                <w:rFonts w:hint="default" w:ascii="Times New Roman" w:hAnsi="Times New Roman" w:eastAsia="宋体" w:cs="Times New Roman"/>
                <w:bCs/>
                <w:color w:val="000000"/>
                <w:sz w:val="24"/>
                <w:lang w:eastAsia="zh-CN"/>
              </w:rPr>
              <w:t>”</w:t>
            </w:r>
            <w:r>
              <w:rPr>
                <w:rFonts w:hint="default" w:ascii="Times New Roman" w:hAnsi="Times New Roman" w:eastAsia="宋体" w:cs="Times New Roman"/>
                <w:bCs/>
                <w:color w:val="000000"/>
                <w:sz w:val="24"/>
              </w:rPr>
              <w:t>的要求。</w:t>
            </w:r>
          </w:p>
          <w:p w14:paraId="2C52CDD8">
            <w:pPr>
              <w:adjustRightInd w:val="0"/>
              <w:snapToGrid w:val="0"/>
              <w:spacing w:line="360" w:lineRule="auto"/>
              <w:ind w:firstLine="482" w:firstLineChars="20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7、与《</w:t>
            </w:r>
            <w:r>
              <w:rPr>
                <w:rFonts w:hint="default" w:ascii="Times New Roman" w:hAnsi="Times New Roman" w:eastAsia="宋体" w:cs="Times New Roman"/>
                <w:b/>
                <w:color w:val="000000"/>
                <w:sz w:val="24"/>
              </w:rPr>
              <w:t>关于全面打造水清岸绿产业优美丽长江（芜湖）经济带的实施方案（升级版）</w:t>
            </w:r>
            <w:r>
              <w:rPr>
                <w:rFonts w:hint="default" w:ascii="Times New Roman" w:hAnsi="Times New Roman" w:eastAsia="宋体" w:cs="Times New Roman"/>
                <w:b/>
                <w:bCs/>
                <w:color w:val="000000"/>
                <w:sz w:val="24"/>
              </w:rPr>
              <w:t>》（芜市办[2021]28号）</w:t>
            </w:r>
            <w:r>
              <w:rPr>
                <w:rFonts w:hint="default" w:ascii="Times New Roman" w:hAnsi="Times New Roman" w:eastAsia="宋体" w:cs="Times New Roman"/>
                <w:b/>
                <w:color w:val="000000"/>
                <w:sz w:val="24"/>
              </w:rPr>
              <w:t>相符性分析</w:t>
            </w:r>
          </w:p>
          <w:p w14:paraId="53C02FA2">
            <w:pPr>
              <w:pStyle w:val="23"/>
              <w:adjustRightInd w:val="0"/>
              <w:spacing w:before="0" w:after="0" w:line="240" w:lineRule="auto"/>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sz w:val="24"/>
              </w:rPr>
              <w:t>表1-</w:t>
            </w:r>
            <w:r>
              <w:rPr>
                <w:rFonts w:hint="eastAsia" w:cs="Times New Roman"/>
                <w:b/>
                <w:bCs/>
                <w:color w:val="000000"/>
                <w:sz w:val="24"/>
                <w:lang w:val="en-US" w:eastAsia="zh-CN"/>
              </w:rPr>
              <w:t>7</w:t>
            </w:r>
            <w:r>
              <w:rPr>
                <w:rFonts w:hint="default" w:ascii="Times New Roman" w:hAnsi="Times New Roman" w:eastAsia="宋体" w:cs="Times New Roman"/>
                <w:b/>
                <w:bCs/>
                <w:color w:val="000000"/>
                <w:sz w:val="24"/>
              </w:rPr>
              <w:t xml:space="preserve">  项目与</w:t>
            </w:r>
            <w:r>
              <w:rPr>
                <w:rFonts w:hint="default" w:ascii="Times New Roman" w:hAnsi="Times New Roman" w:eastAsia="宋体" w:cs="Times New Roman"/>
                <w:b/>
                <w:bCs/>
                <w:color w:val="000000"/>
                <w:sz w:val="24"/>
                <w:lang w:eastAsia="zh-CN"/>
              </w:rPr>
              <w:t>“</w:t>
            </w:r>
            <w:r>
              <w:rPr>
                <w:rFonts w:hint="default" w:ascii="Times New Roman" w:hAnsi="Times New Roman" w:eastAsia="宋体" w:cs="Times New Roman"/>
                <w:b/>
                <w:bCs/>
                <w:color w:val="000000"/>
                <w:sz w:val="24"/>
              </w:rPr>
              <w:t>芜市办[2021]28号</w:t>
            </w:r>
            <w:r>
              <w:rPr>
                <w:rFonts w:hint="default" w:ascii="Times New Roman" w:hAnsi="Times New Roman" w:eastAsia="宋体" w:cs="Times New Roman"/>
                <w:b/>
                <w:bCs/>
                <w:color w:val="000000"/>
                <w:sz w:val="24"/>
                <w:lang w:eastAsia="zh-CN"/>
              </w:rPr>
              <w:t>”</w:t>
            </w:r>
            <w:r>
              <w:rPr>
                <w:rFonts w:hint="default" w:ascii="Times New Roman" w:hAnsi="Times New Roman" w:eastAsia="宋体" w:cs="Times New Roman"/>
                <w:b/>
                <w:bCs/>
                <w:color w:val="000000"/>
                <w:sz w:val="24"/>
              </w:rPr>
              <w:t>文件相符性</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79"/>
              <w:gridCol w:w="3327"/>
              <w:gridCol w:w="2534"/>
            </w:tblGrid>
            <w:tr w14:paraId="0D1B1A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5DC5AB26">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文件内容</w:t>
                  </w:r>
                </w:p>
              </w:tc>
              <w:tc>
                <w:tcPr>
                  <w:tcW w:w="2396" w:type="pct"/>
                  <w:noWrap w:val="0"/>
                  <w:vAlign w:val="center"/>
                </w:tcPr>
                <w:p w14:paraId="00CC65D6">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具体要求</w:t>
                  </w:r>
                </w:p>
              </w:tc>
              <w:tc>
                <w:tcPr>
                  <w:tcW w:w="1825" w:type="pct"/>
                  <w:noWrap w:val="0"/>
                  <w:vAlign w:val="center"/>
                </w:tcPr>
                <w:p w14:paraId="6E47078E">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相符性分析</w:t>
                  </w:r>
                </w:p>
              </w:tc>
            </w:tr>
            <w:tr w14:paraId="37A48E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58748AEB">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严禁1公里范围内新建化工项目</w:t>
                  </w:r>
                </w:p>
              </w:tc>
              <w:tc>
                <w:tcPr>
                  <w:tcW w:w="2396" w:type="pct"/>
                  <w:noWrap w:val="0"/>
                  <w:vAlign w:val="center"/>
                </w:tcPr>
                <w:p w14:paraId="312D5CC9">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1825" w:type="pct"/>
                  <w:noWrap w:val="0"/>
                  <w:vAlign w:val="center"/>
                </w:tcPr>
                <w:p w14:paraId="71E7A748">
                  <w:pPr>
                    <w:adjustRightInd w:val="0"/>
                    <w:snapToGrid w:val="0"/>
                    <w:jc w:val="lef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本项目不属于化工项目。本项目距离长江干流岸线约</w:t>
                  </w:r>
                  <w:r>
                    <w:rPr>
                      <w:rFonts w:hint="default" w:ascii="Times New Roman" w:hAnsi="Times New Roman" w:eastAsia="宋体" w:cs="Times New Roman"/>
                      <w:color w:val="000000"/>
                      <w:sz w:val="21"/>
                      <w:szCs w:val="21"/>
                      <w:lang w:val="en-US" w:eastAsia="zh-CN"/>
                    </w:rPr>
                    <w:t>2.9k</w:t>
                  </w:r>
                  <w:r>
                    <w:rPr>
                      <w:rFonts w:hint="default" w:ascii="Times New Roman" w:hAnsi="Times New Roman" w:eastAsia="宋体" w:cs="Times New Roman"/>
                      <w:color w:val="000000"/>
                      <w:sz w:val="21"/>
                      <w:szCs w:val="21"/>
                    </w:rPr>
                    <w:t>m，项目选址不在长江</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芜湖段</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干流及主要支流岸线1公里范围内。</w:t>
                  </w:r>
                </w:p>
              </w:tc>
            </w:tr>
            <w:tr w14:paraId="2B484B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2BEE2CB0">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严控5公里范围内新建重化工重污染项目</w:t>
                  </w:r>
                </w:p>
              </w:tc>
              <w:tc>
                <w:tcPr>
                  <w:tcW w:w="2396" w:type="pct"/>
                  <w:noWrap w:val="0"/>
                  <w:vAlign w:val="center"/>
                </w:tcPr>
                <w:p w14:paraId="12DE9B92">
                  <w:pPr>
                    <w:widowControl/>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长江干流岸线5公里范围内，全面落实长江岸线功能定位要求，实施严格的化工项目市场准入制度，制定完善危险化学品</w:t>
                  </w:r>
                  <w:r>
                    <w:rPr>
                      <w:rFonts w:hint="default"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禁限控</w:t>
                  </w:r>
                  <w:r>
                    <w:rPr>
                      <w:rFonts w:hint="default"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825" w:type="pct"/>
                  <w:noWrap w:val="0"/>
                  <w:vAlign w:val="center"/>
                </w:tcPr>
                <w:p w14:paraId="4636C0EB">
                  <w:pPr>
                    <w:adjustRightInd w:val="0"/>
                    <w:snapToGrid w:val="0"/>
                    <w:jc w:val="left"/>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sz w:val="21"/>
                      <w:szCs w:val="21"/>
                    </w:rPr>
                    <w:t>本项目距离长江干流岸线约</w:t>
                  </w:r>
                  <w:r>
                    <w:rPr>
                      <w:rFonts w:hint="default" w:ascii="Times New Roman" w:hAnsi="Times New Roman" w:eastAsia="宋体" w:cs="Times New Roman"/>
                      <w:color w:val="000000"/>
                      <w:sz w:val="21"/>
                      <w:szCs w:val="21"/>
                      <w:lang w:val="en-US" w:eastAsia="zh-CN"/>
                    </w:rPr>
                    <w:t>2.9k</w:t>
                  </w:r>
                  <w:r>
                    <w:rPr>
                      <w:rFonts w:hint="default" w:ascii="Times New Roman" w:hAnsi="Times New Roman" w:eastAsia="宋体" w:cs="Times New Roman"/>
                      <w:color w:val="000000"/>
                      <w:sz w:val="21"/>
                      <w:szCs w:val="21"/>
                    </w:rPr>
                    <w:t>m，</w:t>
                  </w:r>
                  <w:r>
                    <w:rPr>
                      <w:rFonts w:hint="default" w:ascii="Times New Roman" w:hAnsi="Times New Roman" w:eastAsia="宋体" w:cs="Times New Roman"/>
                      <w:color w:val="000000"/>
                      <w:sz w:val="21"/>
                      <w:szCs w:val="21"/>
                      <w:highlight w:val="none"/>
                      <w:lang w:val="en-US" w:eastAsia="zh-CN"/>
                    </w:rPr>
                    <w:t>在</w:t>
                  </w:r>
                  <w:r>
                    <w:rPr>
                      <w:rFonts w:hint="default" w:ascii="Times New Roman" w:hAnsi="Times New Roman" w:eastAsia="宋体" w:cs="Times New Roman"/>
                      <w:color w:val="000000"/>
                      <w:sz w:val="21"/>
                      <w:szCs w:val="21"/>
                      <w:highlight w:val="none"/>
                    </w:rPr>
                    <w:t>长江</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lang w:val="en-US" w:eastAsia="zh-CN"/>
                    </w:rPr>
                    <w:t>芜湖段</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干流5公里范围内，项目不属于石油化工和煤化工等重化工、重污染项目。</w:t>
                  </w:r>
                </w:p>
              </w:tc>
            </w:tr>
            <w:tr w14:paraId="0D5015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172288F4">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严管15公里范围内新建项目</w:t>
                  </w:r>
                </w:p>
              </w:tc>
              <w:tc>
                <w:tcPr>
                  <w:tcW w:w="2396" w:type="pct"/>
                  <w:noWrap w:val="0"/>
                  <w:vAlign w:val="center"/>
                </w:tcPr>
                <w:p w14:paraId="52119B44">
                  <w:pPr>
                    <w:widowControl/>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1825" w:type="pct"/>
                  <w:noWrap w:val="0"/>
                  <w:vAlign w:val="center"/>
                </w:tcPr>
                <w:p w14:paraId="733540E7">
                  <w:pPr>
                    <w:adjustRightInd w:val="0"/>
                    <w:snapToGrid w:val="0"/>
                    <w:jc w:val="left"/>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sz w:val="21"/>
                      <w:szCs w:val="21"/>
                      <w:highlight w:val="none"/>
                    </w:rPr>
                    <w:t>本项目距离长江干流岸线约2.9km，在长江干流岸线15公里范围内，本项目严格执行环境保护标准，主要污染物实行总量控制。本项目不在国家长江经济带市场准入禁止限制目录。项目实施备案、环评、安评、能评等关联审批，取得合法手续后方可开工建设。</w:t>
                  </w:r>
                </w:p>
              </w:tc>
            </w:tr>
          </w:tbl>
          <w:p w14:paraId="775D7BB1">
            <w:pPr>
              <w:adjustRightInd w:val="0"/>
              <w:snapToGrid w:val="0"/>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因此，本项目的建设符合《关于全面打造水清岸绿产业优美丽长江（芜湖）经济带的实施方案（升级版）》（芜市办[2021]28号）的要求，项目选址合理。</w:t>
            </w:r>
          </w:p>
          <w:p w14:paraId="642551B7">
            <w:pPr>
              <w:spacing w:line="360" w:lineRule="auto"/>
              <w:ind w:firstLine="42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lang w:val="en-US" w:eastAsia="zh-CN"/>
              </w:rPr>
              <w:t>8</w:t>
            </w:r>
            <w:r>
              <w:rPr>
                <w:rFonts w:hint="default" w:ascii="Times New Roman" w:hAnsi="Times New Roman" w:eastAsia="宋体" w:cs="Times New Roman"/>
                <w:b/>
                <w:bCs/>
                <w:color w:val="000000"/>
                <w:sz w:val="24"/>
              </w:rPr>
              <w:t>、《长江经济带发展负面清单指南（试行，2022年版）》相符性</w:t>
            </w:r>
          </w:p>
          <w:p w14:paraId="4E9EA3E2">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根据《长江经济带发展负面清单指南（试行，2022年版）》，本项目与负面清单相符性分析见下表。</w:t>
            </w:r>
          </w:p>
          <w:p w14:paraId="2F6BED7E">
            <w:pPr>
              <w:adjustRightInd w:val="0"/>
              <w:snapToGrid w:val="0"/>
              <w:jc w:val="center"/>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表1-</w:t>
            </w:r>
            <w:r>
              <w:rPr>
                <w:rFonts w:hint="eastAsia" w:cs="Times New Roman"/>
                <w:b/>
                <w:bCs/>
                <w:color w:val="000000"/>
                <w:sz w:val="24"/>
                <w:lang w:val="en-US" w:eastAsia="zh-CN"/>
              </w:rPr>
              <w:t>8</w:t>
            </w:r>
            <w:r>
              <w:rPr>
                <w:rFonts w:hint="default" w:ascii="Times New Roman" w:hAnsi="Times New Roman" w:eastAsia="宋体" w:cs="Times New Roman"/>
                <w:b/>
                <w:bCs/>
                <w:color w:val="000000"/>
                <w:sz w:val="24"/>
              </w:rPr>
              <w:t xml:space="preserve">  本项目与长江经济带发展负面清单指南相符性分析</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1" w:type="dxa"/>
                <w:left w:w="28" w:type="dxa"/>
                <w:bottom w:w="11" w:type="dxa"/>
                <w:right w:w="28" w:type="dxa"/>
              </w:tblCellMar>
            </w:tblPr>
            <w:tblGrid>
              <w:gridCol w:w="542"/>
              <w:gridCol w:w="3394"/>
              <w:gridCol w:w="2294"/>
              <w:gridCol w:w="706"/>
            </w:tblGrid>
            <w:tr w14:paraId="2C447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blHeader/>
                <w:jc w:val="center"/>
              </w:trPr>
              <w:tc>
                <w:tcPr>
                  <w:tcW w:w="390" w:type="pct"/>
                  <w:noWrap w:val="0"/>
                  <w:vAlign w:val="center"/>
                </w:tcPr>
                <w:p w14:paraId="56F4D7A5">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序号</w:t>
                  </w:r>
                </w:p>
              </w:tc>
              <w:tc>
                <w:tcPr>
                  <w:tcW w:w="2446" w:type="pct"/>
                  <w:noWrap w:val="0"/>
                  <w:vAlign w:val="center"/>
                </w:tcPr>
                <w:p w14:paraId="1138603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文件要求</w:t>
                  </w:r>
                </w:p>
              </w:tc>
              <w:tc>
                <w:tcPr>
                  <w:tcW w:w="1653" w:type="pct"/>
                  <w:noWrap w:val="0"/>
                  <w:vAlign w:val="center"/>
                </w:tcPr>
                <w:p w14:paraId="52BE5247">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本项目情况</w:t>
                  </w:r>
                </w:p>
              </w:tc>
              <w:tc>
                <w:tcPr>
                  <w:tcW w:w="508" w:type="pct"/>
                  <w:noWrap w:val="0"/>
                  <w:vAlign w:val="center"/>
                </w:tcPr>
                <w:p w14:paraId="79A1E924">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相符性</w:t>
                  </w:r>
                </w:p>
              </w:tc>
            </w:tr>
            <w:tr w14:paraId="1449F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0" w:type="pct"/>
                  <w:noWrap w:val="0"/>
                  <w:vAlign w:val="center"/>
                </w:tcPr>
                <w:p w14:paraId="1C03E1F4">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446" w:type="pct"/>
                  <w:noWrap w:val="0"/>
                  <w:vAlign w:val="center"/>
                </w:tcPr>
                <w:p w14:paraId="5D082E52">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653" w:type="pct"/>
                  <w:noWrap w:val="0"/>
                  <w:vAlign w:val="center"/>
                </w:tcPr>
                <w:p w14:paraId="772117DD">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rPr>
                    <w:t>本项目距离长江</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芜湖段）</w:t>
                  </w:r>
                  <w:r>
                    <w:rPr>
                      <w:rFonts w:hint="default" w:ascii="Times New Roman" w:hAnsi="Times New Roman" w:eastAsia="宋体" w:cs="Times New Roman"/>
                      <w:color w:val="000000"/>
                      <w:sz w:val="21"/>
                      <w:szCs w:val="21"/>
                    </w:rPr>
                    <w:t>干流岸线约</w:t>
                  </w:r>
                  <w:r>
                    <w:rPr>
                      <w:rFonts w:hint="default" w:ascii="Times New Roman" w:hAnsi="Times New Roman" w:eastAsia="宋体" w:cs="Times New Roman"/>
                      <w:color w:val="000000"/>
                      <w:sz w:val="21"/>
                      <w:szCs w:val="21"/>
                      <w:lang w:val="en-US" w:eastAsia="zh-CN"/>
                    </w:rPr>
                    <w:t>2.9k</w:t>
                  </w:r>
                  <w:r>
                    <w:rPr>
                      <w:rFonts w:hint="default" w:ascii="Times New Roman" w:hAnsi="Times New Roman" w:eastAsia="宋体" w:cs="Times New Roman"/>
                      <w:color w:val="000000"/>
                      <w:sz w:val="21"/>
                      <w:szCs w:val="21"/>
                    </w:rPr>
                    <w:t>m，</w:t>
                  </w:r>
                  <w:r>
                    <w:rPr>
                      <w:rFonts w:hint="default" w:ascii="Times New Roman" w:hAnsi="Times New Roman" w:eastAsia="宋体" w:cs="Times New Roman"/>
                      <w:color w:val="000000"/>
                      <w:sz w:val="21"/>
                      <w:szCs w:val="21"/>
                      <w:lang w:bidi="ar"/>
                    </w:rPr>
                    <w:t>项目不属于化工项目、尾矿库、冶炼渣库和磷石膏库项目。</w:t>
                  </w:r>
                </w:p>
              </w:tc>
              <w:tc>
                <w:tcPr>
                  <w:tcW w:w="508" w:type="pct"/>
                  <w:noWrap w:val="0"/>
                  <w:vAlign w:val="center"/>
                </w:tcPr>
                <w:p w14:paraId="085CA70C">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14387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1059" w:hRule="atLeast"/>
                <w:jc w:val="center"/>
              </w:trPr>
              <w:tc>
                <w:tcPr>
                  <w:tcW w:w="390" w:type="pct"/>
                  <w:noWrap w:val="0"/>
                  <w:vAlign w:val="center"/>
                </w:tcPr>
                <w:p w14:paraId="1BEF1F36">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446" w:type="pct"/>
                  <w:noWrap w:val="0"/>
                  <w:vAlign w:val="center"/>
                </w:tcPr>
                <w:p w14:paraId="75C9C916">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禁止在合规园区外新建、扩建钢铁、石化、化工、焦化、建材、有色、制浆造纸等高污染项目。</w:t>
                  </w:r>
                </w:p>
              </w:tc>
              <w:tc>
                <w:tcPr>
                  <w:tcW w:w="1653" w:type="pct"/>
                  <w:noWrap w:val="0"/>
                  <w:vAlign w:val="center"/>
                </w:tcPr>
                <w:p w14:paraId="4ECA061F">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本项目位于芜湖经济技术开发区</w:t>
                  </w:r>
                  <w:r>
                    <w:rPr>
                      <w:rFonts w:hint="default" w:ascii="Times New Roman" w:hAnsi="Times New Roman" w:eastAsia="宋体" w:cs="Times New Roman"/>
                      <w:color w:val="000000"/>
                      <w:sz w:val="21"/>
                      <w:szCs w:val="21"/>
                      <w:lang w:val="en-US" w:eastAsia="zh-CN" w:bidi="ar"/>
                    </w:rPr>
                    <w:t>范围</w:t>
                  </w:r>
                  <w:r>
                    <w:rPr>
                      <w:rFonts w:hint="default" w:ascii="Times New Roman" w:hAnsi="Times New Roman" w:eastAsia="宋体" w:cs="Times New Roman"/>
                      <w:color w:val="000000"/>
                      <w:sz w:val="21"/>
                      <w:szCs w:val="21"/>
                      <w:lang w:bidi="ar"/>
                    </w:rPr>
                    <w:t>内，且本项目不属于钢铁、石化、化工、焦化、建材、有色、制浆造纸等高污染项目。</w:t>
                  </w:r>
                </w:p>
              </w:tc>
              <w:tc>
                <w:tcPr>
                  <w:tcW w:w="508" w:type="pct"/>
                  <w:noWrap w:val="0"/>
                  <w:vAlign w:val="center"/>
                </w:tcPr>
                <w:p w14:paraId="0FF5D419">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143D3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513" w:hRule="atLeast"/>
                <w:jc w:val="center"/>
              </w:trPr>
              <w:tc>
                <w:tcPr>
                  <w:tcW w:w="390" w:type="pct"/>
                  <w:noWrap w:val="0"/>
                  <w:vAlign w:val="center"/>
                </w:tcPr>
                <w:p w14:paraId="49A9AE72">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446" w:type="pct"/>
                  <w:noWrap w:val="0"/>
                  <w:vAlign w:val="center"/>
                </w:tcPr>
                <w:p w14:paraId="79E245DC">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禁止新建、扩建不符合国家石化、现代煤化工等产业布局规划的项目。</w:t>
                  </w:r>
                </w:p>
              </w:tc>
              <w:tc>
                <w:tcPr>
                  <w:tcW w:w="1653" w:type="pct"/>
                  <w:noWrap w:val="0"/>
                  <w:vAlign w:val="center"/>
                </w:tcPr>
                <w:p w14:paraId="7CE37E89">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本项目不属于石化、现代煤化工等不符合国家产业布局规划的项目。</w:t>
                  </w:r>
                </w:p>
              </w:tc>
              <w:tc>
                <w:tcPr>
                  <w:tcW w:w="508" w:type="pct"/>
                  <w:noWrap w:val="0"/>
                  <w:vAlign w:val="center"/>
                </w:tcPr>
                <w:p w14:paraId="37FA715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4FC6DD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1761" w:hRule="atLeast"/>
                <w:jc w:val="center"/>
              </w:trPr>
              <w:tc>
                <w:tcPr>
                  <w:tcW w:w="390" w:type="pct"/>
                  <w:noWrap w:val="0"/>
                  <w:vAlign w:val="center"/>
                </w:tcPr>
                <w:p w14:paraId="50A19DB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446" w:type="pct"/>
                  <w:noWrap w:val="0"/>
                  <w:vAlign w:val="center"/>
                </w:tcPr>
                <w:p w14:paraId="25FB86E3">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禁止新建、扩建法律法规和相关政策明令禁止的落 产能项目。禁止新建、扩建不符合国家产能置换要求的严重过剩产能行业的项目。禁止新建、扩建不符合要求的高耗能高排放项目。</w:t>
                  </w:r>
                </w:p>
              </w:tc>
              <w:tc>
                <w:tcPr>
                  <w:tcW w:w="1653" w:type="pct"/>
                  <w:noWrap w:val="0"/>
                  <w:vAlign w:val="center"/>
                </w:tcPr>
                <w:p w14:paraId="435CEE32">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本项目不属于《产业结构调整指导目录（2024年本）》中淘汰类或限制类项目，项目符合国家产业政策。不属于落后产能项目，不属于过剩产能行业项目，不属于高耗能高排放项目。</w:t>
                  </w:r>
                </w:p>
              </w:tc>
              <w:tc>
                <w:tcPr>
                  <w:tcW w:w="508" w:type="pct"/>
                  <w:noWrap w:val="0"/>
                  <w:vAlign w:val="center"/>
                </w:tcPr>
                <w:p w14:paraId="6D81D0FC">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bl>
          <w:p w14:paraId="6B2CBE75">
            <w:pPr>
              <w:spacing w:line="360" w:lineRule="auto"/>
              <w:ind w:firstLine="42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lang w:val="en-US" w:eastAsia="zh-CN"/>
              </w:rPr>
              <w:t>9</w:t>
            </w:r>
            <w:r>
              <w:rPr>
                <w:rFonts w:hint="default" w:ascii="Times New Roman" w:hAnsi="Times New Roman" w:eastAsia="宋体" w:cs="Times New Roman"/>
                <w:b/>
                <w:bCs/>
                <w:color w:val="000000"/>
                <w:sz w:val="24"/>
              </w:rPr>
              <w:t>、与《中华人民共和国长江保护法》相符性</w:t>
            </w:r>
          </w:p>
          <w:p w14:paraId="65BCAD7E">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根据《中华人民共和国长江保护法》（2020年12月26日颁布，2021年3月1日实施）：</w:t>
            </w:r>
          </w:p>
          <w:p w14:paraId="6EEE7F49">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第二十六条、禁止在长江干流岸线一公里范围内新建、扩建化工园区和化工项目。禁止在长江干流岸线三公里范围内和重要支流一公里范围内新建、改建、扩建尾矿库；但是以提升安全、生态保护水平为目的的改建除外。</w:t>
            </w:r>
          </w:p>
          <w:p w14:paraId="5EF4D5EB">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相符性分析：本项目距离长江</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芜湖段）</w:t>
            </w:r>
            <w:r>
              <w:rPr>
                <w:rFonts w:hint="default" w:ascii="Times New Roman" w:hAnsi="Times New Roman" w:eastAsia="宋体" w:cs="Times New Roman"/>
                <w:color w:val="000000"/>
                <w:sz w:val="24"/>
              </w:rPr>
              <w:t>干流岸线约</w:t>
            </w:r>
            <w:r>
              <w:rPr>
                <w:rFonts w:hint="default" w:ascii="Times New Roman" w:hAnsi="Times New Roman" w:eastAsia="宋体" w:cs="Times New Roman"/>
                <w:color w:val="000000"/>
                <w:sz w:val="24"/>
                <w:lang w:val="en-US" w:eastAsia="zh-CN"/>
              </w:rPr>
              <w:t>2.9k</w:t>
            </w:r>
            <w:r>
              <w:rPr>
                <w:rFonts w:hint="default" w:ascii="Times New Roman" w:hAnsi="Times New Roman" w:eastAsia="宋体" w:cs="Times New Roman"/>
                <w:color w:val="000000"/>
                <w:sz w:val="24"/>
              </w:rPr>
              <w:t>m，项目不在长江干流岸线一公里范围内，且本项目不属于化工项目，不属于尾矿库项目。项目建设符合《中华人民共和国长江保护法》要求。</w:t>
            </w:r>
          </w:p>
          <w:p w14:paraId="15DE8C1C">
            <w:pPr>
              <w:spacing w:line="360" w:lineRule="auto"/>
              <w:ind w:firstLine="420"/>
              <w:rPr>
                <w:rFonts w:hint="default" w:ascii="Times New Roman" w:hAnsi="Times New Roman" w:eastAsia="宋体" w:cs="Times New Roman"/>
                <w:b/>
                <w:bCs/>
                <w:caps w:val="0"/>
                <w:color w:val="000000"/>
                <w:sz w:val="24"/>
                <w:highlight w:val="none"/>
              </w:rPr>
            </w:pPr>
            <w:r>
              <w:rPr>
                <w:rFonts w:hint="default" w:ascii="Times New Roman" w:hAnsi="Times New Roman" w:eastAsia="宋体" w:cs="Times New Roman"/>
                <w:b/>
                <w:bCs/>
                <w:caps w:val="0"/>
                <w:color w:val="000000"/>
                <w:sz w:val="24"/>
                <w:highlight w:val="none"/>
                <w:lang w:val="en-US" w:eastAsia="zh-CN"/>
              </w:rPr>
              <w:t>10</w:t>
            </w:r>
            <w:r>
              <w:rPr>
                <w:rFonts w:hint="default" w:ascii="Times New Roman" w:hAnsi="Times New Roman" w:eastAsia="宋体" w:cs="Times New Roman"/>
                <w:b/>
                <w:bCs/>
                <w:caps w:val="0"/>
                <w:color w:val="000000"/>
                <w:sz w:val="24"/>
                <w:highlight w:val="none"/>
              </w:rPr>
              <w:t>、与《挥发性有机物无组织排放控制标准》（GB 37822-2019）相符性分析</w:t>
            </w:r>
          </w:p>
          <w:p w14:paraId="175B39DB">
            <w:pPr>
              <w:adjustRightInd w:val="0"/>
              <w:snapToGrid w:val="0"/>
              <w:jc w:val="center"/>
              <w:rPr>
                <w:rFonts w:hint="default" w:ascii="Times New Roman" w:hAnsi="Times New Roman" w:eastAsia="宋体" w:cs="Times New Roman"/>
                <w:b/>
                <w:bCs/>
                <w:caps w:val="0"/>
                <w:color w:val="000000"/>
                <w:sz w:val="24"/>
                <w:highlight w:val="none"/>
              </w:rPr>
            </w:pPr>
            <w:r>
              <w:rPr>
                <w:rFonts w:hint="default" w:ascii="Times New Roman" w:hAnsi="Times New Roman" w:eastAsia="宋体" w:cs="Times New Roman"/>
                <w:b/>
                <w:bCs/>
                <w:caps w:val="0"/>
                <w:color w:val="000000"/>
                <w:sz w:val="24"/>
                <w:highlight w:val="none"/>
              </w:rPr>
              <w:t>表1-</w:t>
            </w:r>
            <w:r>
              <w:rPr>
                <w:rFonts w:hint="eastAsia" w:cs="Times New Roman"/>
                <w:b/>
                <w:bCs/>
                <w:caps w:val="0"/>
                <w:color w:val="000000"/>
                <w:sz w:val="24"/>
                <w:highlight w:val="none"/>
                <w:lang w:val="en-US" w:eastAsia="zh-CN"/>
              </w:rPr>
              <w:t>9</w:t>
            </w:r>
            <w:r>
              <w:rPr>
                <w:rFonts w:hint="default" w:ascii="Times New Roman" w:hAnsi="Times New Roman" w:eastAsia="宋体" w:cs="Times New Roman"/>
                <w:b/>
                <w:bCs/>
                <w:caps w:val="0"/>
                <w:color w:val="000000"/>
                <w:sz w:val="24"/>
                <w:highlight w:val="none"/>
                <w:lang w:val="en-US" w:eastAsia="zh-CN"/>
              </w:rPr>
              <w:t xml:space="preserve">  </w:t>
            </w:r>
            <w:r>
              <w:rPr>
                <w:rFonts w:hint="default" w:ascii="Times New Roman" w:hAnsi="Times New Roman" w:eastAsia="宋体" w:cs="Times New Roman"/>
                <w:b/>
                <w:bCs/>
                <w:caps w:val="0"/>
                <w:color w:val="000000"/>
                <w:sz w:val="24"/>
                <w:highlight w:val="none"/>
              </w:rPr>
              <w:t>与《挥发性有机物无组织排放控制标准》（GB 37822-2019）相符性分析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1" w:type="dxa"/>
                <w:left w:w="28" w:type="dxa"/>
                <w:bottom w:w="11" w:type="dxa"/>
                <w:right w:w="28" w:type="dxa"/>
              </w:tblCellMar>
            </w:tblPr>
            <w:tblGrid>
              <w:gridCol w:w="4249"/>
              <w:gridCol w:w="1885"/>
              <w:gridCol w:w="806"/>
            </w:tblGrid>
            <w:tr w14:paraId="6B09B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blHeader/>
                <w:jc w:val="center"/>
              </w:trPr>
              <w:tc>
                <w:tcPr>
                  <w:tcW w:w="3061" w:type="pct"/>
                  <w:tcBorders>
                    <w:tl2br w:val="nil"/>
                    <w:tr2bl w:val="nil"/>
                  </w:tcBorders>
                  <w:noWrap w:val="0"/>
                  <w:vAlign w:val="center"/>
                </w:tcPr>
                <w:p w14:paraId="751B9471">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aps w:val="0"/>
                      <w:color w:val="000000"/>
                      <w:sz w:val="21"/>
                      <w:szCs w:val="21"/>
                      <w:highlight w:val="none"/>
                    </w:rPr>
                  </w:pPr>
                  <w:r>
                    <w:rPr>
                      <w:rFonts w:hint="default" w:ascii="Times New Roman" w:hAnsi="Times New Roman" w:eastAsia="宋体" w:cs="Times New Roman"/>
                      <w:b/>
                      <w:bCs/>
                      <w:caps w:val="0"/>
                      <w:color w:val="000000"/>
                      <w:sz w:val="21"/>
                      <w:szCs w:val="21"/>
                      <w:highlight w:val="none"/>
                    </w:rPr>
                    <w:t>文件要求</w:t>
                  </w:r>
                </w:p>
              </w:tc>
              <w:tc>
                <w:tcPr>
                  <w:tcW w:w="1358" w:type="pct"/>
                  <w:tcBorders>
                    <w:tl2br w:val="nil"/>
                    <w:tr2bl w:val="nil"/>
                  </w:tcBorders>
                  <w:noWrap w:val="0"/>
                  <w:vAlign w:val="center"/>
                </w:tcPr>
                <w:p w14:paraId="3FB6678F">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aps w:val="0"/>
                      <w:color w:val="000000"/>
                      <w:sz w:val="21"/>
                      <w:szCs w:val="21"/>
                      <w:highlight w:val="none"/>
                    </w:rPr>
                  </w:pPr>
                  <w:r>
                    <w:rPr>
                      <w:rFonts w:hint="default" w:ascii="Times New Roman" w:hAnsi="Times New Roman" w:eastAsia="宋体" w:cs="Times New Roman"/>
                      <w:b/>
                      <w:bCs/>
                      <w:caps w:val="0"/>
                      <w:color w:val="000000"/>
                      <w:sz w:val="21"/>
                      <w:szCs w:val="21"/>
                      <w:highlight w:val="none"/>
                    </w:rPr>
                    <w:t>本项目情况</w:t>
                  </w:r>
                </w:p>
              </w:tc>
              <w:tc>
                <w:tcPr>
                  <w:tcW w:w="581" w:type="pct"/>
                  <w:tcBorders>
                    <w:tl2br w:val="nil"/>
                    <w:tr2bl w:val="nil"/>
                  </w:tcBorders>
                  <w:noWrap w:val="0"/>
                  <w:vAlign w:val="center"/>
                </w:tcPr>
                <w:p w14:paraId="396308BB">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aps w:val="0"/>
                      <w:color w:val="000000"/>
                      <w:sz w:val="21"/>
                      <w:szCs w:val="21"/>
                      <w:highlight w:val="none"/>
                    </w:rPr>
                  </w:pPr>
                  <w:r>
                    <w:rPr>
                      <w:rFonts w:hint="default" w:ascii="Times New Roman" w:hAnsi="Times New Roman" w:eastAsia="宋体" w:cs="Times New Roman"/>
                      <w:b/>
                      <w:bCs/>
                      <w:caps w:val="0"/>
                      <w:color w:val="000000"/>
                      <w:sz w:val="21"/>
                      <w:szCs w:val="21"/>
                      <w:highlight w:val="none"/>
                    </w:rPr>
                    <w:t>相符性</w:t>
                  </w:r>
                </w:p>
              </w:tc>
            </w:tr>
            <w:tr w14:paraId="290CD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noWrap w:val="0"/>
                  <w:vAlign w:val="center"/>
                </w:tcPr>
                <w:p w14:paraId="6039572D">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1、VOCs 物料应储存于密闭的容器、包装袋、储罐、储库、料仓中。</w:t>
                  </w:r>
                </w:p>
                <w:p w14:paraId="1FFAAF72">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2、盛装 VOCs 物料的容器或包装袋应存放于室内，或存放于设置有雨棚、遮阳和防渗设施的专用场地。盛装VOCs物料的容器或包装袋在非取用状态时应加盖、封口，保持密闭。</w:t>
                  </w:r>
                </w:p>
              </w:tc>
              <w:tc>
                <w:tcPr>
                  <w:tcW w:w="1358" w:type="pct"/>
                  <w:tcBorders>
                    <w:tl2br w:val="nil"/>
                    <w:tr2bl w:val="nil"/>
                  </w:tcBorders>
                  <w:noWrap w:val="0"/>
                  <w:vAlign w:val="center"/>
                </w:tcPr>
                <w:p w14:paraId="227648FF">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center"/>
                    <w:textAlignment w:val="auto"/>
                    <w:rPr>
                      <w:rFonts w:hint="default" w:ascii="Times New Roman" w:hAnsi="Times New Roman" w:eastAsia="宋体" w:cs="Times New Roman"/>
                      <w:caps w:val="0"/>
                      <w:color w:val="auto"/>
                      <w:sz w:val="21"/>
                      <w:szCs w:val="21"/>
                      <w:highlight w:val="none"/>
                      <w:lang w:val="en-US" w:bidi="ar"/>
                    </w:rPr>
                  </w:pPr>
                  <w:r>
                    <w:rPr>
                      <w:rFonts w:hint="default" w:ascii="Times New Roman" w:hAnsi="Times New Roman" w:eastAsia="宋体" w:cs="Times New Roman"/>
                      <w:caps w:val="0"/>
                      <w:color w:val="auto"/>
                      <w:sz w:val="21"/>
                      <w:szCs w:val="21"/>
                      <w:highlight w:val="none"/>
                      <w:lang w:bidi="ar"/>
                    </w:rPr>
                    <w:t>项目涉VOCs物料储存于密闭的包装桶内。</w:t>
                  </w:r>
                  <w:r>
                    <w:rPr>
                      <w:rFonts w:hint="default" w:ascii="Times New Roman" w:hAnsi="Times New Roman" w:eastAsia="宋体" w:cs="Times New Roman"/>
                      <w:caps w:val="0"/>
                      <w:color w:val="auto"/>
                      <w:sz w:val="21"/>
                      <w:szCs w:val="21"/>
                      <w:highlight w:val="none"/>
                      <w:lang w:val="en-US" w:eastAsia="zh-CN" w:bidi="ar"/>
                    </w:rPr>
                    <w:t>包装桶存放于化学品库中，废包装桶存放于危废库中。</w:t>
                  </w:r>
                </w:p>
              </w:tc>
              <w:tc>
                <w:tcPr>
                  <w:tcW w:w="581" w:type="pct"/>
                  <w:tcBorders>
                    <w:tl2br w:val="nil"/>
                    <w:tr2bl w:val="nil"/>
                  </w:tcBorders>
                  <w:noWrap w:val="0"/>
                  <w:vAlign w:val="center"/>
                </w:tcPr>
                <w:p w14:paraId="0D74600A">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aps w:val="0"/>
                      <w:color w:val="000000"/>
                      <w:kern w:val="0"/>
                      <w:sz w:val="21"/>
                      <w:szCs w:val="21"/>
                      <w:highlight w:val="none"/>
                    </w:rPr>
                  </w:pPr>
                  <w:r>
                    <w:rPr>
                      <w:rFonts w:hint="default" w:ascii="Times New Roman" w:hAnsi="Times New Roman" w:eastAsia="宋体" w:cs="Times New Roman"/>
                      <w:caps w:val="0"/>
                      <w:color w:val="000000"/>
                      <w:kern w:val="0"/>
                      <w:sz w:val="21"/>
                      <w:szCs w:val="21"/>
                      <w:highlight w:val="none"/>
                    </w:rPr>
                    <w:t>相符</w:t>
                  </w:r>
                </w:p>
              </w:tc>
            </w:tr>
            <w:tr w14:paraId="1ABDE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noWrap w:val="0"/>
                  <w:vAlign w:val="center"/>
                </w:tcPr>
                <w:p w14:paraId="23E43F3B">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1、液态VOCs物料应采用密闭管道输送。采用非管道输送方式转移液态 VOCs物料时，应采用密闭容器、罐车。</w:t>
                  </w:r>
                </w:p>
                <w:p w14:paraId="0FD6F53D">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2、粉状、粒状VOCs物料应采用气力输送设备、管状带式输送机、螺旋输送机等密闭输送方式，或者采用密闭的包装袋、容器或罐车进行物料转移。</w:t>
                  </w:r>
                </w:p>
              </w:tc>
              <w:tc>
                <w:tcPr>
                  <w:tcW w:w="1358" w:type="pct"/>
                  <w:tcBorders>
                    <w:tl2br w:val="nil"/>
                    <w:tr2bl w:val="nil"/>
                  </w:tcBorders>
                  <w:noWrap w:val="0"/>
                  <w:vAlign w:val="center"/>
                </w:tcPr>
                <w:p w14:paraId="7D34D4AA">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center"/>
                    <w:textAlignment w:val="auto"/>
                    <w:rPr>
                      <w:rFonts w:hint="default" w:ascii="Times New Roman" w:hAnsi="Times New Roman" w:eastAsia="宋体" w:cs="Times New Roman"/>
                      <w:caps w:val="0"/>
                      <w:color w:val="auto"/>
                      <w:sz w:val="21"/>
                      <w:szCs w:val="21"/>
                      <w:highlight w:val="none"/>
                      <w:lang w:bidi="ar"/>
                    </w:rPr>
                  </w:pPr>
                  <w:r>
                    <w:rPr>
                      <w:rFonts w:hint="default" w:ascii="Times New Roman" w:hAnsi="Times New Roman" w:eastAsia="宋体" w:cs="Times New Roman"/>
                      <w:caps w:val="0"/>
                      <w:color w:val="auto"/>
                      <w:sz w:val="21"/>
                      <w:szCs w:val="21"/>
                      <w:highlight w:val="none"/>
                      <w:lang w:bidi="ar"/>
                    </w:rPr>
                    <w:t>项目涉VOCs 物料储存于密闭的包装桶内。</w:t>
                  </w:r>
                </w:p>
              </w:tc>
              <w:tc>
                <w:tcPr>
                  <w:tcW w:w="581" w:type="pct"/>
                  <w:tcBorders>
                    <w:tl2br w:val="nil"/>
                    <w:tr2bl w:val="nil"/>
                  </w:tcBorders>
                  <w:noWrap w:val="0"/>
                  <w:vAlign w:val="center"/>
                </w:tcPr>
                <w:p w14:paraId="7953DCD8">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aps w:val="0"/>
                      <w:color w:val="000000"/>
                      <w:kern w:val="0"/>
                      <w:sz w:val="21"/>
                      <w:szCs w:val="21"/>
                      <w:highlight w:val="none"/>
                    </w:rPr>
                  </w:pPr>
                  <w:r>
                    <w:rPr>
                      <w:rFonts w:hint="default" w:ascii="Times New Roman" w:hAnsi="Times New Roman" w:eastAsia="宋体" w:cs="Times New Roman"/>
                      <w:caps w:val="0"/>
                      <w:color w:val="000000"/>
                      <w:kern w:val="0"/>
                      <w:sz w:val="21"/>
                      <w:szCs w:val="21"/>
                      <w:highlight w:val="none"/>
                    </w:rPr>
                    <w:t>相符</w:t>
                  </w:r>
                </w:p>
              </w:tc>
            </w:tr>
            <w:tr w14:paraId="5613B8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noWrap w:val="0"/>
                  <w:vAlign w:val="center"/>
                </w:tcPr>
                <w:p w14:paraId="5659BE4C">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1、液态 VOCs 物料应采用密闭管道输送方式或采用高位槽（罐）、桶泵等给料方式密闭投加。无法密闭投加的，应在密闭空间内操作，或进行局部气体收集，废气应排至 VOCs废气收集处理系统。</w:t>
                  </w:r>
                </w:p>
                <w:p w14:paraId="620DAB93">
                  <w:pPr>
                    <w:keepNext w:val="0"/>
                    <w:keepLines w:val="0"/>
                    <w:pageBreakBefore w:val="0"/>
                    <w:widowControl/>
                    <w:kinsoku/>
                    <w:wordWrap/>
                    <w:overflowPunct/>
                    <w:topLinePunct w:val="0"/>
                    <w:autoSpaceDE/>
                    <w:autoSpaceDN/>
                    <w:bidi w:val="0"/>
                    <w:spacing w:line="240" w:lineRule="auto"/>
                    <w:ind w:right="0" w:firstLine="0" w:firstLineChars="0"/>
                    <w:jc w:val="center"/>
                    <w:textAlignment w:val="auto"/>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2、粉状、粒状 VOCs 物料应采用气力输送方式或采用密闭固体投料器等给料方式密闭投加。无法密闭投加的，应在密闭空间内操作，或进行局部气体收集，废气应排至除尘设施、VOCs废气收集处理系统。</w:t>
                  </w:r>
                </w:p>
              </w:tc>
              <w:tc>
                <w:tcPr>
                  <w:tcW w:w="1358" w:type="pct"/>
                  <w:tcBorders>
                    <w:tl2br w:val="nil"/>
                    <w:tr2bl w:val="nil"/>
                  </w:tcBorders>
                  <w:noWrap w:val="0"/>
                  <w:vAlign w:val="center"/>
                </w:tcPr>
                <w:p w14:paraId="512CD6DC">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center"/>
                    <w:textAlignment w:val="auto"/>
                    <w:rPr>
                      <w:rFonts w:hint="default" w:ascii="Times New Roman" w:hAnsi="Times New Roman" w:eastAsia="宋体" w:cs="Times New Roman"/>
                      <w:caps w:val="0"/>
                      <w:color w:val="auto"/>
                      <w:sz w:val="21"/>
                      <w:szCs w:val="21"/>
                      <w:highlight w:val="none"/>
                      <w:lang w:bidi="ar"/>
                    </w:rPr>
                  </w:pPr>
                  <w:r>
                    <w:rPr>
                      <w:rFonts w:hint="default" w:ascii="Times New Roman" w:hAnsi="Times New Roman" w:eastAsia="宋体" w:cs="Times New Roman"/>
                      <w:caps w:val="0"/>
                      <w:color w:val="auto"/>
                      <w:sz w:val="21"/>
                      <w:szCs w:val="21"/>
                      <w:highlight w:val="none"/>
                      <w:lang w:val="en-US" w:eastAsia="zh-CN" w:bidi="ar"/>
                    </w:rPr>
                    <w:t>项目产生的</w:t>
                  </w:r>
                  <w:r>
                    <w:rPr>
                      <w:rFonts w:hint="default" w:ascii="Times New Roman" w:hAnsi="Times New Roman" w:eastAsia="宋体" w:cs="Times New Roman"/>
                      <w:caps w:val="0"/>
                      <w:color w:val="auto"/>
                      <w:sz w:val="21"/>
                      <w:szCs w:val="21"/>
                      <w:highlight w:val="none"/>
                      <w:lang w:bidi="ar"/>
                    </w:rPr>
                    <w:t>有机</w:t>
                  </w:r>
                  <w:r>
                    <w:rPr>
                      <w:rFonts w:hint="default" w:ascii="Times New Roman" w:hAnsi="Times New Roman" w:eastAsia="宋体" w:cs="Times New Roman"/>
                      <w:caps w:val="0"/>
                      <w:color w:val="auto"/>
                      <w:sz w:val="21"/>
                      <w:szCs w:val="21"/>
                      <w:highlight w:val="none"/>
                    </w:rPr>
                    <w:t>废气收集后经</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二级活性炭吸附</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处理，尾气经</w:t>
                  </w:r>
                  <w:r>
                    <w:rPr>
                      <w:rFonts w:hint="default" w:ascii="Times New Roman" w:hAnsi="Times New Roman" w:eastAsia="宋体" w:cs="Times New Roman"/>
                      <w:caps w:val="0"/>
                      <w:color w:val="auto"/>
                      <w:sz w:val="21"/>
                      <w:szCs w:val="21"/>
                      <w:highlight w:val="none"/>
                      <w:lang w:val="en-US" w:eastAsia="zh-CN"/>
                    </w:rPr>
                    <w:t>15</w:t>
                  </w:r>
                  <w:r>
                    <w:rPr>
                      <w:rFonts w:hint="default" w:ascii="Times New Roman" w:hAnsi="Times New Roman" w:eastAsia="宋体" w:cs="Times New Roman"/>
                      <w:caps w:val="0"/>
                      <w:color w:val="auto"/>
                      <w:sz w:val="21"/>
                      <w:szCs w:val="21"/>
                      <w:highlight w:val="none"/>
                    </w:rPr>
                    <w:t>米高排气筒排放。</w:t>
                  </w:r>
                </w:p>
              </w:tc>
              <w:tc>
                <w:tcPr>
                  <w:tcW w:w="581" w:type="pct"/>
                  <w:tcBorders>
                    <w:tl2br w:val="nil"/>
                    <w:tr2bl w:val="nil"/>
                  </w:tcBorders>
                  <w:noWrap w:val="0"/>
                  <w:vAlign w:val="center"/>
                </w:tcPr>
                <w:p w14:paraId="17DF8500">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aps w:val="0"/>
                      <w:color w:val="000000"/>
                      <w:kern w:val="0"/>
                      <w:sz w:val="21"/>
                      <w:szCs w:val="21"/>
                      <w:highlight w:val="none"/>
                    </w:rPr>
                  </w:pPr>
                  <w:r>
                    <w:rPr>
                      <w:rFonts w:hint="default" w:ascii="Times New Roman" w:hAnsi="Times New Roman" w:eastAsia="宋体" w:cs="Times New Roman"/>
                      <w:caps w:val="0"/>
                      <w:color w:val="000000"/>
                      <w:kern w:val="0"/>
                      <w:sz w:val="21"/>
                      <w:szCs w:val="21"/>
                      <w:highlight w:val="none"/>
                    </w:rPr>
                    <w:t>相符</w:t>
                  </w:r>
                </w:p>
              </w:tc>
            </w:tr>
          </w:tbl>
          <w:p w14:paraId="64D31D71">
            <w:pPr>
              <w:adjustRightInd w:val="0"/>
              <w:snapToGrid w:val="0"/>
              <w:spacing w:line="360" w:lineRule="auto"/>
              <w:ind w:firstLine="482" w:firstLineChars="200"/>
              <w:rPr>
                <w:rFonts w:hint="default" w:ascii="Times New Roman" w:hAnsi="Times New Roman" w:eastAsia="宋体" w:cs="Times New Roman"/>
                <w:b/>
                <w:bCs/>
                <w:caps w:val="0"/>
                <w:color w:val="000000"/>
                <w:sz w:val="24"/>
              </w:rPr>
            </w:pPr>
            <w:r>
              <w:rPr>
                <w:rFonts w:hint="default" w:ascii="Times New Roman" w:hAnsi="Times New Roman" w:eastAsia="宋体" w:cs="Times New Roman"/>
                <w:b/>
                <w:bCs/>
                <w:caps w:val="0"/>
                <w:color w:val="000000"/>
                <w:sz w:val="24"/>
                <w:lang w:val="en-US" w:eastAsia="zh-CN"/>
              </w:rPr>
              <w:t>12</w:t>
            </w:r>
            <w:r>
              <w:rPr>
                <w:rFonts w:hint="default" w:ascii="Times New Roman" w:hAnsi="Times New Roman" w:eastAsia="宋体" w:cs="Times New Roman"/>
                <w:b/>
                <w:bCs/>
                <w:caps w:val="0"/>
                <w:color w:val="000000"/>
                <w:sz w:val="24"/>
              </w:rPr>
              <w:t>、与《安徽省挥发性有机物污染整治工作方案》相符性</w:t>
            </w:r>
          </w:p>
          <w:p w14:paraId="19BB6FCC">
            <w:pPr>
              <w:jc w:val="center"/>
              <w:rPr>
                <w:rFonts w:hint="default" w:ascii="Times New Roman" w:hAnsi="Times New Roman" w:eastAsia="宋体" w:cs="Times New Roman"/>
                <w:b/>
                <w:caps w:val="0"/>
                <w:color w:val="000000"/>
                <w:sz w:val="24"/>
              </w:rPr>
            </w:pPr>
            <w:r>
              <w:rPr>
                <w:rFonts w:hint="default" w:ascii="Times New Roman" w:hAnsi="Times New Roman" w:eastAsia="宋体" w:cs="Times New Roman"/>
                <w:b/>
                <w:caps w:val="0"/>
                <w:color w:val="000000"/>
                <w:sz w:val="24"/>
              </w:rPr>
              <w:t>表1-</w:t>
            </w:r>
            <w:r>
              <w:rPr>
                <w:rFonts w:hint="eastAsia" w:cs="Times New Roman"/>
                <w:b/>
                <w:caps w:val="0"/>
                <w:color w:val="000000"/>
                <w:sz w:val="24"/>
                <w:lang w:val="en-US" w:eastAsia="zh-CN"/>
              </w:rPr>
              <w:t>10</w:t>
            </w:r>
            <w:r>
              <w:rPr>
                <w:rFonts w:hint="default" w:ascii="Times New Roman" w:hAnsi="Times New Roman" w:eastAsia="宋体" w:cs="Times New Roman"/>
                <w:b/>
                <w:caps w:val="0"/>
                <w:color w:val="000000"/>
                <w:sz w:val="24"/>
              </w:rPr>
              <w:t xml:space="preserve">  项目与《安徽省挥发性有机物污染整治工作方案》相符性分析</w:t>
            </w:r>
          </w:p>
          <w:tbl>
            <w:tblPr>
              <w:tblStyle w:val="58"/>
              <w:tblW w:w="69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92"/>
              <w:gridCol w:w="2487"/>
            </w:tblGrid>
            <w:tr w14:paraId="284F2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492" w:type="dxa"/>
                  <w:tcBorders>
                    <w:tl2br w:val="nil"/>
                    <w:tr2bl w:val="nil"/>
                  </w:tcBorders>
                  <w:noWrap w:val="0"/>
                  <w:vAlign w:val="center"/>
                </w:tcPr>
                <w:p w14:paraId="739688CC">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《安徽省挥发性有机物污染整治工作方案》要求</w:t>
                  </w:r>
                </w:p>
              </w:tc>
              <w:tc>
                <w:tcPr>
                  <w:tcW w:w="2487" w:type="dxa"/>
                  <w:tcBorders>
                    <w:tl2br w:val="nil"/>
                    <w:tr2bl w:val="nil"/>
                  </w:tcBorders>
                  <w:noWrap w:val="0"/>
                  <w:vAlign w:val="center"/>
                </w:tcPr>
                <w:p w14:paraId="2B60AD82">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本项目相符性分析</w:t>
                  </w:r>
                </w:p>
              </w:tc>
            </w:tr>
            <w:tr w14:paraId="0CD23A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4492" w:type="dxa"/>
                  <w:tcBorders>
                    <w:tl2br w:val="nil"/>
                    <w:tr2bl w:val="nil"/>
                  </w:tcBorders>
                  <w:noWrap w:val="0"/>
                  <w:vAlign w:val="center"/>
                </w:tcPr>
                <w:p w14:paraId="563638F3">
                  <w:pPr>
                    <w:jc w:val="center"/>
                    <w:rPr>
                      <w:rFonts w:hint="default" w:ascii="Times New Roman" w:hAnsi="Times New Roman" w:eastAsia="宋体" w:cs="Times New Roman"/>
                      <w:caps w:val="0"/>
                      <w:color w:val="000000"/>
                      <w:spacing w:val="-4"/>
                      <w:sz w:val="21"/>
                      <w:szCs w:val="21"/>
                      <w:highlight w:val="none"/>
                    </w:rPr>
                  </w:pPr>
                  <w:r>
                    <w:rPr>
                      <w:rFonts w:hint="default" w:ascii="Times New Roman" w:hAnsi="Times New Roman" w:eastAsia="宋体" w:cs="Times New Roman"/>
                      <w:caps w:val="0"/>
                      <w:color w:val="000000"/>
                      <w:sz w:val="21"/>
                      <w:szCs w:val="21"/>
                      <w:highlight w:val="none"/>
                    </w:rPr>
                    <w:t>将控制挥发性有机物排放列入建设项目环境影响评价重要内容，严格环境准入，严控</w:t>
                  </w:r>
                  <w:r>
                    <w:rPr>
                      <w:rFonts w:hint="default" w:ascii="Times New Roman" w:hAnsi="Times New Roman" w:eastAsia="宋体" w:cs="Times New Roman"/>
                      <w:caps w:val="0"/>
                      <w:color w:val="000000"/>
                      <w:sz w:val="21"/>
                      <w:szCs w:val="21"/>
                      <w:highlight w:val="none"/>
                      <w:lang w:eastAsia="zh-CN"/>
                    </w:rPr>
                    <w:t>“</w:t>
                  </w:r>
                  <w:r>
                    <w:rPr>
                      <w:rFonts w:hint="default" w:ascii="Times New Roman" w:hAnsi="Times New Roman" w:eastAsia="宋体" w:cs="Times New Roman"/>
                      <w:caps w:val="0"/>
                      <w:color w:val="000000"/>
                      <w:sz w:val="21"/>
                      <w:szCs w:val="21"/>
                      <w:highlight w:val="none"/>
                    </w:rPr>
                    <w:t>两高</w:t>
                  </w:r>
                  <w:r>
                    <w:rPr>
                      <w:rFonts w:hint="default" w:ascii="Times New Roman" w:hAnsi="Times New Roman" w:eastAsia="宋体" w:cs="Times New Roman"/>
                      <w:caps w:val="0"/>
                      <w:color w:val="000000"/>
                      <w:sz w:val="21"/>
                      <w:szCs w:val="21"/>
                      <w:highlight w:val="none"/>
                      <w:lang w:eastAsia="zh-CN"/>
                    </w:rPr>
                    <w:t>”</w:t>
                  </w:r>
                  <w:r>
                    <w:rPr>
                      <w:rFonts w:hint="default" w:ascii="Times New Roman" w:hAnsi="Times New Roman" w:eastAsia="宋体" w:cs="Times New Roman"/>
                      <w:caps w:val="0"/>
                      <w:color w:val="000000"/>
                      <w:sz w:val="21"/>
                      <w:szCs w:val="21"/>
                      <w:highlight w:val="none"/>
                    </w:rPr>
                    <w:t>行业新增产能。新建、迁建VOCs排放量大的企业应入工业园区并符合规划要求，必须建设挥发性有机物污染治理设施，安装废气收集、回收或净化装置，原则上总净化效率不得低于90%。建立VOCs排放总量控制制度。</w:t>
                  </w:r>
                </w:p>
              </w:tc>
              <w:tc>
                <w:tcPr>
                  <w:tcW w:w="2487" w:type="dxa"/>
                  <w:tcBorders>
                    <w:tl2br w:val="nil"/>
                    <w:tr2bl w:val="nil"/>
                  </w:tcBorders>
                  <w:noWrap w:val="0"/>
                  <w:vAlign w:val="center"/>
                </w:tcPr>
                <w:p w14:paraId="01F49A7E">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aps w:val="0"/>
                      <w:color w:val="auto"/>
                      <w:spacing w:val="-4"/>
                      <w:sz w:val="21"/>
                      <w:szCs w:val="21"/>
                      <w:highlight w:val="yellow"/>
                      <w:lang w:eastAsia="zh-CN"/>
                    </w:rPr>
                  </w:pPr>
                  <w:r>
                    <w:rPr>
                      <w:rFonts w:hint="default" w:ascii="Times New Roman" w:hAnsi="Times New Roman" w:eastAsia="宋体" w:cs="Times New Roman"/>
                      <w:caps w:val="0"/>
                      <w:color w:val="auto"/>
                      <w:sz w:val="21"/>
                      <w:szCs w:val="21"/>
                      <w:highlight w:val="none"/>
                    </w:rPr>
                    <w:t>本项目不属于</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两高</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行业，</w:t>
                  </w:r>
                  <w:r>
                    <w:rPr>
                      <w:rFonts w:hint="default" w:ascii="Times New Roman" w:hAnsi="Times New Roman" w:eastAsia="宋体" w:cs="Times New Roman"/>
                      <w:caps w:val="0"/>
                      <w:color w:val="auto"/>
                      <w:sz w:val="21"/>
                      <w:szCs w:val="21"/>
                      <w:highlight w:val="none"/>
                      <w:lang w:val="en-US" w:eastAsia="zh-CN"/>
                    </w:rPr>
                    <w:t>本</w:t>
                  </w:r>
                  <w:r>
                    <w:rPr>
                      <w:rFonts w:hint="default" w:ascii="Times New Roman" w:hAnsi="Times New Roman" w:eastAsia="宋体" w:cs="Times New Roman"/>
                      <w:caps w:val="0"/>
                      <w:color w:val="auto"/>
                      <w:sz w:val="21"/>
                      <w:szCs w:val="21"/>
                      <w:highlight w:val="none"/>
                    </w:rPr>
                    <w:t>项目</w:t>
                  </w:r>
                  <w:r>
                    <w:rPr>
                      <w:rFonts w:hint="default" w:ascii="Times New Roman" w:hAnsi="Times New Roman" w:eastAsia="宋体" w:cs="Times New Roman"/>
                      <w:caps w:val="0"/>
                      <w:color w:val="auto"/>
                      <w:sz w:val="21"/>
                      <w:szCs w:val="21"/>
                      <w:highlight w:val="none"/>
                      <w:lang w:val="en-US" w:eastAsia="zh-CN"/>
                    </w:rPr>
                    <w:t>属于</w:t>
                  </w:r>
                  <w:r>
                    <w:rPr>
                      <w:rFonts w:hint="default" w:ascii="Times New Roman" w:hAnsi="Times New Roman" w:eastAsia="宋体" w:cs="Times New Roman"/>
                      <w:color w:val="auto"/>
                      <w:kern w:val="0"/>
                      <w:sz w:val="21"/>
                      <w:szCs w:val="21"/>
                    </w:rPr>
                    <w:t>塑料零件及其他塑料制品制造刷</w:t>
                  </w:r>
                  <w:r>
                    <w:rPr>
                      <w:rFonts w:hint="default" w:ascii="Times New Roman" w:hAnsi="Times New Roman" w:eastAsia="宋体" w:cs="Times New Roman"/>
                      <w:caps w:val="0"/>
                      <w:color w:val="auto"/>
                      <w:sz w:val="21"/>
                      <w:szCs w:val="21"/>
                      <w:highlight w:val="none"/>
                    </w:rPr>
                    <w:t>，符合</w:t>
                  </w:r>
                  <w:r>
                    <w:rPr>
                      <w:rFonts w:hint="default" w:ascii="Times New Roman" w:hAnsi="Times New Roman" w:eastAsia="宋体" w:cs="Times New Roman"/>
                      <w:caps w:val="0"/>
                      <w:color w:val="auto"/>
                      <w:sz w:val="21"/>
                      <w:szCs w:val="21"/>
                      <w:highlight w:val="none"/>
                      <w:lang w:val="en-US" w:eastAsia="zh-CN"/>
                    </w:rPr>
                    <w:t>园区</w:t>
                  </w:r>
                  <w:r>
                    <w:rPr>
                      <w:rFonts w:hint="default" w:ascii="Times New Roman" w:hAnsi="Times New Roman" w:eastAsia="宋体" w:cs="Times New Roman"/>
                      <w:caps w:val="0"/>
                      <w:color w:val="auto"/>
                      <w:sz w:val="21"/>
                      <w:szCs w:val="21"/>
                      <w:highlight w:val="none"/>
                    </w:rPr>
                    <w:t>产业政策和规划要求。</w:t>
                  </w:r>
                  <w:r>
                    <w:rPr>
                      <w:rFonts w:hint="default" w:ascii="Times New Roman" w:hAnsi="Times New Roman" w:eastAsia="宋体" w:cs="Times New Roman"/>
                      <w:caps w:val="0"/>
                      <w:color w:val="auto"/>
                      <w:sz w:val="21"/>
                      <w:szCs w:val="21"/>
                      <w:highlight w:val="none"/>
                      <w:lang w:val="en-US" w:eastAsia="zh-CN"/>
                    </w:rPr>
                    <w:t>本</w:t>
                  </w:r>
                  <w:r>
                    <w:rPr>
                      <w:rFonts w:hint="default" w:ascii="Times New Roman" w:hAnsi="Times New Roman" w:eastAsia="宋体" w:cs="Times New Roman"/>
                      <w:caps w:val="0"/>
                      <w:color w:val="auto"/>
                      <w:sz w:val="21"/>
                      <w:szCs w:val="21"/>
                      <w:highlight w:val="none"/>
                    </w:rPr>
                    <w:t>项目</w:t>
                  </w:r>
                  <w:r>
                    <w:rPr>
                      <w:rFonts w:hint="default" w:ascii="Times New Roman" w:hAnsi="Times New Roman" w:eastAsia="宋体" w:cs="Times New Roman"/>
                      <w:caps w:val="0"/>
                      <w:color w:val="auto"/>
                      <w:sz w:val="21"/>
                      <w:szCs w:val="21"/>
                      <w:highlight w:val="none"/>
                      <w:lang w:val="en-US" w:eastAsia="zh-CN"/>
                    </w:rPr>
                    <w:t>所有挥发性有机物净化装置净化效率均不低于90%</w:t>
                  </w:r>
                  <w:r>
                    <w:rPr>
                      <w:rFonts w:hint="default" w:ascii="Times New Roman" w:hAnsi="Times New Roman" w:eastAsia="宋体" w:cs="Times New Roman"/>
                      <w:caps w:val="0"/>
                      <w:color w:val="auto"/>
                      <w:sz w:val="21"/>
                      <w:szCs w:val="21"/>
                      <w:highlight w:val="none"/>
                    </w:rPr>
                    <w:t>。</w:t>
                  </w:r>
                  <w:r>
                    <w:rPr>
                      <w:rFonts w:hint="default" w:ascii="Times New Roman" w:hAnsi="Times New Roman" w:eastAsia="宋体" w:cs="Times New Roman"/>
                      <w:caps w:val="0"/>
                      <w:color w:val="auto"/>
                      <w:sz w:val="21"/>
                      <w:szCs w:val="21"/>
                      <w:highlight w:val="none"/>
                      <w:lang w:val="en-US" w:eastAsia="zh-CN"/>
                    </w:rPr>
                    <w:t>本</w:t>
                  </w:r>
                  <w:r>
                    <w:rPr>
                      <w:rFonts w:hint="default" w:ascii="Times New Roman" w:hAnsi="Times New Roman" w:eastAsia="宋体" w:cs="Times New Roman"/>
                      <w:caps w:val="0"/>
                      <w:color w:val="auto"/>
                      <w:sz w:val="21"/>
                      <w:szCs w:val="21"/>
                      <w:highlight w:val="none"/>
                    </w:rPr>
                    <w:t>项目实施总量控制制度。</w:t>
                  </w:r>
                </w:p>
              </w:tc>
            </w:tr>
            <w:tr w14:paraId="5395A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9" w:hRule="atLeast"/>
                <w:jc w:val="center"/>
              </w:trPr>
              <w:tc>
                <w:tcPr>
                  <w:tcW w:w="4492" w:type="dxa"/>
                  <w:tcBorders>
                    <w:tl2br w:val="nil"/>
                    <w:tr2bl w:val="nil"/>
                  </w:tcBorders>
                  <w:noWrap w:val="0"/>
                  <w:vAlign w:val="center"/>
                </w:tcPr>
                <w:p w14:paraId="54E5523C">
                  <w:pPr>
                    <w:jc w:val="center"/>
                    <w:rPr>
                      <w:rFonts w:hint="default" w:ascii="Times New Roman" w:hAnsi="Times New Roman" w:eastAsia="宋体" w:cs="Times New Roman"/>
                      <w:caps w:val="0"/>
                      <w:color w:val="000000"/>
                      <w:spacing w:val="-4"/>
                      <w:sz w:val="21"/>
                      <w:szCs w:val="21"/>
                    </w:rPr>
                  </w:pPr>
                  <w:r>
                    <w:rPr>
                      <w:rFonts w:hint="default" w:ascii="Times New Roman" w:hAnsi="Times New Roman" w:eastAsia="宋体" w:cs="Times New Roman"/>
                      <w:caps w:val="0"/>
                      <w:color w:val="000000"/>
                      <w:sz w:val="21"/>
                      <w:szCs w:val="21"/>
                    </w:rPr>
                    <w:t>严格按照《挥发性有机物（VOCs）污染防治技术政策》要求，科学制定重点行业、重点企业污染防治技术方案。采用密闭式生产和环保型原辅材料、生产工艺和装备，着力从源头控制VOCs废气的产生和无组织排放。加大VOCs废气的回收利用，优先在生产系统内回用。对浓度和性状差异大的废气应根据废气的产生量、污染物的组分和性质、浓度、温度、压力等因素进行综合分析，合理选择废气回收或末端治理工艺路线，科学治理，达标排放。要妥善处置次生污染物，防范二次污染。</w:t>
                  </w:r>
                </w:p>
              </w:tc>
              <w:tc>
                <w:tcPr>
                  <w:tcW w:w="2487" w:type="dxa"/>
                  <w:tcBorders>
                    <w:tl2br w:val="nil"/>
                    <w:tr2bl w:val="nil"/>
                  </w:tcBorders>
                  <w:noWrap w:val="0"/>
                  <w:vAlign w:val="center"/>
                </w:tcPr>
                <w:p w14:paraId="38ACF9A4">
                  <w:pPr>
                    <w:pStyle w:val="23"/>
                    <w:adjustRightInd w:val="0"/>
                    <w:spacing w:before="0" w:after="0" w:line="240" w:lineRule="auto"/>
                    <w:ind w:right="0" w:rightChars="0"/>
                    <w:jc w:val="left"/>
                    <w:rPr>
                      <w:rFonts w:hint="default" w:ascii="Times New Roman" w:hAnsi="Times New Roman" w:eastAsia="宋体" w:cs="Times New Roman"/>
                      <w:caps w:val="0"/>
                      <w:color w:val="auto"/>
                      <w:spacing w:val="-4"/>
                      <w:sz w:val="21"/>
                      <w:szCs w:val="21"/>
                      <w:highlight w:val="yellow"/>
                    </w:rPr>
                  </w:pPr>
                  <w:r>
                    <w:rPr>
                      <w:rFonts w:hint="default" w:ascii="Times New Roman" w:hAnsi="Times New Roman" w:eastAsia="宋体" w:cs="Times New Roman"/>
                      <w:caps w:val="0"/>
                      <w:color w:val="auto"/>
                      <w:sz w:val="21"/>
                      <w:szCs w:val="21"/>
                      <w:highlight w:val="none"/>
                      <w:lang w:val="en-US" w:eastAsia="zh-CN" w:bidi="ar"/>
                    </w:rPr>
                    <w:t>本项目不属于重点行业、重点企业。有机</w:t>
                  </w:r>
                  <w:r>
                    <w:rPr>
                      <w:rFonts w:hint="default" w:ascii="Times New Roman" w:hAnsi="Times New Roman" w:eastAsia="宋体" w:cs="Times New Roman"/>
                      <w:caps w:val="0"/>
                      <w:color w:val="auto"/>
                      <w:sz w:val="21"/>
                      <w:szCs w:val="21"/>
                      <w:lang w:val="en-US" w:eastAsia="zh-CN"/>
                    </w:rPr>
                    <w:t>废气采用集气罩+二</w:t>
                  </w:r>
                  <w:r>
                    <w:rPr>
                      <w:rFonts w:hint="default" w:ascii="Times New Roman" w:hAnsi="Times New Roman" w:eastAsia="宋体" w:cs="Times New Roman"/>
                      <w:caps w:val="0"/>
                      <w:color w:val="auto"/>
                      <w:sz w:val="21"/>
                      <w:szCs w:val="21"/>
                      <w:lang w:eastAsia="zh-CN"/>
                    </w:rPr>
                    <w:t>级活性炭装置+</w:t>
                  </w:r>
                  <w:r>
                    <w:rPr>
                      <w:rFonts w:hint="eastAsia" w:cs="Times New Roman"/>
                      <w:caps w:val="0"/>
                      <w:color w:val="auto"/>
                      <w:sz w:val="21"/>
                      <w:szCs w:val="21"/>
                      <w:lang w:val="en-US" w:eastAsia="zh-CN"/>
                    </w:rPr>
                    <w:t>20</w:t>
                  </w:r>
                  <w:r>
                    <w:rPr>
                      <w:rFonts w:hint="default" w:ascii="Times New Roman" w:hAnsi="Times New Roman" w:eastAsia="宋体" w:cs="Times New Roman"/>
                      <w:caps w:val="0"/>
                      <w:color w:val="auto"/>
                      <w:sz w:val="21"/>
                      <w:szCs w:val="21"/>
                      <w:lang w:eastAsia="zh-CN"/>
                    </w:rPr>
                    <w:t>m排气筒（DA00</w:t>
                  </w:r>
                  <w:r>
                    <w:rPr>
                      <w:rFonts w:hint="default" w:ascii="Times New Roman" w:hAnsi="Times New Roman" w:eastAsia="宋体" w:cs="Times New Roman"/>
                      <w:caps w:val="0"/>
                      <w:color w:val="auto"/>
                      <w:sz w:val="21"/>
                      <w:szCs w:val="21"/>
                      <w:lang w:val="en-US" w:eastAsia="zh-CN"/>
                    </w:rPr>
                    <w:t>1</w:t>
                  </w:r>
                  <w:r>
                    <w:rPr>
                      <w:rFonts w:hint="default" w:ascii="Times New Roman" w:hAnsi="Times New Roman" w:eastAsia="宋体" w:cs="Times New Roman"/>
                      <w:caps w:val="0"/>
                      <w:color w:val="auto"/>
                      <w:sz w:val="21"/>
                      <w:szCs w:val="21"/>
                      <w:lang w:eastAsia="zh-CN"/>
                    </w:rPr>
                    <w:t>）</w:t>
                  </w:r>
                  <w:r>
                    <w:rPr>
                      <w:rFonts w:hint="default" w:ascii="Times New Roman" w:hAnsi="Times New Roman" w:eastAsia="宋体" w:cs="Times New Roman"/>
                      <w:caps w:val="0"/>
                      <w:color w:val="auto"/>
                      <w:sz w:val="21"/>
                      <w:szCs w:val="21"/>
                      <w:lang w:val="en-US" w:eastAsia="zh-CN"/>
                    </w:rPr>
                    <w:t>处理。</w:t>
                  </w:r>
                </w:p>
              </w:tc>
            </w:tr>
            <w:tr w14:paraId="24D8C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4492" w:type="dxa"/>
                  <w:tcBorders>
                    <w:tl2br w:val="nil"/>
                    <w:tr2bl w:val="nil"/>
                  </w:tcBorders>
                  <w:noWrap w:val="0"/>
                  <w:vAlign w:val="center"/>
                </w:tcPr>
                <w:p w14:paraId="5784919D">
                  <w:pPr>
                    <w:jc w:val="center"/>
                    <w:rPr>
                      <w:rFonts w:hint="default" w:ascii="Times New Roman" w:hAnsi="Times New Roman" w:eastAsia="宋体" w:cs="Times New Roman"/>
                      <w:caps w:val="0"/>
                      <w:color w:val="000000"/>
                      <w:spacing w:val="-4"/>
                      <w:sz w:val="21"/>
                      <w:szCs w:val="21"/>
                    </w:rPr>
                  </w:pPr>
                  <w:r>
                    <w:rPr>
                      <w:rFonts w:hint="default" w:ascii="Times New Roman" w:hAnsi="Times New Roman" w:eastAsia="宋体" w:cs="Times New Roman"/>
                      <w:caps w:val="0"/>
                      <w:color w:val="000000"/>
                      <w:sz w:val="21"/>
                      <w:szCs w:val="21"/>
                    </w:rPr>
                    <w:t>加强企业内部管理，明确VOCs处理装置的管理和监控方案，提升现场管理水平，确保VOCs处理装置长期有效运行。要加强基础工作，建立完善的</w:t>
                  </w:r>
                  <w:r>
                    <w:rPr>
                      <w:rFonts w:hint="default" w:ascii="Times New Roman" w:hAnsi="Times New Roman" w:eastAsia="宋体" w:cs="Times New Roman"/>
                      <w:caps w:val="0"/>
                      <w:color w:val="000000"/>
                      <w:sz w:val="21"/>
                      <w:szCs w:val="21"/>
                      <w:lang w:eastAsia="zh-CN"/>
                    </w:rPr>
                    <w:t>“</w:t>
                  </w:r>
                  <w:r>
                    <w:rPr>
                      <w:rFonts w:hint="default" w:ascii="Times New Roman" w:hAnsi="Times New Roman" w:eastAsia="宋体" w:cs="Times New Roman"/>
                      <w:caps w:val="0"/>
                      <w:color w:val="000000"/>
                      <w:sz w:val="21"/>
                      <w:szCs w:val="21"/>
                    </w:rPr>
                    <w:t>一厂一档</w:t>
                  </w:r>
                  <w:r>
                    <w:rPr>
                      <w:rFonts w:hint="default" w:ascii="Times New Roman" w:hAnsi="Times New Roman" w:eastAsia="宋体" w:cs="Times New Roman"/>
                      <w:caps w:val="0"/>
                      <w:color w:val="000000"/>
                      <w:sz w:val="21"/>
                      <w:szCs w:val="21"/>
                      <w:lang w:eastAsia="zh-CN"/>
                    </w:rPr>
                    <w:t>”</w:t>
                  </w:r>
                  <w:r>
                    <w:rPr>
                      <w:rFonts w:hint="default" w:ascii="Times New Roman" w:hAnsi="Times New Roman" w:eastAsia="宋体" w:cs="Times New Roman"/>
                      <w:caps w:val="0"/>
                      <w:color w:val="000000"/>
                      <w:sz w:val="21"/>
                      <w:szCs w:val="21"/>
                    </w:rPr>
                    <w:t>，与VOCs排放相关的原辅料、溶剂的使用、产品生产及输出、废气处理、污染物排放、在线监控等信息应进行跟踪记录，以满足企业VOCs实际以及潜在的排放量查证需要，确保企业VOCs处理装置运行效果</w:t>
                  </w:r>
                </w:p>
              </w:tc>
              <w:tc>
                <w:tcPr>
                  <w:tcW w:w="2487" w:type="dxa"/>
                  <w:tcBorders>
                    <w:tl2br w:val="nil"/>
                    <w:tr2bl w:val="nil"/>
                  </w:tcBorders>
                  <w:noWrap w:val="0"/>
                  <w:vAlign w:val="center"/>
                </w:tcPr>
                <w:p w14:paraId="3CEE0AD2">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aps w:val="0"/>
                      <w:color w:val="000000"/>
                      <w:spacing w:val="-4"/>
                      <w:sz w:val="21"/>
                      <w:szCs w:val="21"/>
                    </w:rPr>
                  </w:pPr>
                  <w:r>
                    <w:rPr>
                      <w:rFonts w:hint="default" w:ascii="Times New Roman" w:hAnsi="Times New Roman" w:eastAsia="宋体" w:cs="Times New Roman"/>
                      <w:caps w:val="0"/>
                      <w:color w:val="000000"/>
                      <w:sz w:val="21"/>
                      <w:szCs w:val="21"/>
                    </w:rPr>
                    <w:t>建设单位制定VOCs</w:t>
                  </w:r>
                  <w:r>
                    <w:rPr>
                      <w:rFonts w:hint="default" w:ascii="Times New Roman" w:hAnsi="Times New Roman" w:eastAsia="宋体" w:cs="Times New Roman"/>
                      <w:caps w:val="0"/>
                      <w:color w:val="000000"/>
                      <w:sz w:val="21"/>
                      <w:szCs w:val="21"/>
                      <w:lang w:val="en-US" w:eastAsia="zh-CN"/>
                    </w:rPr>
                    <w:t>原辅料进行记录</w:t>
                  </w:r>
                  <w:r>
                    <w:rPr>
                      <w:rFonts w:hint="default" w:ascii="Times New Roman" w:hAnsi="Times New Roman" w:eastAsia="宋体" w:cs="Times New Roman"/>
                      <w:caps w:val="0"/>
                      <w:color w:val="000000"/>
                      <w:sz w:val="21"/>
                      <w:szCs w:val="21"/>
                    </w:rPr>
                    <w:t>，建立VOCs使用档案，确保企业VOCs</w:t>
                  </w:r>
                  <w:r>
                    <w:rPr>
                      <w:rFonts w:hint="default" w:ascii="Times New Roman" w:hAnsi="Times New Roman" w:eastAsia="宋体" w:cs="Times New Roman"/>
                      <w:caps w:val="0"/>
                      <w:color w:val="000000"/>
                      <w:sz w:val="21"/>
                      <w:szCs w:val="21"/>
                      <w:lang w:val="en-US" w:eastAsia="zh-CN"/>
                    </w:rPr>
                    <w:t>达标排放</w:t>
                  </w:r>
                  <w:r>
                    <w:rPr>
                      <w:rFonts w:hint="default" w:ascii="Times New Roman" w:hAnsi="Times New Roman" w:eastAsia="宋体" w:cs="Times New Roman"/>
                      <w:caps w:val="0"/>
                      <w:color w:val="000000"/>
                      <w:sz w:val="21"/>
                      <w:szCs w:val="21"/>
                    </w:rPr>
                    <w:t>。</w:t>
                  </w:r>
                </w:p>
              </w:tc>
            </w:tr>
          </w:tbl>
          <w:p w14:paraId="584AB7F4">
            <w:pPr>
              <w:adjustRightInd w:val="0"/>
              <w:snapToGrid w:val="0"/>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aps w:val="0"/>
                <w:color w:val="000000"/>
                <w:sz w:val="24"/>
              </w:rPr>
              <w:t>由表1</w:t>
            </w:r>
            <w:r>
              <w:rPr>
                <w:rFonts w:hint="default" w:ascii="Times New Roman" w:hAnsi="Times New Roman" w:eastAsia="宋体" w:cs="Times New Roman"/>
                <w:caps w:val="0"/>
                <w:color w:val="000000"/>
                <w:sz w:val="24"/>
                <w:lang w:val="en-US" w:eastAsia="zh-CN"/>
              </w:rPr>
              <w:t>-</w:t>
            </w:r>
            <w:r>
              <w:rPr>
                <w:rFonts w:hint="eastAsia" w:cs="Times New Roman"/>
                <w:caps w:val="0"/>
                <w:color w:val="000000"/>
                <w:sz w:val="24"/>
                <w:lang w:val="en-US" w:eastAsia="zh-CN"/>
              </w:rPr>
              <w:t>10</w:t>
            </w:r>
            <w:r>
              <w:rPr>
                <w:rFonts w:hint="default" w:ascii="Times New Roman" w:hAnsi="Times New Roman" w:eastAsia="宋体" w:cs="Times New Roman"/>
                <w:caps w:val="0"/>
                <w:color w:val="000000"/>
                <w:sz w:val="24"/>
              </w:rPr>
              <w:t>分析可知，本项目的建设符合《安徽省挥发性有机物污染整治工作方案》的相关要求。</w:t>
            </w:r>
          </w:p>
          <w:p w14:paraId="2560D28B">
            <w:pPr>
              <w:adjustRightInd w:val="0"/>
              <w:snapToGrid w:val="0"/>
              <w:spacing w:line="360" w:lineRule="auto"/>
              <w:ind w:firstLine="482" w:firstLineChars="200"/>
              <w:rPr>
                <w:rFonts w:hint="eastAsia" w:ascii="Times New Roman" w:hAnsi="Times New Roman" w:eastAsia="宋体" w:cs="Times New Roman"/>
                <w:b/>
                <w:bCs/>
                <w:caps w:val="0"/>
                <w:color w:val="000000"/>
                <w:sz w:val="24"/>
                <w:lang w:val="en-US" w:eastAsia="zh-CN"/>
              </w:rPr>
            </w:pPr>
            <w:r>
              <w:rPr>
                <w:rFonts w:hint="default" w:ascii="Times New Roman" w:hAnsi="Times New Roman" w:eastAsia="宋体" w:cs="Times New Roman"/>
                <w:b/>
                <w:bCs/>
                <w:caps w:val="0"/>
                <w:color w:val="000000"/>
                <w:sz w:val="24"/>
                <w:lang w:val="en-US" w:eastAsia="zh-CN"/>
              </w:rPr>
              <w:t>12</w:t>
            </w:r>
            <w:r>
              <w:rPr>
                <w:rFonts w:hint="default" w:ascii="Times New Roman" w:hAnsi="Times New Roman" w:eastAsia="宋体" w:cs="Times New Roman"/>
                <w:b/>
                <w:bCs/>
                <w:caps w:val="0"/>
                <w:color w:val="000000"/>
                <w:sz w:val="24"/>
              </w:rPr>
              <w:t>、与</w:t>
            </w:r>
            <w:r>
              <w:rPr>
                <w:rFonts w:hint="eastAsia" w:cs="Times New Roman"/>
                <w:b/>
                <w:bCs/>
                <w:caps w:val="0"/>
                <w:color w:val="000000"/>
                <w:sz w:val="24"/>
                <w:lang w:val="en-US" w:eastAsia="zh-CN"/>
              </w:rPr>
              <w:t>国务院办公厅关于印发《新污染物治理行动方案的通知》（国办发</w:t>
            </w:r>
            <w:r>
              <w:rPr>
                <w:rFonts w:hint="eastAsia" w:ascii="宋体" w:hAnsi="宋体" w:eastAsia="宋体" w:cs="宋体"/>
                <w:b/>
                <w:bCs/>
                <w:caps w:val="0"/>
                <w:color w:val="000000"/>
                <w:sz w:val="24"/>
                <w:lang w:val="en-US" w:eastAsia="zh-CN"/>
              </w:rPr>
              <w:t>〔2022〕15</w:t>
            </w:r>
            <w:r>
              <w:rPr>
                <w:rFonts w:hint="eastAsia" w:cs="Times New Roman"/>
                <w:b/>
                <w:bCs/>
                <w:caps w:val="0"/>
                <w:color w:val="000000"/>
                <w:sz w:val="24"/>
                <w:lang w:val="en-US" w:eastAsia="zh-CN"/>
              </w:rPr>
              <w:t>）</w:t>
            </w:r>
            <w:r>
              <w:rPr>
                <w:rFonts w:hint="default" w:ascii="Times New Roman" w:hAnsi="Times New Roman" w:eastAsia="宋体" w:cs="Times New Roman"/>
                <w:b/>
                <w:bCs/>
                <w:caps w:val="0"/>
                <w:color w:val="000000"/>
                <w:sz w:val="24"/>
              </w:rPr>
              <w:t>相符性</w:t>
            </w:r>
            <w:r>
              <w:rPr>
                <w:rFonts w:hint="eastAsia" w:cs="Times New Roman"/>
                <w:b/>
                <w:bCs/>
                <w:caps w:val="0"/>
                <w:color w:val="000000"/>
                <w:sz w:val="24"/>
                <w:lang w:val="en-US" w:eastAsia="zh-CN"/>
              </w:rPr>
              <w:t>分析</w:t>
            </w:r>
          </w:p>
          <w:p w14:paraId="3FA20F18">
            <w:pPr>
              <w:jc w:val="center"/>
              <w:rPr>
                <w:rFonts w:hint="default" w:ascii="Times New Roman" w:hAnsi="Times New Roman" w:eastAsia="宋体" w:cs="Times New Roman"/>
                <w:b/>
                <w:caps w:val="0"/>
                <w:color w:val="000000"/>
                <w:sz w:val="24"/>
              </w:rPr>
            </w:pPr>
            <w:r>
              <w:rPr>
                <w:rFonts w:hint="default" w:ascii="Times New Roman" w:hAnsi="Times New Roman" w:eastAsia="宋体" w:cs="Times New Roman"/>
                <w:b/>
                <w:caps w:val="0"/>
                <w:color w:val="000000"/>
                <w:sz w:val="24"/>
              </w:rPr>
              <w:t>表1-</w:t>
            </w:r>
            <w:r>
              <w:rPr>
                <w:rFonts w:hint="eastAsia" w:cs="Times New Roman"/>
                <w:b/>
                <w:caps w:val="0"/>
                <w:color w:val="000000"/>
                <w:sz w:val="24"/>
                <w:lang w:val="en-US" w:eastAsia="zh-CN"/>
              </w:rPr>
              <w:t>11</w:t>
            </w:r>
            <w:r>
              <w:rPr>
                <w:rFonts w:hint="default" w:ascii="Times New Roman" w:hAnsi="Times New Roman" w:eastAsia="宋体" w:cs="Times New Roman"/>
                <w:b/>
                <w:caps w:val="0"/>
                <w:color w:val="000000"/>
                <w:sz w:val="24"/>
              </w:rPr>
              <w:t xml:space="preserve">  项目与《新污染物治理行动方案的通知》（国办发〔2022〕15）相符性分析</w:t>
            </w:r>
          </w:p>
          <w:tbl>
            <w:tblPr>
              <w:tblStyle w:val="58"/>
              <w:tblW w:w="694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93"/>
              <w:gridCol w:w="2347"/>
            </w:tblGrid>
            <w:tr w14:paraId="03FEA1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3" w:type="dxa"/>
                  <w:tcBorders>
                    <w:tl2br w:val="nil"/>
                    <w:tr2bl w:val="nil"/>
                  </w:tcBorders>
                  <w:noWrap w:val="0"/>
                  <w:vAlign w:val="center"/>
                </w:tcPr>
                <w:p w14:paraId="70598AD8">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《新污染物治理行动方案的通知》要求</w:t>
                  </w:r>
                </w:p>
              </w:tc>
              <w:tc>
                <w:tcPr>
                  <w:tcW w:w="2347" w:type="dxa"/>
                  <w:tcBorders>
                    <w:tl2br w:val="nil"/>
                    <w:tr2bl w:val="nil"/>
                  </w:tcBorders>
                  <w:noWrap w:val="0"/>
                  <w:vAlign w:val="center"/>
                </w:tcPr>
                <w:p w14:paraId="79E222B6">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本项目相符性分析</w:t>
                  </w:r>
                </w:p>
              </w:tc>
            </w:tr>
            <w:tr w14:paraId="78AC1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3" w:type="dxa"/>
                  <w:tcBorders>
                    <w:tl2br w:val="nil"/>
                    <w:tr2bl w:val="nil"/>
                  </w:tcBorders>
                  <w:noWrap w:val="0"/>
                  <w:vAlign w:val="center"/>
                </w:tcPr>
                <w:p w14:paraId="6776982E">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val="0"/>
                      <w:bCs w:val="0"/>
                      <w:caps w:val="0"/>
                      <w:color w:val="000000"/>
                      <w:sz w:val="21"/>
                      <w:szCs w:val="21"/>
                    </w:rPr>
                    <w:t>建立化学物质环境风险评估与管控技术标准体系，制定修订化学物质环境风险评估、经济社会影响分析、危害特性测试方法等标准。完善新污染物环境监测技术体系。</w:t>
                  </w:r>
                </w:p>
              </w:tc>
              <w:tc>
                <w:tcPr>
                  <w:tcW w:w="2347" w:type="dxa"/>
                  <w:tcBorders>
                    <w:tl2br w:val="nil"/>
                    <w:tr2bl w:val="nil"/>
                  </w:tcBorders>
                  <w:noWrap w:val="0"/>
                  <w:vAlign w:val="center"/>
                </w:tcPr>
                <w:p w14:paraId="6F73A3D7">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项目已制定自行监测方案，对产生的有毒有害气体进行监控</w:t>
                  </w:r>
                </w:p>
              </w:tc>
            </w:tr>
            <w:tr w14:paraId="04E984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3" w:type="dxa"/>
                  <w:tcBorders>
                    <w:tl2br w:val="nil"/>
                    <w:tr2bl w:val="nil"/>
                  </w:tcBorders>
                  <w:noWrap w:val="0"/>
                  <w:vAlign w:val="center"/>
                </w:tcPr>
                <w:p w14:paraId="5F61C303">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按照重点管控新污染物清单要求，禁止、限制重点管控新污染物的生产、加工使用和进出口。研究修订《产业结构调整指导目录》，对纳入《产业结构调整指导目录》淘汰类的工业化学品、农药、兽药、药品、化妆品等，未按期淘汰的，依法停止其产品登记或生产许可证核发。强化环境影响评价管理，严格涉新污染物建设项目准入管理。</w:t>
                  </w:r>
                </w:p>
              </w:tc>
              <w:tc>
                <w:tcPr>
                  <w:tcW w:w="2347" w:type="dxa"/>
                  <w:tcBorders>
                    <w:tl2br w:val="nil"/>
                    <w:tr2bl w:val="nil"/>
                  </w:tcBorders>
                  <w:noWrap w:val="0"/>
                  <w:vAlign w:val="center"/>
                </w:tcPr>
                <w:p w14:paraId="09861361">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项目不使用《产业结构调整指导目录》淘汰类的工业化学品、农药、兽药、药品、化妆品等，严格对有毒有害气体进行管控</w:t>
                  </w:r>
                </w:p>
              </w:tc>
            </w:tr>
            <w:tr w14:paraId="1C2324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3" w:type="dxa"/>
                  <w:tcBorders>
                    <w:tl2br w:val="nil"/>
                    <w:tr2bl w:val="nil"/>
                  </w:tcBorders>
                  <w:noWrap w:val="0"/>
                  <w:vAlign w:val="center"/>
                </w:tcPr>
                <w:p w14:paraId="77021E30">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对使用有毒有害化学物质进行生产或者在生产过程中排放有毒有害化学物质的企业依法实施强制性清洁生产审核，全面推进清洁生产改造；企业应采取便于公众知晓的方式公布使用有毒有害原料的情况以及排放有毒有害化学物质的名称、浓度和数量等相关信息。推动将有毒有害化学物质的替代和排放控制要求纳入绿色产品、绿色园区、绿色工厂和绿色供应链等绿色制造标准体系。</w:t>
                  </w:r>
                </w:p>
              </w:tc>
              <w:tc>
                <w:tcPr>
                  <w:tcW w:w="2347" w:type="dxa"/>
                  <w:tcBorders>
                    <w:tl2br w:val="nil"/>
                    <w:tr2bl w:val="nil"/>
                  </w:tcBorders>
                  <w:noWrap w:val="0"/>
                  <w:vAlign w:val="center"/>
                </w:tcPr>
                <w:p w14:paraId="41E7DC5D">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项目建成后，实施清洁生产审核，并于门口张贴信息公开</w:t>
                  </w:r>
                </w:p>
              </w:tc>
            </w:tr>
            <w:tr w14:paraId="135EF1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3" w:type="dxa"/>
                  <w:tcBorders>
                    <w:tl2br w:val="nil"/>
                    <w:tr2bl w:val="nil"/>
                  </w:tcBorders>
                  <w:noWrap w:val="0"/>
                  <w:vAlign w:val="center"/>
                </w:tcPr>
                <w:p w14:paraId="5DE886DF">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加强有毒有害大气污染物、水污染物环境治理，制定相关污染控制技术规范。排放重点管控新污染物的企事业单位应采取污染控制措施，达到相关污染物排放标准及环境质量目标要求；按照排污许可管理有关要求，依法申领排污许可证或填写排污登记表，并在其中载明执行的污染控制标准要求及采取的污染控制措施。排放重点管控新污染物的企事业单位和其他生产经营者应按照相关法律法规要求，对排放（污）口及其周边环境定期开展环境监测，评估环境风险，排查整治环境安全隐患，依法公开新污染物信息，采取措施防范环境风险。土壤污染重点监管单位应严格控制有毒有害物质排放，建立土壤污染隐患排查制度，防止有毒有害物质渗漏、流失、扬散。生产、加工使用或排放重点管控新污染物清单中所列化学物质的企事业单位应纳入重点排污单位。</w:t>
                  </w:r>
                </w:p>
              </w:tc>
              <w:tc>
                <w:tcPr>
                  <w:tcW w:w="2347" w:type="dxa"/>
                  <w:tcBorders>
                    <w:tl2br w:val="nil"/>
                    <w:tr2bl w:val="nil"/>
                  </w:tcBorders>
                  <w:noWrap w:val="0"/>
                  <w:vAlign w:val="center"/>
                </w:tcPr>
                <w:p w14:paraId="5C28DDD1">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w:t>
                  </w:r>
                  <w:r>
                    <w:rPr>
                      <w:rFonts w:hint="default" w:ascii="Times New Roman" w:hAnsi="Times New Roman" w:eastAsia="宋体" w:cs="Times New Roman"/>
                      <w:b w:val="0"/>
                      <w:bCs w:val="0"/>
                      <w:caps w:val="0"/>
                      <w:color w:val="000000"/>
                      <w:sz w:val="21"/>
                      <w:szCs w:val="21"/>
                    </w:rPr>
                    <w:t>加强有毒有害大气污染物、水污染物环境治理，制定相关污染控制技术规范</w:t>
                  </w:r>
                  <w:r>
                    <w:rPr>
                      <w:rFonts w:hint="eastAsia" w:cs="Times New Roman"/>
                      <w:b w:val="0"/>
                      <w:bCs w:val="0"/>
                      <w:caps w:val="0"/>
                      <w:color w:val="000000"/>
                      <w:sz w:val="21"/>
                      <w:szCs w:val="21"/>
                      <w:lang w:eastAsia="zh-CN"/>
                    </w:rPr>
                    <w:t>，</w:t>
                  </w:r>
                  <w:r>
                    <w:rPr>
                      <w:rFonts w:hint="eastAsia" w:cs="Times New Roman"/>
                      <w:b w:val="0"/>
                      <w:bCs w:val="0"/>
                      <w:caps w:val="0"/>
                      <w:color w:val="000000"/>
                      <w:sz w:val="21"/>
                      <w:szCs w:val="21"/>
                      <w:lang w:val="en-US" w:eastAsia="zh-CN"/>
                    </w:rPr>
                    <w:t>废气经二级活性炭吸附处理后满足污染物排放标准，同时项目已进行排污许可登记。企业已制定自行检测方案，定期开展环境监测</w:t>
                  </w:r>
                </w:p>
              </w:tc>
            </w:tr>
          </w:tbl>
          <w:p w14:paraId="7E5CD6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综上，项目符合《新污染物治理行动方案的通知》（国办发〔2022〕15）中相关要求。</w:t>
            </w:r>
          </w:p>
          <w:p w14:paraId="1AEB6317">
            <w:pPr>
              <w:adjustRightInd w:val="0"/>
              <w:snapToGrid w:val="0"/>
              <w:spacing w:line="360" w:lineRule="auto"/>
              <w:ind w:firstLine="482" w:firstLineChars="200"/>
              <w:rPr>
                <w:rFonts w:hint="eastAsia" w:ascii="Times New Roman" w:hAnsi="Times New Roman" w:eastAsia="宋体" w:cs="Times New Roman"/>
                <w:b/>
                <w:bCs/>
                <w:caps w:val="0"/>
                <w:color w:val="000000"/>
                <w:sz w:val="24"/>
                <w:lang w:val="en-US" w:eastAsia="zh-CN"/>
              </w:rPr>
            </w:pPr>
            <w:r>
              <w:rPr>
                <w:rFonts w:hint="default" w:ascii="Times New Roman" w:hAnsi="Times New Roman" w:eastAsia="宋体" w:cs="Times New Roman"/>
                <w:b/>
                <w:bCs/>
                <w:caps w:val="0"/>
                <w:color w:val="000000"/>
                <w:sz w:val="24"/>
                <w:lang w:val="en-US" w:eastAsia="zh-CN"/>
              </w:rPr>
              <w:t>12</w:t>
            </w:r>
            <w:r>
              <w:rPr>
                <w:rFonts w:hint="default" w:ascii="Times New Roman" w:hAnsi="Times New Roman" w:eastAsia="宋体" w:cs="Times New Roman"/>
                <w:b/>
                <w:bCs/>
                <w:caps w:val="0"/>
                <w:color w:val="000000"/>
                <w:sz w:val="24"/>
              </w:rPr>
              <w:t>、与</w:t>
            </w:r>
            <w:r>
              <w:rPr>
                <w:rFonts w:hint="eastAsia" w:cs="Times New Roman"/>
                <w:b/>
                <w:bCs/>
                <w:caps w:val="0"/>
                <w:color w:val="000000"/>
                <w:sz w:val="24"/>
                <w:lang w:val="en-US" w:eastAsia="zh-CN"/>
              </w:rPr>
              <w:t>安徽省人民政府办公厅关于印发《安徽省新污染物治理工作方案的通知》（皖政办</w:t>
            </w:r>
            <w:r>
              <w:rPr>
                <w:rFonts w:hint="eastAsia" w:ascii="宋体" w:hAnsi="宋体" w:eastAsia="宋体" w:cs="宋体"/>
                <w:b/>
                <w:bCs/>
                <w:caps w:val="0"/>
                <w:color w:val="000000"/>
                <w:sz w:val="24"/>
                <w:lang w:val="en-US" w:eastAsia="zh-CN"/>
              </w:rPr>
              <w:t>〔202</w:t>
            </w:r>
            <w:r>
              <w:rPr>
                <w:rFonts w:hint="eastAsia" w:ascii="宋体" w:hAnsi="宋体" w:cs="宋体"/>
                <w:b/>
                <w:bCs/>
                <w:caps w:val="0"/>
                <w:color w:val="000000"/>
                <w:sz w:val="24"/>
                <w:lang w:val="en-US" w:eastAsia="zh-CN"/>
              </w:rPr>
              <w:t>3</w:t>
            </w:r>
            <w:r>
              <w:rPr>
                <w:rFonts w:hint="eastAsia" w:ascii="宋体" w:hAnsi="宋体" w:eastAsia="宋体" w:cs="宋体"/>
                <w:b/>
                <w:bCs/>
                <w:caps w:val="0"/>
                <w:color w:val="000000"/>
                <w:sz w:val="24"/>
                <w:lang w:val="en-US" w:eastAsia="zh-CN"/>
              </w:rPr>
              <w:t>〕</w:t>
            </w:r>
            <w:r>
              <w:rPr>
                <w:rFonts w:hint="eastAsia" w:ascii="宋体" w:hAnsi="宋体" w:cs="宋体"/>
                <w:b/>
                <w:bCs/>
                <w:caps w:val="0"/>
                <w:color w:val="000000"/>
                <w:sz w:val="24"/>
                <w:lang w:val="en-US" w:eastAsia="zh-CN"/>
              </w:rPr>
              <w:t>4号</w:t>
            </w:r>
            <w:r>
              <w:rPr>
                <w:rFonts w:hint="eastAsia" w:cs="Times New Roman"/>
                <w:b/>
                <w:bCs/>
                <w:caps w:val="0"/>
                <w:color w:val="000000"/>
                <w:sz w:val="24"/>
                <w:lang w:val="en-US" w:eastAsia="zh-CN"/>
              </w:rPr>
              <w:t>）</w:t>
            </w:r>
            <w:r>
              <w:rPr>
                <w:rFonts w:hint="default" w:ascii="Times New Roman" w:hAnsi="Times New Roman" w:eastAsia="宋体" w:cs="Times New Roman"/>
                <w:b/>
                <w:bCs/>
                <w:caps w:val="0"/>
                <w:color w:val="000000"/>
                <w:sz w:val="24"/>
              </w:rPr>
              <w:t>相符性</w:t>
            </w:r>
            <w:r>
              <w:rPr>
                <w:rFonts w:hint="eastAsia" w:cs="Times New Roman"/>
                <w:b/>
                <w:bCs/>
                <w:caps w:val="0"/>
                <w:color w:val="000000"/>
                <w:sz w:val="24"/>
                <w:lang w:val="en-US" w:eastAsia="zh-CN"/>
              </w:rPr>
              <w:t>分析</w:t>
            </w:r>
          </w:p>
          <w:p w14:paraId="025BF619">
            <w:pPr>
              <w:jc w:val="center"/>
              <w:rPr>
                <w:rFonts w:hint="default" w:ascii="Times New Roman" w:hAnsi="Times New Roman" w:eastAsia="宋体" w:cs="Times New Roman"/>
                <w:b/>
                <w:caps w:val="0"/>
                <w:color w:val="000000"/>
                <w:sz w:val="24"/>
              </w:rPr>
            </w:pPr>
            <w:r>
              <w:rPr>
                <w:rFonts w:hint="default" w:ascii="Times New Roman" w:hAnsi="Times New Roman" w:eastAsia="宋体" w:cs="Times New Roman"/>
                <w:b/>
                <w:caps w:val="0"/>
                <w:color w:val="000000"/>
                <w:sz w:val="24"/>
              </w:rPr>
              <w:t>表1-</w:t>
            </w:r>
            <w:r>
              <w:rPr>
                <w:rFonts w:hint="eastAsia" w:cs="Times New Roman"/>
                <w:b/>
                <w:caps w:val="0"/>
                <w:color w:val="000000"/>
                <w:sz w:val="24"/>
                <w:lang w:val="en-US" w:eastAsia="zh-CN"/>
              </w:rPr>
              <w:t>12</w:t>
            </w:r>
            <w:r>
              <w:rPr>
                <w:rFonts w:hint="default" w:ascii="Times New Roman" w:hAnsi="Times New Roman" w:eastAsia="宋体" w:cs="Times New Roman"/>
                <w:b/>
                <w:caps w:val="0"/>
                <w:color w:val="000000"/>
                <w:sz w:val="24"/>
              </w:rPr>
              <w:t xml:space="preserve">  项目与《安徽省新污染物治理工作方案的通知》（皖政办〔2023〕4</w:t>
            </w:r>
            <w:r>
              <w:rPr>
                <w:rFonts w:hint="eastAsia" w:cs="Times New Roman"/>
                <w:b/>
                <w:caps w:val="0"/>
                <w:color w:val="000000"/>
                <w:sz w:val="24"/>
                <w:lang w:val="en-US" w:eastAsia="zh-CN"/>
              </w:rPr>
              <w:t>号</w:t>
            </w:r>
            <w:r>
              <w:rPr>
                <w:rFonts w:hint="default" w:ascii="Times New Roman" w:hAnsi="Times New Roman" w:eastAsia="宋体" w:cs="Times New Roman"/>
                <w:b/>
                <w:caps w:val="0"/>
                <w:color w:val="000000"/>
                <w:sz w:val="24"/>
              </w:rPr>
              <w:t>）相符性分析</w:t>
            </w:r>
          </w:p>
          <w:tbl>
            <w:tblPr>
              <w:tblStyle w:val="58"/>
              <w:tblW w:w="694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99"/>
              <w:gridCol w:w="2341"/>
            </w:tblGrid>
            <w:tr w14:paraId="49C78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19296066">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《安徽省新污染物治理工作方案的通知》要求</w:t>
                  </w:r>
                </w:p>
              </w:tc>
              <w:tc>
                <w:tcPr>
                  <w:tcW w:w="2341" w:type="dxa"/>
                  <w:tcBorders>
                    <w:tl2br w:val="nil"/>
                    <w:tr2bl w:val="nil"/>
                  </w:tcBorders>
                  <w:noWrap w:val="0"/>
                  <w:vAlign w:val="center"/>
                </w:tcPr>
                <w:p w14:paraId="7B484CFC">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本项目相符性分析</w:t>
                  </w:r>
                </w:p>
              </w:tc>
            </w:tr>
            <w:tr w14:paraId="157DA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599" w:type="dxa"/>
                  <w:tcBorders>
                    <w:tl2br w:val="nil"/>
                    <w:tr2bl w:val="nil"/>
                  </w:tcBorders>
                  <w:noWrap w:val="0"/>
                  <w:vAlign w:val="center"/>
                </w:tcPr>
                <w:p w14:paraId="0773EABB">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严格落实淘汰或限用措施。按照重点管控新污染物清单要求，禁止、限制重点管控新污染物的生产、加工使用和进出口。强化环境影响评价管理，严格涉新污染物建设项目准入管理，对不符合新污染物管理要求的建设项目，依法不予审批。</w:t>
                  </w:r>
                </w:p>
              </w:tc>
              <w:tc>
                <w:tcPr>
                  <w:tcW w:w="2341" w:type="dxa"/>
                  <w:tcBorders>
                    <w:tl2br w:val="nil"/>
                    <w:tr2bl w:val="nil"/>
                  </w:tcBorders>
                  <w:noWrap w:val="0"/>
                  <w:vAlign w:val="center"/>
                </w:tcPr>
                <w:p w14:paraId="136C5899">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项目建设符合新污染物管理要求，不涉及重点管控新污染物的生产、加工使用和进出口</w:t>
                  </w:r>
                </w:p>
              </w:tc>
            </w:tr>
            <w:tr w14:paraId="738F4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13412048">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加强清洁生产和绿色制造。对使用有毒有害化学物质进行生产或者在生产过程中排放有毒有害化学物质的企业依法实施强制性清洁生产审核，全面推进清洁生产改造。</w:t>
                  </w:r>
                </w:p>
              </w:tc>
              <w:tc>
                <w:tcPr>
                  <w:tcW w:w="2341" w:type="dxa"/>
                  <w:tcBorders>
                    <w:tl2br w:val="nil"/>
                    <w:tr2bl w:val="nil"/>
                  </w:tcBorders>
                  <w:noWrap w:val="0"/>
                  <w:vAlign w:val="center"/>
                </w:tcPr>
                <w:p w14:paraId="48679E12">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项目建成后，实施清洁生产审核</w:t>
                  </w:r>
                </w:p>
              </w:tc>
            </w:tr>
            <w:tr w14:paraId="4D06F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1409960B">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加强新污染物多环境介质协同治理。加强有毒有害大气污染物、水污染物以及重点控制的土壤有毒有害物质环境治理，将生产、加工使用或排放重点管控新污染物清单中所列化学物质的企事业单位纳入环境监管重点单位。督促排放重点管控新污染物的企事业单位和生产经营者采取污染控制措施，对排放（污）口及其周边环境定期开展环境监测，评估环境风险，排查整治环境安全隐患，依法公开新污染物信息。督促土壤污染重点监管单位严格控制有毒有害物质排放，建立土壤污染隐患排查制度，防止有毒有害物质渗漏、流失、扬散。</w:t>
                  </w:r>
                </w:p>
              </w:tc>
              <w:tc>
                <w:tcPr>
                  <w:tcW w:w="2341" w:type="dxa"/>
                  <w:tcBorders>
                    <w:tl2br w:val="nil"/>
                    <w:tr2bl w:val="nil"/>
                  </w:tcBorders>
                  <w:noWrap w:val="0"/>
                  <w:vAlign w:val="center"/>
                </w:tcPr>
                <w:p w14:paraId="7EB725B6">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项目对排放的二氯甲烷经采取治理措施后，排放浓度满足排放标准</w:t>
                  </w:r>
                </w:p>
              </w:tc>
            </w:tr>
            <w:tr w14:paraId="4ABF63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7BE751CF">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加强基础能力建设。加强新污染物治理的监督、执法和监测能力建设。提升化学物质环境风险评估和新污染物环境监测技术支撑保障能力。</w:t>
                  </w:r>
                </w:p>
              </w:tc>
              <w:tc>
                <w:tcPr>
                  <w:tcW w:w="2341" w:type="dxa"/>
                  <w:tcBorders>
                    <w:tl2br w:val="nil"/>
                    <w:tr2bl w:val="nil"/>
                  </w:tcBorders>
                  <w:noWrap w:val="0"/>
                  <w:vAlign w:val="center"/>
                </w:tcPr>
                <w:p w14:paraId="46E22697">
                  <w:pPr>
                    <w:jc w:val="center"/>
                    <w:rPr>
                      <w:rFonts w:hint="default" w:ascii="Times New Roman" w:hAnsi="Times New Roman" w:eastAsia="宋体" w:cs="Times New Roman"/>
                      <w:b/>
                      <w:bCs/>
                      <w:caps w:val="0"/>
                      <w:color w:val="000000"/>
                      <w:sz w:val="21"/>
                      <w:szCs w:val="21"/>
                      <w:lang w:val="en-US" w:eastAsia="zh-CN"/>
                    </w:rPr>
                  </w:pPr>
                  <w:r>
                    <w:rPr>
                      <w:rFonts w:hint="eastAsia" w:cs="Times New Roman"/>
                      <w:b w:val="0"/>
                      <w:bCs w:val="0"/>
                      <w:caps w:val="0"/>
                      <w:color w:val="000000"/>
                      <w:sz w:val="21"/>
                      <w:szCs w:val="21"/>
                      <w:lang w:val="en-US" w:eastAsia="zh-CN"/>
                    </w:rPr>
                    <w:t>项目建成后，企业加强新污染物治理的管控，定期开展自行监测</w:t>
                  </w:r>
                </w:p>
              </w:tc>
            </w:tr>
          </w:tbl>
          <w:p w14:paraId="7070EF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综上，项目符合《安徽省新污染物治理工作方案的通知》（皖政办〔2023〕4）中相关要求。</w:t>
            </w:r>
          </w:p>
          <w:p w14:paraId="6ABEB399">
            <w:pPr>
              <w:numPr>
                <w:ilvl w:val="0"/>
                <w:numId w:val="4"/>
              </w:numPr>
              <w:spacing w:line="360" w:lineRule="auto"/>
              <w:jc w:val="center"/>
              <w:rPr>
                <w:rFonts w:hint="eastAsia" w:cs="Times New Roman"/>
                <w:color w:val="000000"/>
                <w:sz w:val="24"/>
                <w:lang w:val="en-US" w:eastAsia="zh-CN"/>
              </w:rPr>
            </w:pPr>
            <w:r>
              <w:rPr>
                <w:rFonts w:hint="eastAsia" w:cs="Times New Roman"/>
                <w:color w:val="000000"/>
                <w:sz w:val="24"/>
                <w:lang w:val="en-US" w:eastAsia="zh-CN"/>
              </w:rPr>
              <w:t>与《关于加强重点行业涉新污染物建设项目环境影响评价工作的意见》（环环评〔2025〕28号）相符性分析</w:t>
            </w:r>
          </w:p>
          <w:p w14:paraId="6C8EBED6">
            <w:pPr>
              <w:jc w:val="center"/>
              <w:rPr>
                <w:rFonts w:hint="default" w:ascii="Times New Roman" w:hAnsi="Times New Roman" w:eastAsia="宋体" w:cs="Times New Roman"/>
                <w:b/>
                <w:caps w:val="0"/>
                <w:color w:val="000000"/>
                <w:sz w:val="24"/>
              </w:rPr>
            </w:pPr>
            <w:r>
              <w:rPr>
                <w:rFonts w:hint="default" w:ascii="Times New Roman" w:hAnsi="Times New Roman" w:eastAsia="宋体" w:cs="Times New Roman"/>
                <w:b/>
                <w:caps w:val="0"/>
                <w:color w:val="000000"/>
                <w:sz w:val="24"/>
              </w:rPr>
              <w:t>表1-</w:t>
            </w:r>
            <w:r>
              <w:rPr>
                <w:rFonts w:hint="eastAsia" w:cs="Times New Roman"/>
                <w:b/>
                <w:caps w:val="0"/>
                <w:color w:val="000000"/>
                <w:sz w:val="24"/>
                <w:lang w:val="en-US" w:eastAsia="zh-CN"/>
              </w:rPr>
              <w:t>13</w:t>
            </w:r>
            <w:r>
              <w:rPr>
                <w:rFonts w:hint="default" w:ascii="Times New Roman" w:hAnsi="Times New Roman" w:eastAsia="宋体" w:cs="Times New Roman"/>
                <w:b/>
                <w:caps w:val="0"/>
                <w:color w:val="000000"/>
                <w:sz w:val="24"/>
              </w:rPr>
              <w:t xml:space="preserve">  项目与《关于加强重点行业涉新污染物建设项目环境影响评价工作的意见》（环环评〔2025〕28号）相符性分析</w:t>
            </w:r>
          </w:p>
          <w:tbl>
            <w:tblPr>
              <w:tblStyle w:val="58"/>
              <w:tblW w:w="69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99"/>
              <w:gridCol w:w="2400"/>
            </w:tblGrid>
            <w:tr w14:paraId="0BDBF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62C90307">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《关于加强重点行业涉新污染物建设项目环境影响评价工作的意见》要求</w:t>
                  </w:r>
                </w:p>
              </w:tc>
              <w:tc>
                <w:tcPr>
                  <w:tcW w:w="2400" w:type="dxa"/>
                  <w:tcBorders>
                    <w:tl2br w:val="nil"/>
                    <w:tr2bl w:val="nil"/>
                  </w:tcBorders>
                  <w:noWrap w:val="0"/>
                  <w:vAlign w:val="center"/>
                </w:tcPr>
                <w:p w14:paraId="7A062060">
                  <w:pPr>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本项目相符性分析</w:t>
                  </w:r>
                </w:p>
              </w:tc>
            </w:tr>
            <w:tr w14:paraId="53295D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286B31BE">
                  <w:pPr>
                    <w:jc w:val="center"/>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对照不予审批环评的项目类别，严格审核建设项目原辅材料和产品，对于以禁止生产、加工使用的新污染物作为原辅料或产品的建设项目，依法不予审批</w:t>
                  </w:r>
                </w:p>
              </w:tc>
              <w:tc>
                <w:tcPr>
                  <w:tcW w:w="2400" w:type="dxa"/>
                  <w:tcBorders>
                    <w:tl2br w:val="nil"/>
                    <w:tr2bl w:val="nil"/>
                  </w:tcBorders>
                  <w:noWrap w:val="0"/>
                  <w:vAlign w:val="center"/>
                </w:tcPr>
                <w:p w14:paraId="26CD6316">
                  <w:pPr>
                    <w:jc w:val="center"/>
                    <w:rPr>
                      <w:rFonts w:hint="default" w:ascii="Times New Roman" w:hAnsi="Times New Roman" w:eastAsia="宋体" w:cs="Times New Roman"/>
                      <w:b w:val="0"/>
                      <w:bCs w:val="0"/>
                      <w:caps w:val="0"/>
                      <w:color w:val="000000"/>
                      <w:sz w:val="21"/>
                      <w:szCs w:val="21"/>
                      <w:lang w:val="en-US" w:eastAsia="zh-CN"/>
                    </w:rPr>
                  </w:pPr>
                  <w:r>
                    <w:rPr>
                      <w:rFonts w:hint="eastAsia" w:cs="Times New Roman"/>
                      <w:b w:val="0"/>
                      <w:bCs w:val="0"/>
                      <w:caps w:val="0"/>
                      <w:color w:val="000000"/>
                      <w:sz w:val="21"/>
                      <w:szCs w:val="21"/>
                      <w:lang w:val="en-US" w:eastAsia="zh-CN"/>
                    </w:rPr>
                    <w:t>项目不在不予审批环评的项目类别范围内，不属于</w:t>
                  </w:r>
                  <w:r>
                    <w:rPr>
                      <w:rFonts w:hint="default" w:ascii="Times New Roman" w:hAnsi="Times New Roman" w:eastAsia="宋体" w:cs="Times New Roman"/>
                      <w:b w:val="0"/>
                      <w:bCs w:val="0"/>
                      <w:caps w:val="0"/>
                      <w:color w:val="000000"/>
                      <w:sz w:val="21"/>
                      <w:szCs w:val="21"/>
                    </w:rPr>
                    <w:t>生产、加工使用的新污染物作为原辅料或产品的建设项目</w:t>
                  </w:r>
                </w:p>
              </w:tc>
            </w:tr>
            <w:tr w14:paraId="5B385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62513255">
                  <w:pPr>
                    <w:jc w:val="both"/>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优化原料、工艺和治理措施，从源头减少新污染物产生。建设项目应尽可能开发、使用低毒低害和无毒无害原料，减少产品中有毒有害物质含量；应采用清洁的生产工艺，提高资源利用率，从源头避免或削减新污染物产生。强化治理措施，已有污染防治技术的新污染物，应采取可行污染防治技术，加大治理力度，减轻新污染物排放对环境的影响。鼓励建设项目开展有毒有害化学物质绿色替代、新污染物减排以及污水污泥、废液废渣中新污染物治理等技术示范。</w:t>
                  </w:r>
                </w:p>
              </w:tc>
              <w:tc>
                <w:tcPr>
                  <w:tcW w:w="2400" w:type="dxa"/>
                  <w:tcBorders>
                    <w:tl2br w:val="nil"/>
                    <w:tr2bl w:val="nil"/>
                  </w:tcBorders>
                  <w:noWrap w:val="0"/>
                  <w:vAlign w:val="center"/>
                </w:tcPr>
                <w:p w14:paraId="79599EB4">
                  <w:pPr>
                    <w:jc w:val="center"/>
                    <w:rPr>
                      <w:rFonts w:hint="default" w:ascii="Times New Roman" w:hAnsi="Times New Roman" w:eastAsia="宋体" w:cs="Times New Roman"/>
                      <w:b w:val="0"/>
                      <w:bCs w:val="0"/>
                      <w:caps w:val="0"/>
                      <w:color w:val="000000"/>
                      <w:sz w:val="21"/>
                      <w:szCs w:val="21"/>
                      <w:lang w:val="en-US" w:eastAsia="zh-CN"/>
                    </w:rPr>
                  </w:pPr>
                  <w:r>
                    <w:rPr>
                      <w:rFonts w:hint="eastAsia" w:cs="Times New Roman"/>
                      <w:b w:val="0"/>
                      <w:bCs w:val="0"/>
                      <w:caps w:val="0"/>
                      <w:color w:val="000000"/>
                      <w:sz w:val="21"/>
                      <w:szCs w:val="21"/>
                      <w:lang w:val="en-US" w:eastAsia="zh-CN"/>
                    </w:rPr>
                    <w:t>项目原料有毒有害物质含量较小，经采取治理措施后，排放浓度满足排放标准</w:t>
                  </w:r>
                </w:p>
              </w:tc>
            </w:tr>
            <w:tr w14:paraId="724909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05034407">
                  <w:pPr>
                    <w:jc w:val="both"/>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对已发布污染物排放标准的新污染物严格排放达标要求。新建项目产生并排放已有排放标准新污染物的，应采取措施确保排放达标。涉及新污染物排放的改建、扩建项目，应对现有项目废气、废水排放口新污染物排放情况进行监测，对排放不能达标的，应提出整改措施。对可能涉及新污染物的废母液、精馏残渣、抗生素菌渣、废反应基和废培养基、污泥等固体废物，应根据国家危险废物名录进行判定，未列入名录的固体废物应提出项目运行后按危险废物鉴别标准进行鉴别的要求，属于危险废物的按照危险废物污染环境防治相关要求进行管理。对涉及新污染物的生产、贮存、运输、处置等装置、设备设施及场所，应按相关国家标准提出防腐蚀、防渗漏、防扬散等土壤和地下水污染防治措施。</w:t>
                  </w:r>
                </w:p>
              </w:tc>
              <w:tc>
                <w:tcPr>
                  <w:tcW w:w="2400" w:type="dxa"/>
                  <w:tcBorders>
                    <w:tl2br w:val="nil"/>
                    <w:tr2bl w:val="nil"/>
                  </w:tcBorders>
                  <w:noWrap w:val="0"/>
                  <w:vAlign w:val="center"/>
                </w:tcPr>
                <w:p w14:paraId="1E16F78E">
                  <w:pPr>
                    <w:jc w:val="center"/>
                    <w:rPr>
                      <w:rFonts w:hint="default" w:cs="Times New Roman"/>
                      <w:b w:val="0"/>
                      <w:bCs w:val="0"/>
                      <w:caps w:val="0"/>
                      <w:color w:val="000000"/>
                      <w:sz w:val="21"/>
                      <w:szCs w:val="21"/>
                      <w:lang w:val="en-US" w:eastAsia="zh-CN"/>
                    </w:rPr>
                  </w:pPr>
                  <w:r>
                    <w:rPr>
                      <w:rFonts w:hint="eastAsia" w:cs="Times New Roman"/>
                      <w:b w:val="0"/>
                      <w:bCs w:val="0"/>
                      <w:caps w:val="0"/>
                      <w:color w:val="000000"/>
                      <w:sz w:val="21"/>
                      <w:szCs w:val="21"/>
                      <w:lang w:val="en-US" w:eastAsia="zh-CN"/>
                    </w:rPr>
                    <w:t>项目产生的有毒有害气体经采取有效处理措施后，排放浓度满足相应排放标准</w:t>
                  </w:r>
                </w:p>
              </w:tc>
            </w:tr>
            <w:tr w14:paraId="5D5EC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599" w:type="dxa"/>
                  <w:tcBorders>
                    <w:tl2br w:val="nil"/>
                    <w:tr2bl w:val="nil"/>
                  </w:tcBorders>
                  <w:noWrap w:val="0"/>
                  <w:vAlign w:val="center"/>
                </w:tcPr>
                <w:p w14:paraId="6DCFB8D8">
                  <w:pPr>
                    <w:jc w:val="both"/>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强化新污染物排放情况跟踪监测。应在涉及新污染物的建设项目环评文件中，明确提出将相应的新污染物纳入监测计划要求；对既未发布污染物排放标准，也无污染防治技术，但已有环境监测方法标准的新污染物，应加强日常监控和监测，</w:t>
                  </w:r>
                </w:p>
                <w:p w14:paraId="64D0203A">
                  <w:pPr>
                    <w:jc w:val="both"/>
                    <w:rPr>
                      <w:rFonts w:hint="default" w:ascii="Times New Roman" w:hAnsi="Times New Roman" w:eastAsia="宋体" w:cs="Times New Roman"/>
                      <w:b w:val="0"/>
                      <w:bCs w:val="0"/>
                      <w:caps w:val="0"/>
                      <w:color w:val="000000"/>
                      <w:sz w:val="21"/>
                      <w:szCs w:val="21"/>
                    </w:rPr>
                  </w:pPr>
                  <w:r>
                    <w:rPr>
                      <w:rFonts w:hint="default" w:ascii="Times New Roman" w:hAnsi="Times New Roman" w:eastAsia="宋体" w:cs="Times New Roman"/>
                      <w:b w:val="0"/>
                      <w:bCs w:val="0"/>
                      <w:caps w:val="0"/>
                      <w:color w:val="000000"/>
                      <w:sz w:val="21"/>
                      <w:szCs w:val="21"/>
                    </w:rPr>
                    <w:t>掌握新污染物排放情况。将周边环境的相应新污染物监测纳入环境监测计划，做好跟踪监测</w:t>
                  </w:r>
                </w:p>
              </w:tc>
              <w:tc>
                <w:tcPr>
                  <w:tcW w:w="2400" w:type="dxa"/>
                  <w:tcBorders>
                    <w:tl2br w:val="nil"/>
                    <w:tr2bl w:val="nil"/>
                  </w:tcBorders>
                  <w:noWrap w:val="0"/>
                  <w:vAlign w:val="center"/>
                </w:tcPr>
                <w:p w14:paraId="1106C558">
                  <w:pPr>
                    <w:jc w:val="center"/>
                    <w:rPr>
                      <w:rFonts w:hint="eastAsia" w:cs="Times New Roman"/>
                      <w:b w:val="0"/>
                      <w:bCs w:val="0"/>
                      <w:caps w:val="0"/>
                      <w:color w:val="000000"/>
                      <w:sz w:val="21"/>
                      <w:szCs w:val="21"/>
                      <w:lang w:val="en-US" w:eastAsia="zh-CN"/>
                    </w:rPr>
                  </w:pPr>
                  <w:r>
                    <w:rPr>
                      <w:rFonts w:hint="eastAsia" w:cs="Times New Roman"/>
                      <w:b w:val="0"/>
                      <w:bCs w:val="0"/>
                      <w:caps w:val="0"/>
                      <w:color w:val="000000"/>
                      <w:sz w:val="21"/>
                      <w:szCs w:val="21"/>
                      <w:lang w:val="en-US" w:eastAsia="zh-CN"/>
                    </w:rPr>
                    <w:t>企业已制定自行检测方案，定期开展环境监测</w:t>
                  </w:r>
                </w:p>
              </w:tc>
            </w:tr>
          </w:tbl>
          <w:p w14:paraId="1E302F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综上，项目符合《关于加强重点行业涉新污染物建设项目环境影响评价工作的意见》（环环评〔2025〕28号）中相关要求。</w:t>
            </w:r>
          </w:p>
          <w:p w14:paraId="2A099A23">
            <w:pPr>
              <w:numPr>
                <w:numId w:val="0"/>
              </w:numPr>
              <w:spacing w:line="360" w:lineRule="auto"/>
              <w:jc w:val="both"/>
              <w:rPr>
                <w:rFonts w:hint="default" w:cs="Times New Roman"/>
                <w:color w:val="000000"/>
                <w:sz w:val="24"/>
                <w:lang w:val="en-US" w:eastAsia="zh-CN"/>
              </w:rPr>
            </w:pPr>
          </w:p>
          <w:p w14:paraId="5AD7F02B">
            <w:pPr>
              <w:autoSpaceDE w:val="0"/>
              <w:autoSpaceDN w:val="0"/>
              <w:adjustRightInd w:val="0"/>
              <w:spacing w:line="360" w:lineRule="auto"/>
              <w:ind w:firstLine="482" w:firstLineChars="200"/>
              <w:jc w:val="left"/>
              <w:rPr>
                <w:rFonts w:hint="default" w:ascii="Times New Roman" w:hAnsi="Times New Roman" w:cs="Times New Roman"/>
                <w:b/>
                <w:sz w:val="24"/>
              </w:rPr>
            </w:pPr>
          </w:p>
          <w:p w14:paraId="7097A253">
            <w:pPr>
              <w:autoSpaceDE w:val="0"/>
              <w:autoSpaceDN w:val="0"/>
              <w:adjustRightInd w:val="0"/>
              <w:spacing w:line="360" w:lineRule="auto"/>
              <w:ind w:firstLine="482" w:firstLineChars="200"/>
              <w:jc w:val="left"/>
              <w:rPr>
                <w:rFonts w:hint="default" w:ascii="Times New Roman" w:hAnsi="Times New Roman" w:cs="Times New Roman"/>
                <w:b/>
                <w:sz w:val="24"/>
              </w:rPr>
            </w:pPr>
          </w:p>
          <w:p w14:paraId="043B40FE">
            <w:pPr>
              <w:autoSpaceDE w:val="0"/>
              <w:autoSpaceDN w:val="0"/>
              <w:adjustRightInd w:val="0"/>
              <w:spacing w:line="360" w:lineRule="auto"/>
              <w:ind w:firstLine="482" w:firstLineChars="200"/>
              <w:jc w:val="left"/>
              <w:rPr>
                <w:rFonts w:hint="default" w:ascii="Times New Roman" w:hAnsi="Times New Roman" w:cs="Times New Roman"/>
                <w:b/>
                <w:sz w:val="24"/>
              </w:rPr>
            </w:pPr>
          </w:p>
          <w:p w14:paraId="7039070B">
            <w:pPr>
              <w:autoSpaceDE w:val="0"/>
              <w:autoSpaceDN w:val="0"/>
              <w:adjustRightInd w:val="0"/>
              <w:spacing w:line="360" w:lineRule="auto"/>
              <w:ind w:firstLine="482" w:firstLineChars="200"/>
              <w:jc w:val="left"/>
              <w:rPr>
                <w:rFonts w:hint="default" w:ascii="Times New Roman" w:hAnsi="Times New Roman" w:cs="Times New Roman"/>
                <w:b/>
                <w:sz w:val="24"/>
              </w:rPr>
            </w:pPr>
          </w:p>
          <w:p w14:paraId="2E3AF903">
            <w:pPr>
              <w:autoSpaceDE w:val="0"/>
              <w:autoSpaceDN w:val="0"/>
              <w:adjustRightInd w:val="0"/>
              <w:spacing w:line="360" w:lineRule="auto"/>
              <w:ind w:firstLine="482" w:firstLineChars="200"/>
              <w:jc w:val="left"/>
              <w:rPr>
                <w:rFonts w:hint="default" w:ascii="Times New Roman" w:hAnsi="Times New Roman" w:cs="Times New Roman"/>
                <w:b/>
                <w:sz w:val="24"/>
              </w:rPr>
            </w:pPr>
          </w:p>
          <w:p w14:paraId="56D028BB">
            <w:pPr>
              <w:autoSpaceDE w:val="0"/>
              <w:autoSpaceDN w:val="0"/>
              <w:adjustRightInd w:val="0"/>
              <w:spacing w:line="360" w:lineRule="auto"/>
              <w:jc w:val="left"/>
              <w:rPr>
                <w:rFonts w:hint="default" w:ascii="Times New Roman" w:hAnsi="Times New Roman" w:cs="Times New Roman"/>
                <w:b/>
                <w:sz w:val="24"/>
              </w:rPr>
            </w:pPr>
          </w:p>
          <w:p w14:paraId="422D5572">
            <w:pPr>
              <w:autoSpaceDE w:val="0"/>
              <w:autoSpaceDN w:val="0"/>
              <w:adjustRightInd w:val="0"/>
              <w:spacing w:line="360" w:lineRule="auto"/>
              <w:jc w:val="left"/>
              <w:rPr>
                <w:rFonts w:hint="default" w:ascii="Times New Roman" w:hAnsi="Times New Roman" w:cs="Times New Roman"/>
                <w:b/>
                <w:sz w:val="24"/>
              </w:rPr>
            </w:pPr>
          </w:p>
          <w:p w14:paraId="58188288">
            <w:pPr>
              <w:autoSpaceDE w:val="0"/>
              <w:autoSpaceDN w:val="0"/>
              <w:adjustRightInd w:val="0"/>
              <w:spacing w:line="360" w:lineRule="auto"/>
              <w:jc w:val="left"/>
              <w:rPr>
                <w:rFonts w:hint="default" w:ascii="Times New Roman" w:hAnsi="Times New Roman" w:cs="Times New Roman"/>
                <w:b/>
                <w:sz w:val="24"/>
              </w:rPr>
            </w:pPr>
          </w:p>
          <w:p w14:paraId="60817A2E">
            <w:pPr>
              <w:autoSpaceDE w:val="0"/>
              <w:autoSpaceDN w:val="0"/>
              <w:adjustRightInd w:val="0"/>
              <w:spacing w:line="360" w:lineRule="auto"/>
              <w:jc w:val="left"/>
              <w:rPr>
                <w:rFonts w:hint="default" w:ascii="Times New Roman" w:hAnsi="Times New Roman" w:cs="Times New Roman"/>
                <w:b/>
                <w:sz w:val="24"/>
              </w:rPr>
            </w:pPr>
          </w:p>
          <w:p w14:paraId="10F76EA1">
            <w:pPr>
              <w:autoSpaceDE w:val="0"/>
              <w:autoSpaceDN w:val="0"/>
              <w:adjustRightInd w:val="0"/>
              <w:spacing w:line="360" w:lineRule="auto"/>
              <w:jc w:val="left"/>
              <w:rPr>
                <w:rFonts w:hint="default" w:ascii="Times New Roman" w:hAnsi="Times New Roman" w:cs="Times New Roman"/>
                <w:b/>
                <w:sz w:val="24"/>
              </w:rPr>
            </w:pPr>
          </w:p>
          <w:p w14:paraId="069BB64C">
            <w:pPr>
              <w:autoSpaceDE w:val="0"/>
              <w:autoSpaceDN w:val="0"/>
              <w:adjustRightInd w:val="0"/>
              <w:spacing w:line="360" w:lineRule="auto"/>
              <w:jc w:val="left"/>
              <w:rPr>
                <w:rFonts w:hint="default" w:ascii="Times New Roman" w:hAnsi="Times New Roman" w:cs="Times New Roman"/>
                <w:b/>
                <w:sz w:val="24"/>
              </w:rPr>
            </w:pPr>
          </w:p>
          <w:p w14:paraId="68129CCE">
            <w:pPr>
              <w:autoSpaceDE w:val="0"/>
              <w:autoSpaceDN w:val="0"/>
              <w:adjustRightInd w:val="0"/>
              <w:spacing w:line="360" w:lineRule="auto"/>
              <w:jc w:val="left"/>
              <w:rPr>
                <w:rFonts w:hint="default" w:ascii="Times New Roman" w:hAnsi="Times New Roman" w:cs="Times New Roman"/>
                <w:b/>
                <w:sz w:val="24"/>
              </w:rPr>
            </w:pPr>
          </w:p>
          <w:p w14:paraId="261A689B">
            <w:pPr>
              <w:autoSpaceDE w:val="0"/>
              <w:autoSpaceDN w:val="0"/>
              <w:adjustRightInd w:val="0"/>
              <w:spacing w:line="360" w:lineRule="auto"/>
              <w:jc w:val="left"/>
              <w:rPr>
                <w:rFonts w:hint="default" w:ascii="Times New Roman" w:hAnsi="Times New Roman" w:cs="Times New Roman"/>
                <w:b/>
                <w:sz w:val="24"/>
              </w:rPr>
            </w:pPr>
          </w:p>
          <w:p w14:paraId="2A9716E7">
            <w:pPr>
              <w:autoSpaceDE w:val="0"/>
              <w:autoSpaceDN w:val="0"/>
              <w:adjustRightInd w:val="0"/>
              <w:spacing w:line="360" w:lineRule="auto"/>
              <w:jc w:val="left"/>
              <w:rPr>
                <w:rFonts w:hint="default" w:ascii="Times New Roman" w:hAnsi="Times New Roman" w:cs="Times New Roman"/>
                <w:b/>
                <w:sz w:val="24"/>
              </w:rPr>
            </w:pPr>
          </w:p>
          <w:p w14:paraId="28D57ED9">
            <w:pPr>
              <w:autoSpaceDE w:val="0"/>
              <w:autoSpaceDN w:val="0"/>
              <w:adjustRightInd w:val="0"/>
              <w:spacing w:line="360" w:lineRule="auto"/>
              <w:jc w:val="left"/>
              <w:rPr>
                <w:rFonts w:hint="default" w:ascii="Times New Roman" w:hAnsi="Times New Roman" w:cs="Times New Roman"/>
                <w:b/>
                <w:sz w:val="24"/>
              </w:rPr>
            </w:pPr>
          </w:p>
          <w:p w14:paraId="08BE4597">
            <w:pPr>
              <w:autoSpaceDE w:val="0"/>
              <w:autoSpaceDN w:val="0"/>
              <w:adjustRightInd w:val="0"/>
              <w:spacing w:line="360" w:lineRule="auto"/>
              <w:jc w:val="left"/>
              <w:rPr>
                <w:rFonts w:hint="default" w:ascii="Times New Roman" w:hAnsi="Times New Roman" w:cs="Times New Roman"/>
                <w:b/>
                <w:sz w:val="24"/>
              </w:rPr>
            </w:pPr>
          </w:p>
          <w:p w14:paraId="2CC9BBD0">
            <w:pPr>
              <w:autoSpaceDE w:val="0"/>
              <w:autoSpaceDN w:val="0"/>
              <w:adjustRightInd w:val="0"/>
              <w:spacing w:line="360" w:lineRule="auto"/>
              <w:jc w:val="left"/>
              <w:rPr>
                <w:rFonts w:hint="default" w:ascii="Times New Roman" w:hAnsi="Times New Roman" w:cs="Times New Roman"/>
                <w:b/>
                <w:sz w:val="24"/>
              </w:rPr>
            </w:pPr>
          </w:p>
          <w:p w14:paraId="02BC2D4B">
            <w:pPr>
              <w:autoSpaceDE w:val="0"/>
              <w:autoSpaceDN w:val="0"/>
              <w:adjustRightInd w:val="0"/>
              <w:spacing w:line="360" w:lineRule="auto"/>
              <w:jc w:val="left"/>
              <w:rPr>
                <w:rFonts w:hint="default" w:ascii="Times New Roman" w:hAnsi="Times New Roman" w:cs="Times New Roman"/>
                <w:b/>
                <w:sz w:val="24"/>
              </w:rPr>
            </w:pPr>
          </w:p>
          <w:p w14:paraId="3D13AAFE">
            <w:pPr>
              <w:autoSpaceDE w:val="0"/>
              <w:autoSpaceDN w:val="0"/>
              <w:adjustRightInd w:val="0"/>
              <w:spacing w:line="360" w:lineRule="auto"/>
              <w:jc w:val="left"/>
              <w:rPr>
                <w:rFonts w:hint="default" w:ascii="Times New Roman" w:hAnsi="Times New Roman" w:cs="Times New Roman"/>
                <w:b/>
                <w:sz w:val="24"/>
              </w:rPr>
            </w:pPr>
          </w:p>
          <w:p w14:paraId="3DE9CC1E">
            <w:pPr>
              <w:autoSpaceDE w:val="0"/>
              <w:autoSpaceDN w:val="0"/>
              <w:adjustRightInd w:val="0"/>
              <w:spacing w:line="360" w:lineRule="auto"/>
              <w:jc w:val="left"/>
              <w:rPr>
                <w:rFonts w:hint="default" w:ascii="Times New Roman" w:hAnsi="Times New Roman" w:cs="Times New Roman"/>
                <w:b/>
                <w:sz w:val="24"/>
              </w:rPr>
            </w:pPr>
          </w:p>
        </w:tc>
      </w:tr>
    </w:tbl>
    <w:p w14:paraId="5B7A8DB5">
      <w:pPr>
        <w:spacing w:line="360" w:lineRule="auto"/>
        <w:outlineLvl w:val="0"/>
        <w:rPr>
          <w:sz w:val="30"/>
        </w:rPr>
        <w:sectPr>
          <w:footerReference r:id="rId5"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07947678">
      <w:pPr>
        <w:pStyle w:val="53"/>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二、建设项目工程分析</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8526"/>
      </w:tblGrid>
      <w:tr w14:paraId="48385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0" w:hRule="atLeast"/>
          <w:jc w:val="center"/>
        </w:trPr>
        <w:tc>
          <w:tcPr>
            <w:tcW w:w="534" w:type="dxa"/>
            <w:vAlign w:val="center"/>
          </w:tcPr>
          <w:p w14:paraId="65918E0B">
            <w:pPr>
              <w:autoSpaceDE w:val="0"/>
              <w:autoSpaceDN w:val="0"/>
              <w:adjustRightInd w:val="0"/>
              <w:snapToGrid w:val="0"/>
              <w:jc w:val="center"/>
              <w:rPr>
                <w:rFonts w:cs="宋体"/>
                <w:kern w:val="0"/>
                <w:sz w:val="24"/>
              </w:rPr>
            </w:pPr>
            <w:r>
              <w:rPr>
                <w:rFonts w:hint="eastAsia" w:cs="宋体"/>
                <w:kern w:val="0"/>
                <w:sz w:val="24"/>
              </w:rPr>
              <w:t>建设内容</w:t>
            </w:r>
          </w:p>
        </w:tc>
        <w:tc>
          <w:tcPr>
            <w:tcW w:w="8526" w:type="dxa"/>
          </w:tcPr>
          <w:p w14:paraId="1C031B88">
            <w:pPr>
              <w:spacing w:before="100" w:beforeAutospacing="1" w:line="360" w:lineRule="auto"/>
              <w:ind w:firstLine="482" w:firstLineChars="200"/>
              <w:rPr>
                <w:b/>
                <w:kern w:val="0"/>
                <w:sz w:val="24"/>
              </w:rPr>
            </w:pPr>
            <w:r>
              <w:rPr>
                <w:rFonts w:hint="eastAsia"/>
                <w:b/>
                <w:kern w:val="0"/>
                <w:sz w:val="24"/>
              </w:rPr>
              <w:t>1、项目由来</w:t>
            </w:r>
          </w:p>
          <w:p w14:paraId="3E43FA96">
            <w:pPr>
              <w:adjustRightInd w:val="0"/>
              <w:snapToGrid w:val="0"/>
              <w:spacing w:line="360" w:lineRule="auto"/>
              <w:ind w:firstLine="480" w:firstLineChars="200"/>
              <w:jc w:val="left"/>
              <w:rPr>
                <w:rFonts w:hint="default" w:eastAsia="宋体"/>
                <w:color w:val="FF0000"/>
                <w:sz w:val="24"/>
                <w:lang w:val="en-US" w:eastAsia="zh-CN"/>
              </w:rPr>
            </w:pPr>
            <w:r>
              <w:rPr>
                <w:rFonts w:hint="eastAsia"/>
                <w:sz w:val="24"/>
              </w:rPr>
              <w:t>芜湖易昌科技有限公司</w:t>
            </w:r>
            <w:r>
              <w:rPr>
                <w:sz w:val="24"/>
              </w:rPr>
              <w:t>拟投资</w:t>
            </w:r>
            <w:r>
              <w:rPr>
                <w:rFonts w:hint="eastAsia"/>
                <w:sz w:val="24"/>
                <w:lang w:val="en-US" w:eastAsia="zh-CN"/>
              </w:rPr>
              <w:t>7</w:t>
            </w:r>
            <w:r>
              <w:rPr>
                <w:sz w:val="24"/>
              </w:rPr>
              <w:t>00万元于</w:t>
            </w:r>
            <w:r>
              <w:rPr>
                <w:rFonts w:hint="eastAsia"/>
                <w:sz w:val="24"/>
                <w:lang w:eastAsia="zh-CN"/>
              </w:rPr>
              <w:t>芜湖经济技术开发区龙山街道大桥镇红星路41号综合楼一楼1号</w:t>
            </w:r>
            <w:r>
              <w:rPr>
                <w:rFonts w:hint="eastAsia"/>
                <w:sz w:val="24"/>
              </w:rPr>
              <w:t>厂房</w:t>
            </w:r>
            <w:r>
              <w:rPr>
                <w:sz w:val="24"/>
              </w:rPr>
              <w:t>建设</w:t>
            </w:r>
            <w:r>
              <w:rPr>
                <w:rFonts w:hint="eastAsia"/>
                <w:sz w:val="24"/>
              </w:rPr>
              <w:t>年产4800万米承载带、26万平方米盖带项目</w:t>
            </w:r>
            <w:r>
              <w:rPr>
                <w:color w:val="auto"/>
                <w:sz w:val="24"/>
              </w:rPr>
              <w:t>。</w:t>
            </w:r>
            <w:r>
              <w:rPr>
                <w:rFonts w:hint="eastAsia"/>
                <w:color w:val="auto"/>
                <w:sz w:val="24"/>
              </w:rPr>
              <w:t>该项目已</w:t>
            </w:r>
            <w:r>
              <w:rPr>
                <w:rFonts w:hint="eastAsia"/>
                <w:color w:val="auto"/>
                <w:sz w:val="24"/>
                <w:szCs w:val="20"/>
              </w:rPr>
              <w:t>于</w:t>
            </w:r>
            <w:r>
              <w:rPr>
                <w:rFonts w:hint="eastAsia"/>
                <w:color w:val="auto"/>
                <w:sz w:val="24"/>
              </w:rPr>
              <w:t>202</w:t>
            </w:r>
            <w:r>
              <w:rPr>
                <w:rFonts w:hint="eastAsia"/>
                <w:color w:val="auto"/>
                <w:sz w:val="24"/>
                <w:lang w:val="en-US" w:eastAsia="zh-CN"/>
              </w:rPr>
              <w:t>5</w:t>
            </w:r>
            <w:r>
              <w:rPr>
                <w:rFonts w:hint="eastAsia"/>
                <w:color w:val="auto"/>
                <w:sz w:val="24"/>
              </w:rPr>
              <w:t>年3月</w:t>
            </w:r>
            <w:r>
              <w:rPr>
                <w:rFonts w:hint="eastAsia"/>
                <w:color w:val="auto"/>
                <w:sz w:val="24"/>
                <w:lang w:val="en-US" w:eastAsia="zh-CN"/>
              </w:rPr>
              <w:t>28</w:t>
            </w:r>
            <w:r>
              <w:rPr>
                <w:rFonts w:hint="eastAsia"/>
                <w:color w:val="auto"/>
                <w:sz w:val="24"/>
              </w:rPr>
              <w:t>日获得了芜湖经济技术开发区管理委员会备案，备案编号：开备案[202</w:t>
            </w:r>
            <w:r>
              <w:rPr>
                <w:rFonts w:hint="eastAsia"/>
                <w:color w:val="auto"/>
                <w:sz w:val="24"/>
                <w:lang w:val="en-US" w:eastAsia="zh-CN"/>
              </w:rPr>
              <w:t>5</w:t>
            </w:r>
            <w:r>
              <w:rPr>
                <w:rFonts w:hint="eastAsia"/>
                <w:color w:val="auto"/>
                <w:sz w:val="24"/>
              </w:rPr>
              <w:t>]</w:t>
            </w:r>
            <w:r>
              <w:rPr>
                <w:rFonts w:hint="eastAsia"/>
                <w:color w:val="auto"/>
                <w:sz w:val="24"/>
                <w:lang w:val="en-US" w:eastAsia="zh-CN"/>
              </w:rPr>
              <w:t>83</w:t>
            </w:r>
            <w:r>
              <w:rPr>
                <w:rFonts w:hint="eastAsia"/>
                <w:color w:val="auto"/>
                <w:sz w:val="24"/>
              </w:rPr>
              <w:t>号</w:t>
            </w:r>
            <w:r>
              <w:rPr>
                <w:color w:val="auto"/>
                <w:sz w:val="24"/>
              </w:rPr>
              <w:t>。</w:t>
            </w:r>
            <w:r>
              <w:rPr>
                <w:rFonts w:hint="eastAsia"/>
                <w:bCs/>
                <w:color w:val="auto"/>
                <w:sz w:val="24"/>
                <w:lang w:val="en-US" w:eastAsia="zh-CN"/>
              </w:rPr>
              <w:t>项目代码为：2504-340264-04-01-872072。</w:t>
            </w:r>
          </w:p>
          <w:p w14:paraId="50F11F96">
            <w:pPr>
              <w:adjustRightInd w:val="0"/>
              <w:snapToGrid w:val="0"/>
              <w:spacing w:line="360" w:lineRule="auto"/>
              <w:ind w:firstLine="480" w:firstLineChars="200"/>
              <w:rPr>
                <w:rFonts w:cs="宋体"/>
                <w:sz w:val="24"/>
              </w:rPr>
            </w:pPr>
            <w:r>
              <w:rPr>
                <w:rFonts w:hint="eastAsia" w:cs="宋体"/>
                <w:sz w:val="24"/>
              </w:rPr>
              <w:t>根据《中华人民共和国环境影响评价法》和《建设项目环境保护管理条例》等有关规定，建设单位必须就本项目办理环保相关手续。根据《建设项目环境影响评价分类管理名录》（2021版），本项目项目属于“二十六、橡胶和塑料制品业 29”中的“53、塑料制品业 292”中“其他（年用非溶剂型低VOCs含量涂料10吨以下的除外）”项，应编制环境影响报告表。为此芜湖易昌科技有限公</w:t>
            </w:r>
            <w:r>
              <w:rPr>
                <w:rFonts w:hint="eastAsia" w:cs="宋体"/>
                <w:color w:val="auto"/>
                <w:sz w:val="24"/>
              </w:rPr>
              <w:t>司</w:t>
            </w:r>
            <w:r>
              <w:rPr>
                <w:rFonts w:cs="宋体"/>
                <w:color w:val="auto"/>
                <w:sz w:val="24"/>
              </w:rPr>
              <w:t>委托我</w:t>
            </w:r>
            <w:r>
              <w:rPr>
                <w:rFonts w:cs="宋体"/>
                <w:sz w:val="24"/>
              </w:rPr>
              <w:t>公司承担其环境影响评价工作。接受委托后，我公司立即组织有关技术人员进行现场踏勘、收集资料，依据国家有关法规文件和环境影响评价导则，编制了该项目环境影响报告表。</w:t>
            </w:r>
          </w:p>
          <w:p w14:paraId="3CFBEBC3">
            <w:pPr>
              <w:keepNext w:val="0"/>
              <w:keepLines w:val="0"/>
              <w:pageBreakBefore w:val="0"/>
              <w:widowControl/>
              <w:kinsoku/>
              <w:wordWrap/>
              <w:overflowPunct/>
              <w:topLinePunct w:val="0"/>
              <w:autoSpaceDE/>
              <w:autoSpaceDN/>
              <w:bidi w:val="0"/>
              <w:adjustRightInd/>
              <w:snapToGrid w:val="0"/>
              <w:spacing w:beforeAutospacing="0"/>
              <w:jc w:val="center"/>
              <w:textAlignment w:val="auto"/>
              <w:rPr>
                <w:b/>
                <w:sz w:val="24"/>
              </w:rPr>
            </w:pPr>
            <w:r>
              <w:rPr>
                <w:b/>
                <w:sz w:val="24"/>
              </w:rPr>
              <w:t>表</w:t>
            </w:r>
            <w:r>
              <w:rPr>
                <w:rFonts w:hint="eastAsia"/>
                <w:b/>
                <w:sz w:val="24"/>
              </w:rPr>
              <w:t>2</w:t>
            </w:r>
            <w:r>
              <w:rPr>
                <w:b/>
                <w:sz w:val="24"/>
              </w:rPr>
              <w:t xml:space="preserve">-1  </w:t>
            </w:r>
            <w:r>
              <w:rPr>
                <w:rFonts w:hint="eastAsia"/>
                <w:b/>
                <w:sz w:val="24"/>
                <w:lang w:val="en-US" w:eastAsia="zh-CN"/>
              </w:rPr>
              <w:t>环评</w:t>
            </w:r>
            <w:r>
              <w:rPr>
                <w:b/>
                <w:sz w:val="24"/>
              </w:rPr>
              <w:t>分类管理名录对照表</w:t>
            </w:r>
          </w:p>
          <w:tbl>
            <w:tblPr>
              <w:tblStyle w:val="58"/>
              <w:tblW w:w="4995" w:type="pct"/>
              <w:tblInd w:w="2"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252"/>
              <w:gridCol w:w="3791"/>
              <w:gridCol w:w="1692"/>
              <w:gridCol w:w="877"/>
            </w:tblGrid>
            <w:tr w14:paraId="2AC5F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16" w:type="pct"/>
                  <w:tcBorders>
                    <w:tl2br w:val="nil"/>
                    <w:tr2bl w:val="nil"/>
                  </w:tcBorders>
                  <w:shd w:val="clear" w:color="auto" w:fill="auto"/>
                  <w:vAlign w:val="center"/>
                </w:tcPr>
                <w:p w14:paraId="015A94FF">
                  <w:pPr>
                    <w:adjustRightInd w:val="0"/>
                    <w:snapToGrid w:val="0"/>
                    <w:jc w:val="center"/>
                    <w:rPr>
                      <w:b/>
                      <w:szCs w:val="21"/>
                    </w:rPr>
                  </w:pPr>
                  <w:r>
                    <w:rPr>
                      <w:b/>
                      <w:szCs w:val="21"/>
                    </w:rPr>
                    <w:t>序号</w:t>
                  </w:r>
                </w:p>
              </w:tc>
              <w:tc>
                <w:tcPr>
                  <w:tcW w:w="754" w:type="pct"/>
                  <w:tcBorders>
                    <w:tl2br w:val="nil"/>
                    <w:tr2bl w:val="nil"/>
                  </w:tcBorders>
                  <w:shd w:val="clear" w:color="auto" w:fill="auto"/>
                  <w:vAlign w:val="center"/>
                </w:tcPr>
                <w:p w14:paraId="1BBBB496">
                  <w:pPr>
                    <w:adjustRightInd w:val="0"/>
                    <w:snapToGrid w:val="0"/>
                    <w:jc w:val="center"/>
                    <w:rPr>
                      <w:b/>
                      <w:szCs w:val="21"/>
                    </w:rPr>
                  </w:pPr>
                  <w:r>
                    <w:rPr>
                      <w:b/>
                      <w:szCs w:val="21"/>
                    </w:rPr>
                    <w:t>行业类别</w:t>
                  </w:r>
                </w:p>
              </w:tc>
              <w:tc>
                <w:tcPr>
                  <w:tcW w:w="2283" w:type="pct"/>
                  <w:tcBorders>
                    <w:tl2br w:val="nil"/>
                    <w:tr2bl w:val="nil"/>
                  </w:tcBorders>
                  <w:shd w:val="clear" w:color="auto" w:fill="auto"/>
                  <w:vAlign w:val="center"/>
                </w:tcPr>
                <w:p w14:paraId="32310CAE">
                  <w:pPr>
                    <w:adjustRightInd w:val="0"/>
                    <w:snapToGrid w:val="0"/>
                    <w:jc w:val="center"/>
                    <w:rPr>
                      <w:rFonts w:hint="eastAsia" w:eastAsia="宋体"/>
                      <w:b/>
                      <w:szCs w:val="21"/>
                      <w:lang w:eastAsia="zh-CN"/>
                    </w:rPr>
                  </w:pPr>
                  <w:r>
                    <w:rPr>
                      <w:rFonts w:hint="eastAsia"/>
                      <w:b/>
                      <w:szCs w:val="21"/>
                      <w:lang w:val="en-US" w:eastAsia="zh-CN"/>
                    </w:rPr>
                    <w:t>报告书</w:t>
                  </w:r>
                </w:p>
              </w:tc>
              <w:tc>
                <w:tcPr>
                  <w:tcW w:w="1019" w:type="pct"/>
                  <w:tcBorders>
                    <w:tl2br w:val="nil"/>
                    <w:tr2bl w:val="nil"/>
                  </w:tcBorders>
                  <w:shd w:val="clear" w:color="auto" w:fill="auto"/>
                  <w:vAlign w:val="center"/>
                </w:tcPr>
                <w:p w14:paraId="3BC69FB2">
                  <w:pPr>
                    <w:adjustRightInd w:val="0"/>
                    <w:snapToGrid w:val="0"/>
                    <w:jc w:val="center"/>
                    <w:rPr>
                      <w:rFonts w:hint="eastAsia" w:eastAsia="宋体"/>
                      <w:b/>
                      <w:szCs w:val="21"/>
                      <w:lang w:eastAsia="zh-CN"/>
                    </w:rPr>
                  </w:pPr>
                  <w:r>
                    <w:rPr>
                      <w:rFonts w:hint="eastAsia"/>
                      <w:b/>
                      <w:szCs w:val="21"/>
                      <w:lang w:val="en-US" w:eastAsia="zh-CN"/>
                    </w:rPr>
                    <w:t>报告表</w:t>
                  </w:r>
                </w:p>
              </w:tc>
              <w:tc>
                <w:tcPr>
                  <w:tcW w:w="526" w:type="pct"/>
                  <w:tcBorders>
                    <w:tl2br w:val="nil"/>
                    <w:tr2bl w:val="nil"/>
                  </w:tcBorders>
                  <w:shd w:val="clear" w:color="auto" w:fill="auto"/>
                  <w:vAlign w:val="center"/>
                </w:tcPr>
                <w:p w14:paraId="6620630D">
                  <w:pPr>
                    <w:adjustRightInd w:val="0"/>
                    <w:snapToGrid w:val="0"/>
                    <w:jc w:val="center"/>
                    <w:rPr>
                      <w:rFonts w:hint="eastAsia" w:eastAsia="宋体"/>
                      <w:b/>
                      <w:szCs w:val="21"/>
                      <w:lang w:eastAsia="zh-CN"/>
                    </w:rPr>
                  </w:pPr>
                  <w:r>
                    <w:rPr>
                      <w:rFonts w:hint="eastAsia"/>
                      <w:b/>
                      <w:szCs w:val="21"/>
                      <w:lang w:val="en-US" w:eastAsia="zh-CN"/>
                    </w:rPr>
                    <w:t>登记表</w:t>
                  </w:r>
                </w:p>
              </w:tc>
            </w:tr>
            <w:tr w14:paraId="2014A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000" w:type="pct"/>
                  <w:gridSpan w:val="5"/>
                  <w:tcBorders>
                    <w:tl2br w:val="nil"/>
                    <w:tr2bl w:val="nil"/>
                  </w:tcBorders>
                  <w:shd w:val="clear" w:color="auto" w:fill="auto"/>
                  <w:vAlign w:val="center"/>
                </w:tcPr>
                <w:p w14:paraId="461FD78E">
                  <w:pPr>
                    <w:adjustRightInd w:val="0"/>
                    <w:snapToGrid w:val="0"/>
                    <w:jc w:val="left"/>
                    <w:rPr>
                      <w:b/>
                      <w:szCs w:val="21"/>
                    </w:rPr>
                  </w:pPr>
                  <w:r>
                    <w:rPr>
                      <w:rFonts w:hint="eastAsia"/>
                      <w:b/>
                      <w:szCs w:val="21"/>
                    </w:rPr>
                    <w:t>二十六、橡胶和塑料制品业 29</w:t>
                  </w:r>
                </w:p>
              </w:tc>
            </w:tr>
            <w:tr w14:paraId="7D1CB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416" w:type="pct"/>
                  <w:tcBorders>
                    <w:tl2br w:val="nil"/>
                    <w:tr2bl w:val="nil"/>
                  </w:tcBorders>
                  <w:shd w:val="clear" w:color="auto" w:fill="auto"/>
                  <w:vAlign w:val="center"/>
                </w:tcPr>
                <w:p w14:paraId="1A3E0A97">
                  <w:pPr>
                    <w:pStyle w:val="31"/>
                    <w:keepNext w:val="0"/>
                    <w:keepLines w:val="0"/>
                    <w:pageBreakBefore w:val="0"/>
                    <w:widowControl w:val="0"/>
                    <w:kinsoku/>
                    <w:wordWrap/>
                    <w:overflowPunct/>
                    <w:topLinePunct w:val="0"/>
                    <w:autoSpaceDE/>
                    <w:autoSpaceDN/>
                    <w:bidi w:val="0"/>
                    <w:adjustRightInd/>
                    <w:snapToGrid/>
                    <w:ind w:right="0" w:rightChars="0"/>
                    <w:jc w:val="center"/>
                    <w:textAlignment w:val="auto"/>
                    <w:rPr>
                      <w:szCs w:val="21"/>
                    </w:rPr>
                  </w:pPr>
                  <w:r>
                    <w:rPr>
                      <w:rFonts w:hint="eastAsia" w:ascii="Times New Roman" w:hAnsi="Times New Roman" w:cs="Times New Roman"/>
                      <w:caps w:val="0"/>
                      <w:color w:val="auto"/>
                      <w:highlight w:val="none"/>
                      <w:lang w:val="en-US" w:eastAsia="zh-CN"/>
                    </w:rPr>
                    <w:t>53</w:t>
                  </w:r>
                </w:p>
              </w:tc>
              <w:tc>
                <w:tcPr>
                  <w:tcW w:w="754" w:type="pct"/>
                  <w:tcBorders>
                    <w:tl2br w:val="nil"/>
                    <w:tr2bl w:val="nil"/>
                  </w:tcBorders>
                  <w:shd w:val="clear" w:color="auto" w:fill="auto"/>
                  <w:vAlign w:val="center"/>
                </w:tcPr>
                <w:p w14:paraId="31F1F675">
                  <w:pPr>
                    <w:keepNext w:val="0"/>
                    <w:keepLines w:val="0"/>
                    <w:widowControl/>
                    <w:suppressLineNumbers w:val="0"/>
                    <w:jc w:val="center"/>
                    <w:rPr>
                      <w:szCs w:val="21"/>
                    </w:rPr>
                  </w:pPr>
                  <w:r>
                    <w:rPr>
                      <w:rFonts w:hint="eastAsia" w:ascii="Times New Roman" w:hAnsi="Times New Roman" w:eastAsia="宋体" w:cs="Times New Roman"/>
                      <w:caps w:val="0"/>
                      <w:color w:val="auto"/>
                      <w:kern w:val="2"/>
                      <w:sz w:val="21"/>
                      <w:szCs w:val="21"/>
                      <w:highlight w:val="none"/>
                      <w:lang w:val="en-US" w:eastAsia="zh-CN" w:bidi="ar-SA"/>
                    </w:rPr>
                    <w:t>塑料制品业292</w:t>
                  </w:r>
                </w:p>
              </w:tc>
              <w:tc>
                <w:tcPr>
                  <w:tcW w:w="2283" w:type="pct"/>
                  <w:tcBorders>
                    <w:tl2br w:val="nil"/>
                    <w:tr2bl w:val="nil"/>
                  </w:tcBorders>
                  <w:shd w:val="clear" w:color="auto" w:fill="auto"/>
                  <w:vAlign w:val="center"/>
                </w:tcPr>
                <w:p w14:paraId="028783A5">
                  <w:pPr>
                    <w:keepNext w:val="0"/>
                    <w:keepLines w:val="0"/>
                    <w:widowControl/>
                    <w:suppressLineNumbers w:val="0"/>
                    <w:jc w:val="left"/>
                    <w:rPr>
                      <w:szCs w:val="21"/>
                    </w:rPr>
                  </w:pPr>
                  <w:r>
                    <w:rPr>
                      <w:rFonts w:hint="eastAsia" w:ascii="Times New Roman" w:hAnsi="Times New Roman" w:eastAsia="宋体" w:cs="Times New Roman"/>
                      <w:caps w:val="0"/>
                      <w:color w:val="auto"/>
                      <w:kern w:val="2"/>
                      <w:sz w:val="21"/>
                      <w:szCs w:val="21"/>
                      <w:highlight w:val="none"/>
                      <w:lang w:val="en-US" w:eastAsia="zh-CN" w:bidi="ar-SA"/>
                    </w:rPr>
                    <w:t>以再生塑料为原料生产的；有电镀工艺的；年用溶剂型胶粘剂10吨及以上的；年用溶剂型涂料（含稀释剂）10吨及以上的</w:t>
                  </w:r>
                </w:p>
              </w:tc>
              <w:tc>
                <w:tcPr>
                  <w:tcW w:w="1019" w:type="pct"/>
                  <w:tcBorders>
                    <w:tl2br w:val="nil"/>
                    <w:tr2bl w:val="nil"/>
                  </w:tcBorders>
                  <w:shd w:val="clear" w:color="auto" w:fill="D7D7D7" w:themeFill="background1" w:themeFillShade="D8"/>
                  <w:vAlign w:val="center"/>
                </w:tcPr>
                <w:p w14:paraId="3F41E48A">
                  <w:pPr>
                    <w:keepNext w:val="0"/>
                    <w:keepLines w:val="0"/>
                    <w:widowControl/>
                    <w:suppressLineNumbers w:val="0"/>
                    <w:jc w:val="left"/>
                    <w:rPr>
                      <w:szCs w:val="21"/>
                    </w:rPr>
                  </w:pPr>
                  <w:r>
                    <w:rPr>
                      <w:rFonts w:hint="eastAsia" w:ascii="Times New Roman" w:hAnsi="Times New Roman" w:eastAsia="宋体" w:cs="Times New Roman"/>
                      <w:caps w:val="0"/>
                      <w:color w:val="auto"/>
                      <w:kern w:val="2"/>
                      <w:sz w:val="21"/>
                      <w:szCs w:val="21"/>
                      <w:highlight w:val="none"/>
                      <w:lang w:val="en-US" w:eastAsia="zh-CN" w:bidi="ar-SA"/>
                    </w:rPr>
                    <w:t>其他（年用非溶剂型低VOCs含量涂料10吨以下的除外）</w:t>
                  </w:r>
                </w:p>
              </w:tc>
              <w:tc>
                <w:tcPr>
                  <w:tcW w:w="526" w:type="pct"/>
                  <w:tcBorders>
                    <w:tl2br w:val="nil"/>
                    <w:tr2bl w:val="nil"/>
                  </w:tcBorders>
                  <w:shd w:val="clear" w:color="auto" w:fill="auto"/>
                  <w:vAlign w:val="center"/>
                </w:tcPr>
                <w:p w14:paraId="1B9B109C">
                  <w:pPr>
                    <w:pStyle w:val="31"/>
                    <w:keepNext w:val="0"/>
                    <w:keepLines w:val="0"/>
                    <w:pageBreakBefore w:val="0"/>
                    <w:widowControl w:val="0"/>
                    <w:kinsoku/>
                    <w:wordWrap/>
                    <w:overflowPunct/>
                    <w:topLinePunct w:val="0"/>
                    <w:autoSpaceDE/>
                    <w:autoSpaceDN/>
                    <w:bidi w:val="0"/>
                    <w:adjustRightInd/>
                    <w:snapToGrid/>
                    <w:ind w:right="0" w:rightChars="0"/>
                    <w:jc w:val="center"/>
                    <w:textAlignment w:val="auto"/>
                    <w:rPr>
                      <w:szCs w:val="21"/>
                      <w:highlight w:val="none"/>
                    </w:rPr>
                  </w:pPr>
                  <w:r>
                    <w:rPr>
                      <w:rFonts w:hint="eastAsia" w:ascii="Times New Roman" w:hAnsi="Times New Roman" w:cs="Times New Roman"/>
                      <w:caps w:val="0"/>
                      <w:color w:val="auto"/>
                      <w:highlight w:val="none"/>
                      <w:lang w:val="en-US" w:eastAsia="zh-CN"/>
                    </w:rPr>
                    <w:t>/</w:t>
                  </w:r>
                </w:p>
              </w:tc>
            </w:tr>
          </w:tbl>
          <w:p w14:paraId="48163F38">
            <w:pPr>
              <w:widowControl/>
              <w:spacing w:line="360" w:lineRule="auto"/>
              <w:ind w:firstLine="480" w:firstLineChars="200"/>
              <w:jc w:val="left"/>
              <w:rPr>
                <w:rFonts w:hint="eastAsia" w:eastAsia="宋体"/>
                <w:kern w:val="0"/>
                <w:sz w:val="24"/>
                <w:szCs w:val="20"/>
                <w:lang w:eastAsia="zh-CN"/>
              </w:rPr>
            </w:pPr>
            <w:r>
              <w:rPr>
                <w:kern w:val="0"/>
                <w:sz w:val="24"/>
                <w:szCs w:val="20"/>
              </w:rPr>
              <w:t>本项目属于</w:t>
            </w:r>
            <w:r>
              <w:rPr>
                <w:rFonts w:hint="eastAsia" w:cs="宋体"/>
                <w:sz w:val="24"/>
              </w:rPr>
              <w:t>C2929塑料零件及其他塑料制品制造</w:t>
            </w:r>
            <w:r>
              <w:rPr>
                <w:rFonts w:hint="eastAsia"/>
                <w:caps w:val="0"/>
                <w:color w:val="auto"/>
                <w:sz w:val="24"/>
                <w:highlight w:val="none"/>
                <w:lang w:val="en-US" w:eastAsia="zh-CN"/>
              </w:rPr>
              <w:t>，对照</w:t>
            </w:r>
            <w:r>
              <w:rPr>
                <w:rFonts w:hint="eastAsia" w:ascii="Times New Roman" w:hAnsi="Times New Roman" w:eastAsia="宋体"/>
                <w:caps w:val="0"/>
                <w:color w:val="auto"/>
                <w:sz w:val="24"/>
                <w:highlight w:val="none"/>
              </w:rPr>
              <w:t>《固定污染源排污许可分类管理名录》（2019年版），本项目属于“</w:t>
            </w:r>
            <w:r>
              <w:rPr>
                <w:rFonts w:hint="eastAsia"/>
                <w:caps w:val="0"/>
                <w:color w:val="auto"/>
                <w:sz w:val="24"/>
                <w:highlight w:val="none"/>
                <w:lang w:val="en-US" w:eastAsia="zh-CN"/>
              </w:rPr>
              <w:t>二十四</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橡胶和塑料制品业29</w:t>
            </w:r>
            <w:r>
              <w:rPr>
                <w:rFonts w:hint="eastAsia" w:ascii="Times New Roman" w:hAnsi="Times New Roman" w:eastAsia="宋体"/>
                <w:caps w:val="0"/>
                <w:color w:val="auto"/>
                <w:sz w:val="24"/>
                <w:highlight w:val="none"/>
              </w:rPr>
              <w:t>”中的“</w:t>
            </w:r>
            <w:r>
              <w:rPr>
                <w:rFonts w:hint="eastAsia" w:eastAsia="宋体"/>
                <w:caps w:val="0"/>
                <w:color w:val="auto"/>
                <w:sz w:val="24"/>
                <w:highlight w:val="none"/>
                <w:lang w:val="en-US" w:eastAsia="zh-CN"/>
              </w:rPr>
              <w:t>62、塑料制品业</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其他</w:t>
            </w:r>
            <w:r>
              <w:rPr>
                <w:rFonts w:hint="eastAsia" w:ascii="Times New Roman" w:hAnsi="Times New Roman" w:eastAsia="宋体"/>
                <w:caps w:val="0"/>
                <w:color w:val="auto"/>
                <w:sz w:val="24"/>
                <w:highlight w:val="none"/>
              </w:rPr>
              <w:t>”项，属于排污许可中“</w:t>
            </w:r>
            <w:r>
              <w:rPr>
                <w:rFonts w:hint="eastAsia"/>
                <w:caps w:val="0"/>
                <w:color w:val="auto"/>
                <w:sz w:val="24"/>
                <w:highlight w:val="none"/>
                <w:lang w:val="en-US" w:eastAsia="zh-CN"/>
              </w:rPr>
              <w:t>登记</w:t>
            </w:r>
            <w:r>
              <w:rPr>
                <w:rFonts w:hint="eastAsia" w:ascii="Times New Roman" w:hAnsi="Times New Roman" w:eastAsia="宋体"/>
                <w:caps w:val="0"/>
                <w:color w:val="auto"/>
                <w:sz w:val="24"/>
                <w:highlight w:val="none"/>
              </w:rPr>
              <w:t>管理”</w:t>
            </w:r>
            <w:r>
              <w:rPr>
                <w:rFonts w:hint="eastAsia" w:ascii="Times New Roman" w:hAnsi="Times New Roman" w:eastAsia="宋体"/>
                <w:caps w:val="0"/>
                <w:color w:val="auto"/>
                <w:sz w:val="24"/>
                <w:highlight w:val="none"/>
                <w:lang w:eastAsia="zh-CN"/>
              </w:rPr>
              <w:t>，</w:t>
            </w:r>
            <w:r>
              <w:rPr>
                <w:kern w:val="0"/>
                <w:sz w:val="24"/>
                <w:szCs w:val="20"/>
              </w:rPr>
              <w:t>内容如下</w:t>
            </w:r>
            <w:r>
              <w:rPr>
                <w:rFonts w:hint="eastAsia"/>
                <w:kern w:val="0"/>
                <w:sz w:val="24"/>
                <w:szCs w:val="20"/>
                <w:lang w:eastAsia="zh-CN"/>
              </w:rPr>
              <w:t>：</w:t>
            </w:r>
          </w:p>
          <w:p w14:paraId="25A1CDE8">
            <w:pPr>
              <w:keepNext w:val="0"/>
              <w:keepLines w:val="0"/>
              <w:pageBreakBefore w:val="0"/>
              <w:widowControl/>
              <w:kinsoku/>
              <w:wordWrap/>
              <w:overflowPunct/>
              <w:topLinePunct w:val="0"/>
              <w:autoSpaceDE/>
              <w:autoSpaceDN/>
              <w:bidi w:val="0"/>
              <w:adjustRightInd/>
              <w:snapToGrid w:val="0"/>
              <w:spacing w:beforeAutospacing="0"/>
              <w:jc w:val="center"/>
              <w:textAlignment w:val="auto"/>
              <w:rPr>
                <w:b/>
                <w:sz w:val="24"/>
              </w:rPr>
            </w:pPr>
            <w:r>
              <w:rPr>
                <w:b/>
                <w:sz w:val="24"/>
              </w:rPr>
              <w:t>表</w:t>
            </w:r>
            <w:r>
              <w:rPr>
                <w:rFonts w:hint="eastAsia"/>
                <w:b/>
                <w:sz w:val="24"/>
              </w:rPr>
              <w:t>2</w:t>
            </w:r>
            <w:r>
              <w:rPr>
                <w:b/>
                <w:sz w:val="24"/>
              </w:rPr>
              <w:t>-</w:t>
            </w:r>
            <w:r>
              <w:rPr>
                <w:rFonts w:hint="eastAsia"/>
                <w:b/>
                <w:sz w:val="24"/>
                <w:lang w:val="en-US" w:eastAsia="zh-CN"/>
              </w:rPr>
              <w:t>2</w:t>
            </w:r>
            <w:r>
              <w:rPr>
                <w:b/>
                <w:sz w:val="24"/>
              </w:rPr>
              <w:t xml:space="preserve">  固定污染源排污许可分类管理名录对照表</w:t>
            </w:r>
          </w:p>
          <w:tbl>
            <w:tblPr>
              <w:tblStyle w:val="58"/>
              <w:tblW w:w="4995" w:type="pct"/>
              <w:tblInd w:w="2"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1018"/>
              <w:gridCol w:w="855"/>
              <w:gridCol w:w="5192"/>
              <w:gridCol w:w="663"/>
            </w:tblGrid>
            <w:tr w14:paraId="55C2E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46" w:type="pct"/>
                  <w:tcBorders>
                    <w:tl2br w:val="nil"/>
                    <w:tr2bl w:val="nil"/>
                  </w:tcBorders>
                  <w:shd w:val="clear" w:color="auto" w:fill="auto"/>
                  <w:vAlign w:val="center"/>
                </w:tcPr>
                <w:p w14:paraId="28E6511E">
                  <w:pPr>
                    <w:adjustRightInd w:val="0"/>
                    <w:snapToGrid w:val="0"/>
                    <w:jc w:val="center"/>
                    <w:rPr>
                      <w:b/>
                      <w:szCs w:val="21"/>
                    </w:rPr>
                  </w:pPr>
                  <w:r>
                    <w:rPr>
                      <w:b/>
                      <w:szCs w:val="21"/>
                    </w:rPr>
                    <w:t>序号</w:t>
                  </w:r>
                </w:p>
              </w:tc>
              <w:tc>
                <w:tcPr>
                  <w:tcW w:w="613" w:type="pct"/>
                  <w:tcBorders>
                    <w:tl2br w:val="nil"/>
                    <w:tr2bl w:val="nil"/>
                  </w:tcBorders>
                  <w:shd w:val="clear" w:color="auto" w:fill="auto"/>
                  <w:vAlign w:val="center"/>
                </w:tcPr>
                <w:p w14:paraId="484B797E">
                  <w:pPr>
                    <w:adjustRightInd w:val="0"/>
                    <w:snapToGrid w:val="0"/>
                    <w:jc w:val="center"/>
                    <w:rPr>
                      <w:b/>
                      <w:szCs w:val="21"/>
                    </w:rPr>
                  </w:pPr>
                  <w:r>
                    <w:rPr>
                      <w:b/>
                      <w:szCs w:val="21"/>
                    </w:rPr>
                    <w:t>行业类别</w:t>
                  </w:r>
                </w:p>
              </w:tc>
              <w:tc>
                <w:tcPr>
                  <w:tcW w:w="515" w:type="pct"/>
                  <w:tcBorders>
                    <w:tl2br w:val="nil"/>
                    <w:tr2bl w:val="nil"/>
                  </w:tcBorders>
                  <w:shd w:val="clear" w:color="auto" w:fill="auto"/>
                  <w:vAlign w:val="center"/>
                </w:tcPr>
                <w:p w14:paraId="3096E494">
                  <w:pPr>
                    <w:adjustRightInd w:val="0"/>
                    <w:snapToGrid w:val="0"/>
                    <w:jc w:val="center"/>
                    <w:rPr>
                      <w:b/>
                      <w:szCs w:val="21"/>
                    </w:rPr>
                  </w:pPr>
                  <w:r>
                    <w:rPr>
                      <w:b/>
                      <w:szCs w:val="21"/>
                    </w:rPr>
                    <w:t>重点管理</w:t>
                  </w:r>
                </w:p>
              </w:tc>
              <w:tc>
                <w:tcPr>
                  <w:tcW w:w="3127" w:type="pct"/>
                  <w:tcBorders>
                    <w:tl2br w:val="nil"/>
                    <w:tr2bl w:val="nil"/>
                  </w:tcBorders>
                  <w:shd w:val="clear" w:color="auto" w:fill="auto"/>
                  <w:vAlign w:val="center"/>
                </w:tcPr>
                <w:p w14:paraId="1E1F957C">
                  <w:pPr>
                    <w:adjustRightInd w:val="0"/>
                    <w:snapToGrid w:val="0"/>
                    <w:jc w:val="center"/>
                    <w:rPr>
                      <w:b/>
                      <w:szCs w:val="21"/>
                    </w:rPr>
                  </w:pPr>
                  <w:r>
                    <w:rPr>
                      <w:b/>
                      <w:szCs w:val="21"/>
                    </w:rPr>
                    <w:t>简化管理</w:t>
                  </w:r>
                </w:p>
              </w:tc>
              <w:tc>
                <w:tcPr>
                  <w:tcW w:w="396" w:type="pct"/>
                  <w:tcBorders>
                    <w:tl2br w:val="nil"/>
                    <w:tr2bl w:val="nil"/>
                  </w:tcBorders>
                  <w:shd w:val="clear" w:color="auto" w:fill="auto"/>
                  <w:vAlign w:val="center"/>
                </w:tcPr>
                <w:p w14:paraId="7EA91B8A">
                  <w:pPr>
                    <w:adjustRightInd w:val="0"/>
                    <w:snapToGrid w:val="0"/>
                    <w:jc w:val="center"/>
                    <w:rPr>
                      <w:b/>
                      <w:szCs w:val="21"/>
                    </w:rPr>
                  </w:pPr>
                  <w:r>
                    <w:rPr>
                      <w:b/>
                      <w:szCs w:val="21"/>
                    </w:rPr>
                    <w:t>登记管理</w:t>
                  </w:r>
                </w:p>
              </w:tc>
            </w:tr>
            <w:tr w14:paraId="141548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000" w:type="pct"/>
                  <w:gridSpan w:val="5"/>
                  <w:tcBorders>
                    <w:tl2br w:val="nil"/>
                    <w:tr2bl w:val="nil"/>
                  </w:tcBorders>
                  <w:shd w:val="clear" w:color="auto" w:fill="auto"/>
                  <w:vAlign w:val="center"/>
                </w:tcPr>
                <w:p w14:paraId="10EB8074">
                  <w:pPr>
                    <w:adjustRightInd w:val="0"/>
                    <w:snapToGrid w:val="0"/>
                    <w:jc w:val="left"/>
                    <w:rPr>
                      <w:b/>
                      <w:szCs w:val="21"/>
                    </w:rPr>
                  </w:pPr>
                  <w:r>
                    <w:rPr>
                      <w:rFonts w:hint="eastAsia"/>
                      <w:b/>
                      <w:szCs w:val="21"/>
                    </w:rPr>
                    <w:t>二十</w:t>
                  </w:r>
                  <w:r>
                    <w:rPr>
                      <w:rFonts w:hint="eastAsia"/>
                      <w:b/>
                      <w:szCs w:val="21"/>
                      <w:lang w:val="en-US" w:eastAsia="zh-CN"/>
                    </w:rPr>
                    <w:t>四</w:t>
                  </w:r>
                  <w:r>
                    <w:rPr>
                      <w:rFonts w:hint="eastAsia"/>
                      <w:b/>
                      <w:szCs w:val="21"/>
                    </w:rPr>
                    <w:t>、橡胶和塑料制品业 29</w:t>
                  </w:r>
                </w:p>
              </w:tc>
            </w:tr>
            <w:tr w14:paraId="0026DA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346" w:type="pct"/>
                  <w:tcBorders>
                    <w:tl2br w:val="nil"/>
                    <w:tr2bl w:val="nil"/>
                  </w:tcBorders>
                  <w:shd w:val="clear" w:color="auto" w:fill="auto"/>
                  <w:vAlign w:val="center"/>
                </w:tcPr>
                <w:p w14:paraId="4FCF3EC1">
                  <w:pPr>
                    <w:pStyle w:val="31"/>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szCs w:val="21"/>
                      <w:lang w:val="en-US"/>
                    </w:rPr>
                  </w:pPr>
                  <w:r>
                    <w:rPr>
                      <w:rFonts w:hint="eastAsia" w:ascii="Times New Roman" w:hAnsi="Times New Roman" w:cs="Times New Roman"/>
                      <w:caps w:val="0"/>
                      <w:color w:val="auto"/>
                      <w:highlight w:val="none"/>
                      <w:lang w:val="en-US" w:eastAsia="zh-CN"/>
                    </w:rPr>
                    <w:t>62</w:t>
                  </w:r>
                </w:p>
              </w:tc>
              <w:tc>
                <w:tcPr>
                  <w:tcW w:w="613" w:type="pct"/>
                  <w:tcBorders>
                    <w:tl2br w:val="nil"/>
                    <w:tr2bl w:val="nil"/>
                  </w:tcBorders>
                  <w:shd w:val="clear" w:color="auto" w:fill="auto"/>
                  <w:vAlign w:val="center"/>
                </w:tcPr>
                <w:p w14:paraId="77CE967F">
                  <w:pPr>
                    <w:keepNext w:val="0"/>
                    <w:keepLines w:val="0"/>
                    <w:widowControl/>
                    <w:suppressLineNumbers w:val="0"/>
                    <w:jc w:val="center"/>
                    <w:rPr>
                      <w:szCs w:val="21"/>
                    </w:rPr>
                  </w:pPr>
                  <w:r>
                    <w:rPr>
                      <w:rFonts w:hint="eastAsia" w:ascii="Times New Roman" w:hAnsi="Times New Roman" w:eastAsia="宋体" w:cs="Times New Roman"/>
                      <w:caps w:val="0"/>
                      <w:color w:val="auto"/>
                      <w:kern w:val="2"/>
                      <w:sz w:val="21"/>
                      <w:szCs w:val="21"/>
                      <w:highlight w:val="none"/>
                      <w:lang w:val="en-US" w:eastAsia="zh-CN" w:bidi="ar-SA"/>
                    </w:rPr>
                    <w:t>塑料制品业292</w:t>
                  </w:r>
                </w:p>
              </w:tc>
              <w:tc>
                <w:tcPr>
                  <w:tcW w:w="515" w:type="pct"/>
                  <w:tcBorders>
                    <w:tl2br w:val="nil"/>
                    <w:tr2bl w:val="nil"/>
                  </w:tcBorders>
                  <w:shd w:val="clear" w:color="auto" w:fill="auto"/>
                  <w:vAlign w:val="center"/>
                </w:tcPr>
                <w:p w14:paraId="2D892382">
                  <w:pPr>
                    <w:keepNext w:val="0"/>
                    <w:keepLines w:val="0"/>
                    <w:widowControl/>
                    <w:suppressLineNumbers w:val="0"/>
                    <w:jc w:val="left"/>
                    <w:rPr>
                      <w:szCs w:val="21"/>
                    </w:rPr>
                  </w:pPr>
                  <w:r>
                    <w:rPr>
                      <w:rFonts w:hint="eastAsia" w:ascii="Times New Roman" w:hAnsi="Times New Roman" w:eastAsia="宋体" w:cs="Times New Roman"/>
                      <w:caps w:val="0"/>
                      <w:color w:val="auto"/>
                      <w:kern w:val="2"/>
                      <w:sz w:val="21"/>
                      <w:szCs w:val="21"/>
                      <w:highlight w:val="none"/>
                      <w:lang w:val="en-US" w:eastAsia="zh-CN" w:bidi="ar-SA"/>
                    </w:rPr>
                    <w:t>塑料人造革、合成革制造2925</w:t>
                  </w:r>
                </w:p>
              </w:tc>
              <w:tc>
                <w:tcPr>
                  <w:tcW w:w="3127" w:type="pct"/>
                  <w:tcBorders>
                    <w:tl2br w:val="nil"/>
                    <w:tr2bl w:val="nil"/>
                  </w:tcBorders>
                  <w:shd w:val="clear" w:color="auto" w:fill="auto"/>
                  <w:vAlign w:val="center"/>
                </w:tcPr>
                <w:p w14:paraId="03CF2668">
                  <w:pPr>
                    <w:pStyle w:val="31"/>
                    <w:keepNext w:val="0"/>
                    <w:keepLines w:val="0"/>
                    <w:pageBreakBefore w:val="0"/>
                    <w:widowControl w:val="0"/>
                    <w:kinsoku/>
                    <w:wordWrap/>
                    <w:overflowPunct/>
                    <w:topLinePunct w:val="0"/>
                    <w:autoSpaceDE/>
                    <w:autoSpaceDN/>
                    <w:bidi w:val="0"/>
                    <w:adjustRightInd/>
                    <w:snapToGrid/>
                    <w:ind w:right="0" w:rightChars="0"/>
                    <w:textAlignment w:val="auto"/>
                    <w:rPr>
                      <w:szCs w:val="21"/>
                    </w:rPr>
                  </w:pPr>
                  <w:r>
                    <w:rPr>
                      <w:rFonts w:hint="eastAsia" w:ascii="Times New Roman" w:hAnsi="Times New Roman" w:eastAsia="宋体" w:cs="Times New Roman"/>
                      <w:caps w:val="0"/>
                      <w:color w:val="auto"/>
                      <w:kern w:val="2"/>
                      <w:sz w:val="21"/>
                      <w:szCs w:val="21"/>
                      <w:highlight w:val="none"/>
                      <w:lang w:val="en-US" w:eastAsia="zh-CN" w:bidi="ar-SA"/>
                    </w:rPr>
                    <w:t>年产1万吨及以上的泡沫塑料制造2924，年产1万吨及以上涉及改性的塑料薄膜制造2921、塑料板、管、型材制造2922、塑料丝、绳和编织品制造2923、塑料包装箱及容器制造2926、日用塑料品制造2927、人造草坪制造2928、塑料零件及其他塑料制品制造2929</w:t>
                  </w:r>
                </w:p>
              </w:tc>
              <w:tc>
                <w:tcPr>
                  <w:tcW w:w="396" w:type="pct"/>
                  <w:tcBorders>
                    <w:tl2br w:val="nil"/>
                    <w:tr2bl w:val="nil"/>
                  </w:tcBorders>
                  <w:shd w:val="clear" w:color="auto" w:fill="D8D8D8" w:themeFill="background1" w:themeFillShade="D9"/>
                  <w:vAlign w:val="center"/>
                </w:tcPr>
                <w:p w14:paraId="18D7A213">
                  <w:pPr>
                    <w:pStyle w:val="31"/>
                    <w:keepNext w:val="0"/>
                    <w:keepLines w:val="0"/>
                    <w:pageBreakBefore w:val="0"/>
                    <w:widowControl w:val="0"/>
                    <w:kinsoku/>
                    <w:wordWrap/>
                    <w:overflowPunct/>
                    <w:topLinePunct w:val="0"/>
                    <w:autoSpaceDE/>
                    <w:autoSpaceDN/>
                    <w:bidi w:val="0"/>
                    <w:adjustRightInd/>
                    <w:snapToGrid/>
                    <w:ind w:right="0" w:rightChars="0"/>
                    <w:jc w:val="center"/>
                    <w:textAlignment w:val="auto"/>
                    <w:rPr>
                      <w:szCs w:val="21"/>
                    </w:rPr>
                  </w:pPr>
                  <w:r>
                    <w:rPr>
                      <w:rFonts w:hint="eastAsia" w:ascii="Times New Roman" w:hAnsi="Times New Roman" w:cs="Times New Roman"/>
                      <w:caps w:val="0"/>
                      <w:color w:val="auto"/>
                      <w:highlight w:val="none"/>
                      <w:lang w:val="en-US" w:eastAsia="zh-CN"/>
                    </w:rPr>
                    <w:t>/</w:t>
                  </w:r>
                </w:p>
              </w:tc>
            </w:tr>
          </w:tbl>
          <w:p w14:paraId="2AC4910E">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eastAsia="宋体"/>
                <w:caps w:val="0"/>
                <w:color w:val="auto"/>
                <w:sz w:val="24"/>
                <w:highlight w:val="none"/>
              </w:rPr>
            </w:pPr>
            <w:r>
              <w:rPr>
                <w:rFonts w:hint="eastAsia"/>
                <w:caps w:val="0"/>
                <w:color w:val="auto"/>
                <w:sz w:val="24"/>
                <w:highlight w:val="none"/>
                <w:lang w:val="en-US" w:eastAsia="zh-CN"/>
              </w:rPr>
              <w:t>项目产能小于1万吨。</w:t>
            </w:r>
          </w:p>
          <w:p w14:paraId="2EE12F16">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b/>
                <w:color w:val="auto"/>
                <w:kern w:val="0"/>
                <w:sz w:val="24"/>
              </w:rPr>
            </w:pPr>
            <w:r>
              <w:rPr>
                <w:rFonts w:hint="eastAsia" w:ascii="Times New Roman" w:hAnsi="Times New Roman" w:eastAsia="宋体"/>
                <w:caps w:val="0"/>
                <w:color w:val="auto"/>
                <w:sz w:val="24"/>
                <w:highlight w:val="none"/>
              </w:rPr>
              <w:t>本单位于202</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年</w:t>
            </w:r>
            <w:r>
              <w:rPr>
                <w:rFonts w:hint="eastAsia"/>
                <w:caps w:val="0"/>
                <w:color w:val="auto"/>
                <w:sz w:val="24"/>
                <w:highlight w:val="none"/>
                <w:lang w:val="en-US" w:eastAsia="zh-CN"/>
              </w:rPr>
              <w:t>4</w:t>
            </w:r>
            <w:r>
              <w:rPr>
                <w:rFonts w:hint="eastAsia" w:ascii="Times New Roman" w:hAnsi="Times New Roman" w:eastAsia="宋体"/>
                <w:caps w:val="0"/>
                <w:color w:val="auto"/>
                <w:sz w:val="24"/>
                <w:highlight w:val="none"/>
              </w:rPr>
              <w:t>月</w:t>
            </w:r>
            <w:r>
              <w:rPr>
                <w:rFonts w:hint="eastAsia"/>
                <w:caps w:val="0"/>
                <w:color w:val="auto"/>
                <w:sz w:val="24"/>
                <w:highlight w:val="none"/>
                <w:lang w:val="en-US" w:eastAsia="zh-CN"/>
              </w:rPr>
              <w:t>2</w:t>
            </w:r>
            <w:r>
              <w:rPr>
                <w:rFonts w:hint="eastAsia" w:ascii="Times New Roman" w:hAnsi="Times New Roman" w:eastAsia="宋体"/>
                <w:caps w:val="0"/>
                <w:color w:val="auto"/>
                <w:sz w:val="24"/>
                <w:highlight w:val="none"/>
              </w:rPr>
              <w:t>日</w:t>
            </w:r>
            <w:r>
              <w:rPr>
                <w:rFonts w:hint="eastAsia"/>
                <w:caps w:val="0"/>
                <w:color w:val="auto"/>
                <w:sz w:val="24"/>
                <w:highlight w:val="none"/>
                <w:lang w:val="en-US" w:eastAsia="zh-CN"/>
              </w:rPr>
              <w:t>进行</w:t>
            </w:r>
            <w:r>
              <w:rPr>
                <w:rFonts w:hint="eastAsia" w:ascii="Times New Roman" w:hAnsi="Times New Roman" w:eastAsia="宋体"/>
                <w:caps w:val="0"/>
                <w:color w:val="auto"/>
                <w:sz w:val="24"/>
                <w:highlight w:val="none"/>
              </w:rPr>
              <w:t>排污</w:t>
            </w:r>
            <w:r>
              <w:rPr>
                <w:rFonts w:hint="eastAsia"/>
                <w:caps w:val="0"/>
                <w:color w:val="auto"/>
                <w:sz w:val="24"/>
                <w:highlight w:val="none"/>
                <w:lang w:val="en-US" w:eastAsia="zh-CN"/>
              </w:rPr>
              <w:t>首次登记</w:t>
            </w:r>
            <w:r>
              <w:rPr>
                <w:rFonts w:hint="eastAsia" w:ascii="Times New Roman" w:hAnsi="Times New Roman" w:eastAsia="宋体"/>
                <w:caps w:val="0"/>
                <w:color w:val="auto"/>
                <w:sz w:val="24"/>
                <w:highlight w:val="none"/>
              </w:rPr>
              <w:t>（登记编号：9134020068205841XM001Y）</w:t>
            </w:r>
            <w:r>
              <w:rPr>
                <w:rFonts w:hint="eastAsia"/>
                <w:caps w:val="0"/>
                <w:color w:val="auto"/>
                <w:sz w:val="24"/>
                <w:highlight w:val="none"/>
                <w:lang w:eastAsia="zh-CN"/>
              </w:rPr>
              <w:t>，</w:t>
            </w:r>
            <w:r>
              <w:rPr>
                <w:rFonts w:hint="eastAsia"/>
                <w:caps w:val="0"/>
                <w:color w:val="auto"/>
                <w:sz w:val="24"/>
                <w:highlight w:val="none"/>
                <w:lang w:val="en-US" w:eastAsia="zh-CN"/>
              </w:rPr>
              <w:t>有效期为2025年04月02日-2030年04月01日</w:t>
            </w:r>
            <w:r>
              <w:rPr>
                <w:rFonts w:hint="eastAsia" w:ascii="Times New Roman" w:hAnsi="Times New Roman" w:eastAsia="宋体"/>
                <w:caps w:val="0"/>
                <w:color w:val="auto"/>
                <w:sz w:val="24"/>
                <w:highlight w:val="none"/>
              </w:rPr>
              <w:t>。</w:t>
            </w:r>
          </w:p>
          <w:p w14:paraId="5E4498DC">
            <w:pPr>
              <w:spacing w:line="360" w:lineRule="auto"/>
              <w:ind w:firstLine="482" w:firstLineChars="200"/>
              <w:rPr>
                <w:b/>
                <w:kern w:val="0"/>
                <w:sz w:val="24"/>
              </w:rPr>
            </w:pPr>
            <w:r>
              <w:rPr>
                <w:rFonts w:hint="eastAsia"/>
                <w:b/>
                <w:kern w:val="0"/>
                <w:sz w:val="24"/>
              </w:rPr>
              <w:t>2、产品方案</w:t>
            </w:r>
          </w:p>
          <w:p w14:paraId="7239374D">
            <w:pPr>
              <w:adjustRightInd w:val="0"/>
              <w:snapToGrid w:val="0"/>
              <w:spacing w:line="360" w:lineRule="auto"/>
              <w:ind w:firstLine="480" w:firstLineChars="200"/>
              <w:rPr>
                <w:b/>
                <w:kern w:val="0"/>
                <w:sz w:val="24"/>
                <w:szCs w:val="20"/>
              </w:rPr>
            </w:pPr>
            <w:r>
              <w:rPr>
                <w:kern w:val="0"/>
                <w:sz w:val="24"/>
              </w:rPr>
              <w:t>本项目产品方案见下表。</w:t>
            </w:r>
          </w:p>
          <w:p w14:paraId="59555F16">
            <w:pPr>
              <w:keepNext w:val="0"/>
              <w:keepLines w:val="0"/>
              <w:pageBreakBefore w:val="0"/>
              <w:widowControl/>
              <w:kinsoku/>
              <w:wordWrap/>
              <w:overflowPunct/>
              <w:topLinePunct w:val="0"/>
              <w:autoSpaceDE/>
              <w:autoSpaceDN/>
              <w:bidi w:val="0"/>
              <w:adjustRightInd/>
              <w:snapToGrid/>
              <w:spacing w:beforeAutospacing="0"/>
              <w:jc w:val="center"/>
              <w:textAlignment w:val="auto"/>
              <w:rPr>
                <w:b/>
                <w:kern w:val="0"/>
                <w:sz w:val="24"/>
                <w:szCs w:val="20"/>
              </w:rPr>
            </w:pPr>
            <w:r>
              <w:rPr>
                <w:b/>
                <w:kern w:val="0"/>
                <w:sz w:val="24"/>
                <w:szCs w:val="20"/>
              </w:rPr>
              <w:t>表</w:t>
            </w:r>
            <w:r>
              <w:rPr>
                <w:rFonts w:hint="eastAsia"/>
                <w:b/>
                <w:kern w:val="0"/>
                <w:sz w:val="24"/>
                <w:szCs w:val="20"/>
              </w:rPr>
              <w:t>2</w:t>
            </w:r>
            <w:r>
              <w:rPr>
                <w:b/>
                <w:kern w:val="0"/>
                <w:sz w:val="24"/>
                <w:szCs w:val="20"/>
              </w:rPr>
              <w:t>-</w:t>
            </w:r>
            <w:r>
              <w:rPr>
                <w:rFonts w:hint="eastAsia"/>
                <w:b/>
                <w:kern w:val="0"/>
                <w:sz w:val="24"/>
                <w:szCs w:val="20"/>
                <w:lang w:val="en-US" w:eastAsia="zh-CN"/>
              </w:rPr>
              <w:t>3</w:t>
            </w:r>
            <w:r>
              <w:rPr>
                <w:b/>
                <w:kern w:val="0"/>
                <w:sz w:val="24"/>
                <w:szCs w:val="20"/>
              </w:rPr>
              <w:t xml:space="preserve">  </w:t>
            </w:r>
            <w:r>
              <w:rPr>
                <w:rFonts w:hint="eastAsia"/>
                <w:b/>
                <w:kern w:val="0"/>
                <w:sz w:val="24"/>
                <w:szCs w:val="20"/>
              </w:rPr>
              <w:t>本</w:t>
            </w:r>
            <w:r>
              <w:rPr>
                <w:b/>
                <w:kern w:val="0"/>
                <w:sz w:val="24"/>
                <w:szCs w:val="20"/>
              </w:rPr>
              <w:t>项目产品方案一览表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69"/>
              <w:gridCol w:w="2453"/>
              <w:gridCol w:w="2688"/>
            </w:tblGrid>
            <w:tr w14:paraId="61DDB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907" w:type="pct"/>
                  <w:tcBorders>
                    <w:tl2br w:val="nil"/>
                    <w:tr2bl w:val="nil"/>
                  </w:tcBorders>
                  <w:shd w:val="clear" w:color="auto" w:fill="auto"/>
                  <w:vAlign w:val="center"/>
                </w:tcPr>
                <w:p w14:paraId="3B2DB618">
                  <w:pPr>
                    <w:pStyle w:val="168"/>
                    <w:widowControl w:val="0"/>
                    <w:ind w:firstLine="0" w:firstLineChars="0"/>
                    <w:jc w:val="center"/>
                    <w:rPr>
                      <w:b/>
                      <w:sz w:val="21"/>
                      <w:szCs w:val="21"/>
                    </w:rPr>
                  </w:pPr>
                  <w:r>
                    <w:rPr>
                      <w:b/>
                      <w:sz w:val="21"/>
                      <w:szCs w:val="21"/>
                    </w:rPr>
                    <w:t>产品名称</w:t>
                  </w:r>
                </w:p>
              </w:tc>
              <w:tc>
                <w:tcPr>
                  <w:tcW w:w="1476" w:type="pct"/>
                  <w:tcBorders>
                    <w:tl2br w:val="nil"/>
                    <w:tr2bl w:val="nil"/>
                  </w:tcBorders>
                  <w:vAlign w:val="center"/>
                </w:tcPr>
                <w:p w14:paraId="63AF8E29">
                  <w:pPr>
                    <w:pStyle w:val="168"/>
                    <w:widowControl w:val="0"/>
                    <w:ind w:firstLine="0" w:firstLineChars="0"/>
                    <w:jc w:val="center"/>
                    <w:rPr>
                      <w:b/>
                      <w:sz w:val="21"/>
                      <w:szCs w:val="21"/>
                    </w:rPr>
                  </w:pPr>
                  <w:r>
                    <w:rPr>
                      <w:b/>
                      <w:sz w:val="21"/>
                      <w:szCs w:val="21"/>
                    </w:rPr>
                    <w:t>单位</w:t>
                  </w:r>
                </w:p>
              </w:tc>
              <w:tc>
                <w:tcPr>
                  <w:tcW w:w="1617" w:type="pct"/>
                  <w:tcBorders>
                    <w:tl2br w:val="nil"/>
                    <w:tr2bl w:val="nil"/>
                  </w:tcBorders>
                  <w:vAlign w:val="center"/>
                </w:tcPr>
                <w:p w14:paraId="60ED93C2">
                  <w:pPr>
                    <w:pStyle w:val="168"/>
                    <w:widowControl w:val="0"/>
                    <w:ind w:firstLine="0" w:firstLineChars="0"/>
                    <w:jc w:val="center"/>
                    <w:rPr>
                      <w:b/>
                      <w:sz w:val="21"/>
                      <w:szCs w:val="21"/>
                    </w:rPr>
                  </w:pPr>
                  <w:r>
                    <w:rPr>
                      <w:b/>
                      <w:sz w:val="21"/>
                      <w:szCs w:val="21"/>
                    </w:rPr>
                    <w:t>产能</w:t>
                  </w:r>
                </w:p>
              </w:tc>
            </w:tr>
            <w:tr w14:paraId="48879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907" w:type="pct"/>
                  <w:tcBorders>
                    <w:tl2br w:val="nil"/>
                    <w:tr2bl w:val="nil"/>
                  </w:tcBorders>
                  <w:shd w:val="clear" w:color="auto" w:fill="auto"/>
                  <w:vAlign w:val="center"/>
                </w:tcPr>
                <w:p w14:paraId="1317F0A4">
                  <w:pPr>
                    <w:adjustRightInd w:val="0"/>
                    <w:snapToGrid w:val="0"/>
                    <w:jc w:val="center"/>
                    <w:rPr>
                      <w:rFonts w:hint="eastAsia" w:eastAsia="宋体"/>
                      <w:szCs w:val="21"/>
                      <w:lang w:eastAsia="zh-CN"/>
                    </w:rPr>
                  </w:pPr>
                  <w:r>
                    <w:rPr>
                      <w:rFonts w:hint="eastAsia"/>
                      <w:szCs w:val="21"/>
                      <w:lang w:val="en-US" w:eastAsia="zh-CN"/>
                    </w:rPr>
                    <w:t>承载带</w:t>
                  </w:r>
                </w:p>
              </w:tc>
              <w:tc>
                <w:tcPr>
                  <w:tcW w:w="1476" w:type="pct"/>
                  <w:tcBorders>
                    <w:tl2br w:val="nil"/>
                    <w:tr2bl w:val="nil"/>
                  </w:tcBorders>
                  <w:vAlign w:val="center"/>
                </w:tcPr>
                <w:p w14:paraId="18777063">
                  <w:pPr>
                    <w:adjustRightInd w:val="0"/>
                    <w:snapToGrid w:val="0"/>
                    <w:jc w:val="center"/>
                    <w:rPr>
                      <w:szCs w:val="21"/>
                    </w:rPr>
                  </w:pPr>
                  <w:r>
                    <w:rPr>
                      <w:rFonts w:hint="eastAsia"/>
                      <w:szCs w:val="21"/>
                      <w:lang w:val="en-US" w:eastAsia="zh-CN"/>
                    </w:rPr>
                    <w:t>万米</w:t>
                  </w:r>
                  <w:r>
                    <w:rPr>
                      <w:szCs w:val="21"/>
                    </w:rPr>
                    <w:t>/a</w:t>
                  </w:r>
                </w:p>
              </w:tc>
              <w:tc>
                <w:tcPr>
                  <w:tcW w:w="1617" w:type="pct"/>
                  <w:tcBorders>
                    <w:tl2br w:val="nil"/>
                    <w:tr2bl w:val="nil"/>
                  </w:tcBorders>
                  <w:vAlign w:val="center"/>
                </w:tcPr>
                <w:p w14:paraId="391F5145">
                  <w:pPr>
                    <w:adjustRightInd w:val="0"/>
                    <w:snapToGrid w:val="0"/>
                    <w:jc w:val="center"/>
                    <w:rPr>
                      <w:rFonts w:hint="default" w:eastAsia="宋体"/>
                      <w:szCs w:val="21"/>
                      <w:lang w:val="en-US" w:eastAsia="zh-CN"/>
                    </w:rPr>
                  </w:pPr>
                  <w:r>
                    <w:rPr>
                      <w:rFonts w:hint="eastAsia"/>
                      <w:szCs w:val="21"/>
                      <w:lang w:val="en-US" w:eastAsia="zh-CN"/>
                    </w:rPr>
                    <w:t>4800</w:t>
                  </w:r>
                </w:p>
              </w:tc>
            </w:tr>
            <w:tr w14:paraId="33CE7F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907" w:type="pct"/>
                  <w:tcBorders>
                    <w:tl2br w:val="nil"/>
                    <w:tr2bl w:val="nil"/>
                  </w:tcBorders>
                  <w:shd w:val="clear" w:color="auto" w:fill="auto"/>
                  <w:vAlign w:val="center"/>
                </w:tcPr>
                <w:p w14:paraId="1598434A">
                  <w:pPr>
                    <w:adjustRightInd w:val="0"/>
                    <w:snapToGrid w:val="0"/>
                    <w:jc w:val="center"/>
                    <w:rPr>
                      <w:rFonts w:hint="eastAsia" w:eastAsia="宋体"/>
                      <w:szCs w:val="21"/>
                      <w:lang w:eastAsia="zh-CN"/>
                    </w:rPr>
                  </w:pPr>
                  <w:r>
                    <w:rPr>
                      <w:rFonts w:hint="eastAsia"/>
                      <w:szCs w:val="21"/>
                      <w:lang w:val="en-US" w:eastAsia="zh-CN"/>
                    </w:rPr>
                    <w:t>盖带</w:t>
                  </w:r>
                </w:p>
              </w:tc>
              <w:tc>
                <w:tcPr>
                  <w:tcW w:w="1476" w:type="pct"/>
                  <w:tcBorders>
                    <w:tl2br w:val="nil"/>
                    <w:tr2bl w:val="nil"/>
                  </w:tcBorders>
                  <w:vAlign w:val="center"/>
                </w:tcPr>
                <w:p w14:paraId="0D5A3DC3">
                  <w:pPr>
                    <w:adjustRightInd w:val="0"/>
                    <w:snapToGrid w:val="0"/>
                    <w:jc w:val="center"/>
                    <w:rPr>
                      <w:szCs w:val="21"/>
                    </w:rPr>
                  </w:pPr>
                  <w:r>
                    <w:rPr>
                      <w:szCs w:val="21"/>
                    </w:rPr>
                    <w:t>万</w:t>
                  </w:r>
                  <w:r>
                    <w:rPr>
                      <w:rFonts w:hint="eastAsia"/>
                      <w:szCs w:val="21"/>
                      <w:lang w:val="en-US" w:eastAsia="zh-CN"/>
                    </w:rPr>
                    <w:t>平方米</w:t>
                  </w:r>
                  <w:r>
                    <w:rPr>
                      <w:szCs w:val="21"/>
                    </w:rPr>
                    <w:t>/a</w:t>
                  </w:r>
                </w:p>
              </w:tc>
              <w:tc>
                <w:tcPr>
                  <w:tcW w:w="1617" w:type="pct"/>
                  <w:tcBorders>
                    <w:tl2br w:val="nil"/>
                    <w:tr2bl w:val="nil"/>
                  </w:tcBorders>
                  <w:vAlign w:val="center"/>
                </w:tcPr>
                <w:p w14:paraId="5A000714">
                  <w:pPr>
                    <w:adjustRightInd w:val="0"/>
                    <w:snapToGrid w:val="0"/>
                    <w:jc w:val="center"/>
                    <w:rPr>
                      <w:szCs w:val="21"/>
                    </w:rPr>
                  </w:pPr>
                  <w:r>
                    <w:rPr>
                      <w:rFonts w:hint="eastAsia"/>
                      <w:szCs w:val="21"/>
                      <w:lang w:val="en-US" w:eastAsia="zh-CN"/>
                    </w:rPr>
                    <w:t>26</w:t>
                  </w:r>
                </w:p>
              </w:tc>
            </w:tr>
          </w:tbl>
          <w:p w14:paraId="13F467A9">
            <w:pPr>
              <w:keepNext w:val="0"/>
              <w:keepLines w:val="0"/>
              <w:pageBreakBefore w:val="0"/>
              <w:widowControl/>
              <w:kinsoku/>
              <w:wordWrap/>
              <w:overflowPunct/>
              <w:topLinePunct w:val="0"/>
              <w:autoSpaceDE/>
              <w:autoSpaceDN/>
              <w:bidi w:val="0"/>
              <w:adjustRightInd/>
              <w:snapToGrid/>
              <w:spacing w:beforeAutospacing="0" w:line="360" w:lineRule="auto"/>
              <w:ind w:firstLine="482" w:firstLineChars="200"/>
              <w:jc w:val="left"/>
              <w:textAlignment w:val="auto"/>
              <w:rPr>
                <w:b/>
                <w:kern w:val="0"/>
                <w:sz w:val="24"/>
              </w:rPr>
            </w:pPr>
            <w:r>
              <w:rPr>
                <w:rFonts w:hint="eastAsia"/>
                <w:b/>
                <w:kern w:val="0"/>
                <w:sz w:val="24"/>
                <w:szCs w:val="20"/>
              </w:rPr>
              <w:t>3、</w:t>
            </w:r>
            <w:r>
              <w:rPr>
                <w:rFonts w:hint="eastAsia"/>
                <w:b/>
                <w:kern w:val="0"/>
                <w:sz w:val="24"/>
              </w:rPr>
              <w:t>项目建设内容</w:t>
            </w:r>
          </w:p>
          <w:p w14:paraId="223974B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本项目租赁</w:t>
            </w:r>
            <w:r>
              <w:rPr>
                <w:rFonts w:hint="eastAsia"/>
                <w:sz w:val="24"/>
                <w:lang w:val="en-US" w:eastAsia="zh-CN"/>
              </w:rPr>
              <w:t>安徽三合智能设备有限公司厂房</w:t>
            </w:r>
            <w:r>
              <w:rPr>
                <w:rFonts w:hint="eastAsia" w:eastAsiaTheme="minorEastAsia"/>
                <w:sz w:val="24"/>
              </w:rPr>
              <w:t>进行生产</w:t>
            </w:r>
            <w:r>
              <w:rPr>
                <w:sz w:val="24"/>
              </w:rPr>
              <w:t>，</w:t>
            </w:r>
            <w:r>
              <w:rPr>
                <w:rFonts w:hint="eastAsia"/>
                <w:sz w:val="24"/>
              </w:rPr>
              <w:t>主要建设内容及规模见表2-3</w:t>
            </w:r>
            <w:r>
              <w:rPr>
                <w:sz w:val="24"/>
              </w:rPr>
              <w:t>。</w:t>
            </w:r>
          </w:p>
          <w:p w14:paraId="113F84C6">
            <w:pPr>
              <w:keepNext w:val="0"/>
              <w:keepLines w:val="0"/>
              <w:pageBreakBefore w:val="0"/>
              <w:widowControl/>
              <w:kinsoku/>
              <w:wordWrap/>
              <w:overflowPunct/>
              <w:topLinePunct w:val="0"/>
              <w:autoSpaceDE/>
              <w:autoSpaceDN/>
              <w:bidi w:val="0"/>
              <w:adjustRightInd/>
              <w:snapToGrid/>
              <w:spacing w:beforeAutospacing="0"/>
              <w:jc w:val="center"/>
              <w:textAlignment w:val="auto"/>
              <w:rPr>
                <w:b/>
                <w:kern w:val="0"/>
                <w:sz w:val="24"/>
                <w:szCs w:val="20"/>
              </w:rPr>
            </w:pPr>
            <w:r>
              <w:rPr>
                <w:b/>
                <w:kern w:val="0"/>
                <w:sz w:val="24"/>
                <w:szCs w:val="20"/>
              </w:rPr>
              <w:t>表2-</w:t>
            </w:r>
            <w:r>
              <w:rPr>
                <w:rFonts w:hint="eastAsia"/>
                <w:b/>
                <w:kern w:val="0"/>
                <w:sz w:val="24"/>
                <w:szCs w:val="20"/>
                <w:lang w:val="en-US" w:eastAsia="zh-CN"/>
              </w:rPr>
              <w:t>4</w:t>
            </w:r>
            <w:r>
              <w:rPr>
                <w:b/>
                <w:kern w:val="0"/>
                <w:sz w:val="24"/>
                <w:szCs w:val="20"/>
              </w:rPr>
              <w:t xml:space="preserve">  建设项目组成内容一览表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1072"/>
              <w:gridCol w:w="1159"/>
              <w:gridCol w:w="4123"/>
              <w:gridCol w:w="1339"/>
            </w:tblGrid>
            <w:tr w14:paraId="2D9E0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71" w:type="pct"/>
                  <w:tcBorders>
                    <w:tl2br w:val="nil"/>
                    <w:tr2bl w:val="nil"/>
                  </w:tcBorders>
                  <w:vAlign w:val="center"/>
                </w:tcPr>
                <w:p w14:paraId="4CD54F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序号</w:t>
                  </w:r>
                </w:p>
              </w:tc>
              <w:tc>
                <w:tcPr>
                  <w:tcW w:w="645" w:type="pct"/>
                  <w:tcBorders>
                    <w:tl2br w:val="nil"/>
                    <w:tr2bl w:val="nil"/>
                  </w:tcBorders>
                  <w:vAlign w:val="center"/>
                </w:tcPr>
                <w:p w14:paraId="2E6394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工程类别</w:t>
                  </w:r>
                </w:p>
              </w:tc>
              <w:tc>
                <w:tcPr>
                  <w:tcW w:w="697" w:type="pct"/>
                  <w:tcBorders>
                    <w:tl2br w:val="nil"/>
                    <w:tr2bl w:val="nil"/>
                  </w:tcBorders>
                  <w:vAlign w:val="center"/>
                </w:tcPr>
                <w:p w14:paraId="3D4AF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工程名称</w:t>
                  </w:r>
                </w:p>
              </w:tc>
              <w:tc>
                <w:tcPr>
                  <w:tcW w:w="2480" w:type="pct"/>
                  <w:tcBorders>
                    <w:tl2br w:val="nil"/>
                    <w:tr2bl w:val="nil"/>
                  </w:tcBorders>
                  <w:vAlign w:val="center"/>
                </w:tcPr>
                <w:p w14:paraId="7FEA12E5">
                  <w:pPr>
                    <w:jc w:val="center"/>
                    <w:rPr>
                      <w:b/>
                      <w:bCs/>
                      <w:szCs w:val="21"/>
                    </w:rPr>
                  </w:pPr>
                  <w:r>
                    <w:rPr>
                      <w:b/>
                      <w:kern w:val="24"/>
                      <w:szCs w:val="21"/>
                    </w:rPr>
                    <w:t>本工程内容</w:t>
                  </w:r>
                </w:p>
              </w:tc>
              <w:tc>
                <w:tcPr>
                  <w:tcW w:w="805" w:type="pct"/>
                  <w:tcBorders>
                    <w:tl2br w:val="nil"/>
                    <w:tr2bl w:val="nil"/>
                  </w:tcBorders>
                  <w:vAlign w:val="center"/>
                </w:tcPr>
                <w:p w14:paraId="51E3DCE4">
                  <w:pPr>
                    <w:jc w:val="center"/>
                    <w:rPr>
                      <w:b/>
                      <w:szCs w:val="21"/>
                    </w:rPr>
                  </w:pPr>
                  <w:r>
                    <w:rPr>
                      <w:rFonts w:hint="eastAsia"/>
                      <w:b/>
                      <w:szCs w:val="21"/>
                    </w:rPr>
                    <w:t>备注</w:t>
                  </w:r>
                </w:p>
              </w:tc>
            </w:tr>
            <w:tr w14:paraId="1A239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371" w:type="pct"/>
                  <w:tcBorders>
                    <w:tl2br w:val="nil"/>
                    <w:tr2bl w:val="nil"/>
                  </w:tcBorders>
                  <w:vAlign w:val="center"/>
                </w:tcPr>
                <w:p w14:paraId="219385DC">
                  <w:pPr>
                    <w:jc w:val="center"/>
                    <w:rPr>
                      <w:szCs w:val="21"/>
                    </w:rPr>
                  </w:pPr>
                  <w:r>
                    <w:rPr>
                      <w:szCs w:val="21"/>
                    </w:rPr>
                    <w:t>1</w:t>
                  </w:r>
                </w:p>
              </w:tc>
              <w:tc>
                <w:tcPr>
                  <w:tcW w:w="645" w:type="pct"/>
                  <w:tcBorders>
                    <w:tl2br w:val="nil"/>
                    <w:tr2bl w:val="nil"/>
                  </w:tcBorders>
                  <w:vAlign w:val="center"/>
                </w:tcPr>
                <w:p w14:paraId="33831A85">
                  <w:pPr>
                    <w:jc w:val="center"/>
                    <w:rPr>
                      <w:szCs w:val="21"/>
                    </w:rPr>
                  </w:pPr>
                  <w:r>
                    <w:rPr>
                      <w:rFonts w:hint="eastAsia"/>
                      <w:szCs w:val="21"/>
                    </w:rPr>
                    <w:t>主体工程</w:t>
                  </w:r>
                </w:p>
              </w:tc>
              <w:tc>
                <w:tcPr>
                  <w:tcW w:w="697" w:type="pct"/>
                  <w:tcBorders>
                    <w:tl2br w:val="nil"/>
                    <w:tr2bl w:val="nil"/>
                  </w:tcBorders>
                  <w:vAlign w:val="center"/>
                </w:tcPr>
                <w:p w14:paraId="479D32BD">
                  <w:pPr>
                    <w:jc w:val="center"/>
                    <w:rPr>
                      <w:snapToGrid w:val="0"/>
                      <w:szCs w:val="21"/>
                    </w:rPr>
                  </w:pPr>
                  <w:r>
                    <w:rPr>
                      <w:rFonts w:hint="eastAsia"/>
                      <w:snapToGrid w:val="0"/>
                      <w:szCs w:val="21"/>
                    </w:rPr>
                    <w:t>生产车间</w:t>
                  </w:r>
                </w:p>
              </w:tc>
              <w:tc>
                <w:tcPr>
                  <w:tcW w:w="2480" w:type="pct"/>
                  <w:tcBorders>
                    <w:tl2br w:val="nil"/>
                    <w:tr2bl w:val="nil"/>
                  </w:tcBorders>
                  <w:vAlign w:val="center"/>
                </w:tcPr>
                <w:p w14:paraId="74B04F01">
                  <w:pPr>
                    <w:jc w:val="center"/>
                    <w:rPr>
                      <w:snapToGrid w:val="0"/>
                      <w:szCs w:val="21"/>
                    </w:rPr>
                  </w:pPr>
                  <w:r>
                    <w:rPr>
                      <w:szCs w:val="21"/>
                    </w:rPr>
                    <w:t>1</w:t>
                  </w:r>
                  <w:r>
                    <w:rPr>
                      <w:rFonts w:hint="eastAsia"/>
                      <w:szCs w:val="21"/>
                    </w:rPr>
                    <w:t>F，建筑面积</w:t>
                  </w:r>
                  <w:r>
                    <w:rPr>
                      <w:rFonts w:hint="eastAsia"/>
                      <w:szCs w:val="21"/>
                      <w:lang w:val="en-US" w:eastAsia="zh-CN"/>
                    </w:rPr>
                    <w:t>730</w:t>
                  </w:r>
                  <w:r>
                    <w:rPr>
                      <w:rFonts w:hint="eastAsia"/>
                      <w:szCs w:val="21"/>
                    </w:rPr>
                    <w:t>m</w:t>
                  </w:r>
                  <w:r>
                    <w:rPr>
                      <w:rFonts w:hint="eastAsia"/>
                      <w:szCs w:val="21"/>
                      <w:vertAlign w:val="superscript"/>
                    </w:rPr>
                    <w:t>2</w:t>
                  </w:r>
                  <w:r>
                    <w:rPr>
                      <w:rFonts w:hint="eastAsia"/>
                      <w:szCs w:val="21"/>
                    </w:rPr>
                    <w:t>，含生产区、原料区、成品区，配套设</w:t>
                  </w:r>
                  <w:r>
                    <w:rPr>
                      <w:rFonts w:hint="eastAsia"/>
                      <w:szCs w:val="21"/>
                      <w:lang w:val="en-US" w:eastAsia="zh-CN"/>
                    </w:rPr>
                    <w:t>载带编织成型机、载带成型机、分条机</w:t>
                  </w:r>
                  <w:r>
                    <w:rPr>
                      <w:rFonts w:hint="eastAsia"/>
                      <w:szCs w:val="21"/>
                    </w:rPr>
                    <w:t>等设备，建成后将形成年产</w:t>
                  </w:r>
                  <w:r>
                    <w:rPr>
                      <w:rFonts w:hint="eastAsia"/>
                      <w:szCs w:val="21"/>
                      <w:lang w:val="en-US" w:eastAsia="zh-CN"/>
                    </w:rPr>
                    <w:t>4800万米的承载带、26万平方米的盖带</w:t>
                  </w:r>
                  <w:r>
                    <w:rPr>
                      <w:szCs w:val="21"/>
                    </w:rPr>
                    <w:t>产能</w:t>
                  </w:r>
                </w:p>
              </w:tc>
              <w:tc>
                <w:tcPr>
                  <w:tcW w:w="805" w:type="pct"/>
                  <w:tcBorders>
                    <w:tl2br w:val="nil"/>
                    <w:tr2bl w:val="nil"/>
                  </w:tcBorders>
                  <w:vAlign w:val="center"/>
                </w:tcPr>
                <w:p w14:paraId="2AD3CB1B">
                  <w:pPr>
                    <w:adjustRightInd w:val="0"/>
                    <w:snapToGrid w:val="0"/>
                    <w:jc w:val="center"/>
                    <w:rPr>
                      <w:szCs w:val="21"/>
                    </w:rPr>
                  </w:pPr>
                  <w:r>
                    <w:rPr>
                      <w:rFonts w:hint="eastAsia"/>
                      <w:szCs w:val="21"/>
                    </w:rPr>
                    <w:t>厂房依托租赁方，新增设备</w:t>
                  </w:r>
                </w:p>
              </w:tc>
            </w:tr>
            <w:tr w14:paraId="1E4FC7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71" w:type="pct"/>
                  <w:tcBorders>
                    <w:tl2br w:val="nil"/>
                    <w:tr2bl w:val="nil"/>
                  </w:tcBorders>
                  <w:vAlign w:val="center"/>
                </w:tcPr>
                <w:p w14:paraId="62E95790">
                  <w:pPr>
                    <w:jc w:val="center"/>
                    <w:rPr>
                      <w:szCs w:val="21"/>
                    </w:rPr>
                  </w:pPr>
                  <w:r>
                    <w:rPr>
                      <w:szCs w:val="21"/>
                    </w:rPr>
                    <w:t>2</w:t>
                  </w:r>
                </w:p>
              </w:tc>
              <w:tc>
                <w:tcPr>
                  <w:tcW w:w="645" w:type="pct"/>
                  <w:tcBorders>
                    <w:tl2br w:val="nil"/>
                    <w:tr2bl w:val="nil"/>
                  </w:tcBorders>
                  <w:vAlign w:val="center"/>
                </w:tcPr>
                <w:p w14:paraId="2CD12015">
                  <w:pPr>
                    <w:jc w:val="center"/>
                    <w:rPr>
                      <w:szCs w:val="21"/>
                    </w:rPr>
                  </w:pPr>
                  <w:r>
                    <w:rPr>
                      <w:rFonts w:hint="eastAsia"/>
                      <w:szCs w:val="21"/>
                    </w:rPr>
                    <w:t>辅助工程</w:t>
                  </w:r>
                </w:p>
              </w:tc>
              <w:tc>
                <w:tcPr>
                  <w:tcW w:w="697" w:type="pct"/>
                  <w:tcBorders>
                    <w:tl2br w:val="nil"/>
                    <w:tr2bl w:val="nil"/>
                  </w:tcBorders>
                  <w:vAlign w:val="center"/>
                </w:tcPr>
                <w:p w14:paraId="6DC88743">
                  <w:pPr>
                    <w:tabs>
                      <w:tab w:val="left" w:pos="3225"/>
                    </w:tabs>
                    <w:adjustRightInd w:val="0"/>
                    <w:snapToGrid w:val="0"/>
                    <w:jc w:val="center"/>
                    <w:rPr>
                      <w:snapToGrid w:val="0"/>
                      <w:szCs w:val="21"/>
                    </w:rPr>
                  </w:pPr>
                  <w:r>
                    <w:rPr>
                      <w:snapToGrid w:val="0"/>
                      <w:szCs w:val="21"/>
                    </w:rPr>
                    <w:t>办公区</w:t>
                  </w:r>
                </w:p>
              </w:tc>
              <w:tc>
                <w:tcPr>
                  <w:tcW w:w="2480" w:type="pct"/>
                  <w:tcBorders>
                    <w:tl2br w:val="nil"/>
                    <w:tr2bl w:val="nil"/>
                  </w:tcBorders>
                  <w:vAlign w:val="center"/>
                </w:tcPr>
                <w:p w14:paraId="40FA1A0A">
                  <w:pPr>
                    <w:ind w:left="-105" w:leftChars="-50" w:right="-105" w:rightChars="-50"/>
                    <w:jc w:val="center"/>
                    <w:rPr>
                      <w:color w:val="auto"/>
                      <w:szCs w:val="21"/>
                    </w:rPr>
                  </w:pPr>
                  <w:r>
                    <w:rPr>
                      <w:rFonts w:hint="eastAsia"/>
                      <w:color w:val="auto"/>
                      <w:szCs w:val="21"/>
                    </w:rPr>
                    <w:t>位于车间南侧，用于员工办公</w:t>
                  </w:r>
                </w:p>
              </w:tc>
              <w:tc>
                <w:tcPr>
                  <w:tcW w:w="805" w:type="pct"/>
                  <w:tcBorders>
                    <w:tl2br w:val="nil"/>
                    <w:tr2bl w:val="nil"/>
                  </w:tcBorders>
                  <w:vAlign w:val="center"/>
                </w:tcPr>
                <w:p w14:paraId="55C5BF7B">
                  <w:pPr>
                    <w:jc w:val="center"/>
                    <w:rPr>
                      <w:color w:val="auto"/>
                    </w:rPr>
                  </w:pPr>
                  <w:r>
                    <w:rPr>
                      <w:color w:val="auto"/>
                    </w:rPr>
                    <w:t>依托</w:t>
                  </w:r>
                  <w:r>
                    <w:rPr>
                      <w:rFonts w:hint="eastAsia"/>
                      <w:color w:val="auto"/>
                      <w:szCs w:val="21"/>
                    </w:rPr>
                    <w:t>租赁方</w:t>
                  </w:r>
                </w:p>
              </w:tc>
            </w:tr>
            <w:tr w14:paraId="20A82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371" w:type="pct"/>
                  <w:vMerge w:val="restart"/>
                  <w:tcBorders>
                    <w:tl2br w:val="nil"/>
                    <w:tr2bl w:val="nil"/>
                  </w:tcBorders>
                  <w:vAlign w:val="center"/>
                </w:tcPr>
                <w:p w14:paraId="759E755E">
                  <w:pPr>
                    <w:jc w:val="center"/>
                    <w:rPr>
                      <w:szCs w:val="21"/>
                    </w:rPr>
                  </w:pPr>
                  <w:r>
                    <w:rPr>
                      <w:rFonts w:hint="eastAsia"/>
                      <w:szCs w:val="21"/>
                    </w:rPr>
                    <w:t>3</w:t>
                  </w:r>
                </w:p>
              </w:tc>
              <w:tc>
                <w:tcPr>
                  <w:tcW w:w="645" w:type="pct"/>
                  <w:vMerge w:val="restart"/>
                  <w:tcBorders>
                    <w:tl2br w:val="nil"/>
                    <w:tr2bl w:val="nil"/>
                  </w:tcBorders>
                  <w:vAlign w:val="center"/>
                </w:tcPr>
                <w:p w14:paraId="5B099C85">
                  <w:pPr>
                    <w:ind w:left="-105" w:leftChars="-50"/>
                    <w:jc w:val="center"/>
                    <w:rPr>
                      <w:szCs w:val="21"/>
                    </w:rPr>
                  </w:pPr>
                  <w:r>
                    <w:rPr>
                      <w:rFonts w:hint="eastAsia"/>
                      <w:szCs w:val="21"/>
                    </w:rPr>
                    <w:t>储运工程</w:t>
                  </w:r>
                </w:p>
              </w:tc>
              <w:tc>
                <w:tcPr>
                  <w:tcW w:w="697" w:type="pct"/>
                  <w:tcBorders>
                    <w:tl2br w:val="nil"/>
                    <w:tr2bl w:val="nil"/>
                  </w:tcBorders>
                  <w:vAlign w:val="center"/>
                </w:tcPr>
                <w:p w14:paraId="1AC68072">
                  <w:pPr>
                    <w:ind w:left="-105" w:leftChars="-50" w:right="-105" w:rightChars="-50"/>
                    <w:jc w:val="center"/>
                    <w:rPr>
                      <w:snapToGrid w:val="0"/>
                      <w:szCs w:val="21"/>
                    </w:rPr>
                  </w:pPr>
                  <w:r>
                    <w:rPr>
                      <w:rFonts w:hint="eastAsia"/>
                      <w:snapToGrid w:val="0"/>
                      <w:szCs w:val="21"/>
                    </w:rPr>
                    <w:t>原料区</w:t>
                  </w:r>
                </w:p>
              </w:tc>
              <w:tc>
                <w:tcPr>
                  <w:tcW w:w="2480" w:type="pct"/>
                  <w:tcBorders>
                    <w:tl2br w:val="nil"/>
                    <w:tr2bl w:val="nil"/>
                  </w:tcBorders>
                  <w:vAlign w:val="center"/>
                </w:tcPr>
                <w:p w14:paraId="4C3A5EFE">
                  <w:pPr>
                    <w:pStyle w:val="210"/>
                    <w:jc w:val="center"/>
                    <w:rPr>
                      <w:rFonts w:ascii="Times New Roman" w:cs="Times New Roman"/>
                      <w:color w:val="auto"/>
                    </w:rPr>
                  </w:pPr>
                  <w:r>
                    <w:rPr>
                      <w:rFonts w:hint="eastAsia"/>
                      <w:snapToGrid w:val="0"/>
                      <w:color w:val="auto"/>
                      <w:sz w:val="21"/>
                    </w:rPr>
                    <w:t>位于生产车间北侧，用于原料暂存</w:t>
                  </w:r>
                </w:p>
              </w:tc>
              <w:tc>
                <w:tcPr>
                  <w:tcW w:w="805" w:type="pct"/>
                  <w:tcBorders>
                    <w:tl2br w:val="nil"/>
                    <w:tr2bl w:val="nil"/>
                  </w:tcBorders>
                  <w:vAlign w:val="center"/>
                </w:tcPr>
                <w:p w14:paraId="765B1E59">
                  <w:pPr>
                    <w:jc w:val="center"/>
                  </w:pPr>
                  <w:r>
                    <w:rPr>
                      <w:rFonts w:hint="eastAsia"/>
                      <w:szCs w:val="21"/>
                    </w:rPr>
                    <w:t>新建</w:t>
                  </w:r>
                </w:p>
              </w:tc>
            </w:tr>
            <w:tr w14:paraId="191C6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1" w:type="pct"/>
                  <w:vMerge w:val="continue"/>
                  <w:tcBorders>
                    <w:tl2br w:val="nil"/>
                    <w:tr2bl w:val="nil"/>
                  </w:tcBorders>
                  <w:vAlign w:val="center"/>
                </w:tcPr>
                <w:p w14:paraId="6D1F33DE">
                  <w:pPr>
                    <w:jc w:val="center"/>
                    <w:rPr>
                      <w:szCs w:val="21"/>
                    </w:rPr>
                  </w:pPr>
                </w:p>
              </w:tc>
              <w:tc>
                <w:tcPr>
                  <w:tcW w:w="645" w:type="pct"/>
                  <w:vMerge w:val="continue"/>
                  <w:tcBorders>
                    <w:tl2br w:val="nil"/>
                    <w:tr2bl w:val="nil"/>
                  </w:tcBorders>
                  <w:vAlign w:val="center"/>
                </w:tcPr>
                <w:p w14:paraId="6115BAB1">
                  <w:pPr>
                    <w:ind w:left="-105" w:leftChars="-50"/>
                    <w:jc w:val="center"/>
                    <w:rPr>
                      <w:szCs w:val="21"/>
                    </w:rPr>
                  </w:pPr>
                </w:p>
              </w:tc>
              <w:tc>
                <w:tcPr>
                  <w:tcW w:w="697" w:type="pct"/>
                  <w:tcBorders>
                    <w:tl2br w:val="nil"/>
                    <w:tr2bl w:val="nil"/>
                  </w:tcBorders>
                  <w:vAlign w:val="center"/>
                </w:tcPr>
                <w:p w14:paraId="19A7F9A3">
                  <w:pPr>
                    <w:ind w:left="-105" w:leftChars="-50" w:right="-105" w:rightChars="-50"/>
                    <w:jc w:val="center"/>
                    <w:rPr>
                      <w:snapToGrid w:val="0"/>
                      <w:szCs w:val="21"/>
                    </w:rPr>
                  </w:pPr>
                  <w:r>
                    <w:rPr>
                      <w:rFonts w:hint="eastAsia"/>
                      <w:snapToGrid w:val="0"/>
                      <w:szCs w:val="21"/>
                    </w:rPr>
                    <w:t>成品区</w:t>
                  </w:r>
                </w:p>
              </w:tc>
              <w:tc>
                <w:tcPr>
                  <w:tcW w:w="2480" w:type="pct"/>
                  <w:tcBorders>
                    <w:tl2br w:val="nil"/>
                    <w:tr2bl w:val="nil"/>
                  </w:tcBorders>
                  <w:vAlign w:val="center"/>
                </w:tcPr>
                <w:p w14:paraId="5C2093D1">
                  <w:pPr>
                    <w:pStyle w:val="210"/>
                    <w:jc w:val="center"/>
                    <w:rPr>
                      <w:rFonts w:ascii="Times New Roman" w:cs="Times New Roman"/>
                      <w:color w:val="auto"/>
                      <w:sz w:val="21"/>
                      <w:szCs w:val="21"/>
                    </w:rPr>
                  </w:pPr>
                  <w:r>
                    <w:rPr>
                      <w:rFonts w:hint="eastAsia"/>
                      <w:snapToGrid w:val="0"/>
                      <w:color w:val="auto"/>
                      <w:sz w:val="21"/>
                    </w:rPr>
                    <w:t>位于生产车间</w:t>
                  </w:r>
                  <w:r>
                    <w:rPr>
                      <w:rFonts w:hint="eastAsia"/>
                      <w:snapToGrid w:val="0"/>
                      <w:color w:val="auto"/>
                      <w:sz w:val="21"/>
                      <w:lang w:val="en-US" w:eastAsia="zh-CN"/>
                    </w:rPr>
                    <w:t>北</w:t>
                  </w:r>
                  <w:r>
                    <w:rPr>
                      <w:rFonts w:hint="eastAsia"/>
                      <w:snapToGrid w:val="0"/>
                      <w:color w:val="auto"/>
                      <w:sz w:val="21"/>
                    </w:rPr>
                    <w:t>侧，用于成品暂存</w:t>
                  </w:r>
                </w:p>
              </w:tc>
              <w:tc>
                <w:tcPr>
                  <w:tcW w:w="805" w:type="pct"/>
                  <w:tcBorders>
                    <w:tl2br w:val="nil"/>
                    <w:tr2bl w:val="nil"/>
                  </w:tcBorders>
                  <w:vAlign w:val="center"/>
                </w:tcPr>
                <w:p w14:paraId="68D39C34">
                  <w:pPr>
                    <w:jc w:val="center"/>
                  </w:pPr>
                  <w:r>
                    <w:rPr>
                      <w:rFonts w:hint="eastAsia"/>
                      <w:szCs w:val="21"/>
                    </w:rPr>
                    <w:t>新建</w:t>
                  </w:r>
                </w:p>
              </w:tc>
            </w:tr>
            <w:tr w14:paraId="6A2BD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71" w:type="pct"/>
                  <w:vMerge w:val="restart"/>
                  <w:tcBorders>
                    <w:tl2br w:val="nil"/>
                    <w:tr2bl w:val="nil"/>
                  </w:tcBorders>
                  <w:vAlign w:val="center"/>
                </w:tcPr>
                <w:p w14:paraId="72319AFC">
                  <w:pPr>
                    <w:jc w:val="center"/>
                    <w:rPr>
                      <w:szCs w:val="21"/>
                    </w:rPr>
                  </w:pPr>
                  <w:r>
                    <w:rPr>
                      <w:szCs w:val="21"/>
                    </w:rPr>
                    <w:t>4</w:t>
                  </w:r>
                </w:p>
              </w:tc>
              <w:tc>
                <w:tcPr>
                  <w:tcW w:w="645" w:type="pct"/>
                  <w:vMerge w:val="restart"/>
                  <w:tcBorders>
                    <w:tl2br w:val="nil"/>
                    <w:tr2bl w:val="nil"/>
                  </w:tcBorders>
                  <w:vAlign w:val="center"/>
                </w:tcPr>
                <w:p w14:paraId="7413B2F9">
                  <w:pPr>
                    <w:jc w:val="center"/>
                    <w:rPr>
                      <w:szCs w:val="21"/>
                    </w:rPr>
                  </w:pPr>
                  <w:r>
                    <w:rPr>
                      <w:rFonts w:hint="eastAsia"/>
                      <w:szCs w:val="21"/>
                    </w:rPr>
                    <w:t>公用工程</w:t>
                  </w:r>
                </w:p>
              </w:tc>
              <w:tc>
                <w:tcPr>
                  <w:tcW w:w="697" w:type="pct"/>
                  <w:tcBorders>
                    <w:tl2br w:val="nil"/>
                    <w:tr2bl w:val="nil"/>
                  </w:tcBorders>
                  <w:vAlign w:val="center"/>
                </w:tcPr>
                <w:p w14:paraId="32C5FD5C">
                  <w:pPr>
                    <w:pStyle w:val="210"/>
                    <w:jc w:val="center"/>
                    <w:rPr>
                      <w:rFonts w:ascii="Times New Roman" w:cs="Times New Roman"/>
                      <w:snapToGrid w:val="0"/>
                      <w:color w:val="auto"/>
                      <w:sz w:val="21"/>
                      <w:szCs w:val="21"/>
                    </w:rPr>
                  </w:pPr>
                  <w:r>
                    <w:rPr>
                      <w:rFonts w:ascii="Times New Roman" w:cs="Times New Roman"/>
                      <w:snapToGrid w:val="0"/>
                      <w:color w:val="auto"/>
                      <w:sz w:val="21"/>
                      <w:szCs w:val="21"/>
                    </w:rPr>
                    <w:t>供水系统</w:t>
                  </w:r>
                </w:p>
              </w:tc>
              <w:tc>
                <w:tcPr>
                  <w:tcW w:w="2480" w:type="pct"/>
                  <w:tcBorders>
                    <w:tl2br w:val="nil"/>
                    <w:tr2bl w:val="nil"/>
                  </w:tcBorders>
                  <w:vAlign w:val="center"/>
                </w:tcPr>
                <w:p w14:paraId="7095727C">
                  <w:pPr>
                    <w:pStyle w:val="210"/>
                    <w:jc w:val="center"/>
                    <w:rPr>
                      <w:rFonts w:ascii="Times New Roman" w:cs="Times New Roman"/>
                      <w:color w:val="auto"/>
                      <w:sz w:val="21"/>
                      <w:szCs w:val="21"/>
                    </w:rPr>
                  </w:pPr>
                  <w:r>
                    <w:rPr>
                      <w:rFonts w:ascii="Times New Roman" w:cs="Times New Roman"/>
                      <w:color w:val="auto"/>
                      <w:sz w:val="21"/>
                      <w:szCs w:val="21"/>
                    </w:rPr>
                    <w:t>由开发区给水管网直接供给</w:t>
                  </w:r>
                </w:p>
              </w:tc>
              <w:tc>
                <w:tcPr>
                  <w:tcW w:w="805" w:type="pct"/>
                  <w:tcBorders>
                    <w:tl2br w:val="nil"/>
                    <w:tr2bl w:val="nil"/>
                  </w:tcBorders>
                  <w:vAlign w:val="center"/>
                </w:tcPr>
                <w:p w14:paraId="3055E480">
                  <w:pPr>
                    <w:ind w:left="-105" w:leftChars="-50" w:right="-105" w:rightChars="-50"/>
                    <w:jc w:val="center"/>
                    <w:rPr>
                      <w:rFonts w:hint="default"/>
                      <w:szCs w:val="21"/>
                      <w:lang w:val="en-US"/>
                    </w:rPr>
                  </w:pPr>
                  <w:r>
                    <w:rPr>
                      <w:szCs w:val="21"/>
                    </w:rPr>
                    <w:t>依托租赁方</w:t>
                  </w:r>
                  <w:r>
                    <w:rPr>
                      <w:rFonts w:hint="eastAsia"/>
                      <w:szCs w:val="21"/>
                      <w:lang w:val="en-US" w:eastAsia="zh-CN"/>
                    </w:rPr>
                    <w:t>供水管网</w:t>
                  </w:r>
                </w:p>
              </w:tc>
            </w:tr>
            <w:tr w14:paraId="041043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71" w:type="pct"/>
                  <w:vMerge w:val="continue"/>
                  <w:tcBorders>
                    <w:tl2br w:val="nil"/>
                    <w:tr2bl w:val="nil"/>
                  </w:tcBorders>
                  <w:vAlign w:val="center"/>
                </w:tcPr>
                <w:p w14:paraId="2F604AE6">
                  <w:pPr>
                    <w:jc w:val="center"/>
                    <w:rPr>
                      <w:szCs w:val="21"/>
                    </w:rPr>
                  </w:pPr>
                </w:p>
              </w:tc>
              <w:tc>
                <w:tcPr>
                  <w:tcW w:w="645" w:type="pct"/>
                  <w:vMerge w:val="continue"/>
                  <w:tcBorders>
                    <w:tl2br w:val="nil"/>
                    <w:tr2bl w:val="nil"/>
                  </w:tcBorders>
                  <w:vAlign w:val="center"/>
                </w:tcPr>
                <w:p w14:paraId="1C26333F">
                  <w:pPr>
                    <w:jc w:val="center"/>
                    <w:rPr>
                      <w:szCs w:val="21"/>
                    </w:rPr>
                  </w:pPr>
                </w:p>
              </w:tc>
              <w:tc>
                <w:tcPr>
                  <w:tcW w:w="697" w:type="pct"/>
                  <w:tcBorders>
                    <w:tl2br w:val="nil"/>
                    <w:tr2bl w:val="nil"/>
                  </w:tcBorders>
                  <w:vAlign w:val="center"/>
                </w:tcPr>
                <w:p w14:paraId="0088BBA0">
                  <w:pPr>
                    <w:pStyle w:val="210"/>
                    <w:jc w:val="center"/>
                    <w:rPr>
                      <w:rFonts w:ascii="Times New Roman" w:cs="Times New Roman"/>
                      <w:snapToGrid w:val="0"/>
                      <w:color w:val="auto"/>
                      <w:sz w:val="21"/>
                      <w:szCs w:val="21"/>
                    </w:rPr>
                  </w:pPr>
                  <w:r>
                    <w:rPr>
                      <w:rFonts w:ascii="Times New Roman" w:cs="Times New Roman"/>
                      <w:snapToGrid w:val="0"/>
                      <w:color w:val="auto"/>
                      <w:sz w:val="21"/>
                      <w:szCs w:val="21"/>
                    </w:rPr>
                    <w:t>排水系统</w:t>
                  </w:r>
                </w:p>
              </w:tc>
              <w:tc>
                <w:tcPr>
                  <w:tcW w:w="2480" w:type="pct"/>
                  <w:tcBorders>
                    <w:tl2br w:val="nil"/>
                    <w:tr2bl w:val="nil"/>
                  </w:tcBorders>
                  <w:vAlign w:val="center"/>
                </w:tcPr>
                <w:p w14:paraId="1892A465">
                  <w:pPr>
                    <w:pStyle w:val="210"/>
                    <w:jc w:val="center"/>
                    <w:rPr>
                      <w:rFonts w:ascii="Times New Roman" w:cs="Times New Roman"/>
                      <w:color w:val="auto"/>
                      <w:sz w:val="21"/>
                      <w:szCs w:val="21"/>
                    </w:rPr>
                  </w:pPr>
                  <w:r>
                    <w:rPr>
                      <w:rFonts w:ascii="Times New Roman" w:cs="Times New Roman"/>
                      <w:color w:val="auto"/>
                      <w:sz w:val="21"/>
                      <w:szCs w:val="21"/>
                    </w:rPr>
                    <w:t>采用雨、污分流制，</w:t>
                  </w:r>
                  <w:r>
                    <w:rPr>
                      <w:rFonts w:hint="eastAsia" w:ascii="Times New Roman" w:cs="Times New Roman"/>
                      <w:color w:val="auto"/>
                      <w:sz w:val="21"/>
                      <w:szCs w:val="21"/>
                    </w:rPr>
                    <w:t>雨水排入市政雨水管网；</w:t>
                  </w:r>
                  <w:r>
                    <w:rPr>
                      <w:rFonts w:hint="eastAsia" w:ascii="Times New Roman"/>
                      <w:color w:val="auto"/>
                      <w:sz w:val="21"/>
                      <w:szCs w:val="21"/>
                    </w:rPr>
                    <w:t>生活污水经化粪池处理达标后经市政污水管网</w:t>
                  </w:r>
                  <w:r>
                    <w:rPr>
                      <w:rFonts w:hint="eastAsia" w:ascii="Times New Roman" w:cs="Times New Roman"/>
                      <w:color w:val="auto"/>
                      <w:sz w:val="21"/>
                      <w:szCs w:val="21"/>
                    </w:rPr>
                    <w:t>进入</w:t>
                  </w:r>
                  <w:r>
                    <w:rPr>
                      <w:rFonts w:hint="eastAsia"/>
                      <w:color w:val="auto"/>
                      <w:sz w:val="21"/>
                      <w:szCs w:val="21"/>
                    </w:rPr>
                    <w:t>天门山污水处理厂进一步处理</w:t>
                  </w:r>
                </w:p>
              </w:tc>
              <w:tc>
                <w:tcPr>
                  <w:tcW w:w="805" w:type="pct"/>
                  <w:tcBorders>
                    <w:tl2br w:val="nil"/>
                    <w:tr2bl w:val="nil"/>
                  </w:tcBorders>
                  <w:vAlign w:val="center"/>
                </w:tcPr>
                <w:p w14:paraId="4CB9842B">
                  <w:pPr>
                    <w:ind w:left="-105" w:leftChars="-50" w:right="-105" w:rightChars="-50"/>
                    <w:jc w:val="center"/>
                    <w:rPr>
                      <w:rFonts w:hint="default" w:eastAsia="宋体"/>
                      <w:szCs w:val="21"/>
                      <w:lang w:val="en-US" w:eastAsia="zh-CN"/>
                    </w:rPr>
                  </w:pPr>
                  <w:r>
                    <w:rPr>
                      <w:rFonts w:hint="eastAsia"/>
                      <w:szCs w:val="21"/>
                    </w:rPr>
                    <w:t>依托租赁方</w:t>
                  </w:r>
                  <w:r>
                    <w:rPr>
                      <w:rFonts w:hint="eastAsia"/>
                      <w:lang w:val="en-US" w:eastAsia="zh-CN"/>
                    </w:rPr>
                    <w:t>排水管网</w:t>
                  </w:r>
                </w:p>
              </w:tc>
            </w:tr>
            <w:tr w14:paraId="08193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71" w:type="pct"/>
                  <w:vMerge w:val="continue"/>
                  <w:tcBorders>
                    <w:tl2br w:val="nil"/>
                    <w:tr2bl w:val="nil"/>
                  </w:tcBorders>
                  <w:vAlign w:val="center"/>
                </w:tcPr>
                <w:p w14:paraId="7F0A6BE1">
                  <w:pPr>
                    <w:jc w:val="center"/>
                    <w:rPr>
                      <w:szCs w:val="21"/>
                    </w:rPr>
                  </w:pPr>
                </w:p>
              </w:tc>
              <w:tc>
                <w:tcPr>
                  <w:tcW w:w="645" w:type="pct"/>
                  <w:vMerge w:val="continue"/>
                  <w:tcBorders>
                    <w:tl2br w:val="nil"/>
                    <w:tr2bl w:val="nil"/>
                  </w:tcBorders>
                  <w:vAlign w:val="center"/>
                </w:tcPr>
                <w:p w14:paraId="4DD98AF4">
                  <w:pPr>
                    <w:jc w:val="center"/>
                    <w:rPr>
                      <w:szCs w:val="21"/>
                    </w:rPr>
                  </w:pPr>
                </w:p>
              </w:tc>
              <w:tc>
                <w:tcPr>
                  <w:tcW w:w="697" w:type="pct"/>
                  <w:tcBorders>
                    <w:tl2br w:val="nil"/>
                    <w:tr2bl w:val="nil"/>
                  </w:tcBorders>
                  <w:vAlign w:val="center"/>
                </w:tcPr>
                <w:p w14:paraId="2DB481FE">
                  <w:pPr>
                    <w:pStyle w:val="210"/>
                    <w:jc w:val="center"/>
                    <w:rPr>
                      <w:rFonts w:ascii="Times New Roman" w:cs="Times New Roman"/>
                      <w:color w:val="auto"/>
                      <w:sz w:val="21"/>
                      <w:szCs w:val="21"/>
                    </w:rPr>
                  </w:pPr>
                  <w:r>
                    <w:rPr>
                      <w:rFonts w:ascii="Times New Roman" w:cs="Times New Roman"/>
                      <w:color w:val="auto"/>
                      <w:sz w:val="21"/>
                      <w:szCs w:val="21"/>
                    </w:rPr>
                    <w:t>供电</w:t>
                  </w:r>
                </w:p>
              </w:tc>
              <w:tc>
                <w:tcPr>
                  <w:tcW w:w="2480" w:type="pct"/>
                  <w:tcBorders>
                    <w:tl2br w:val="nil"/>
                    <w:tr2bl w:val="nil"/>
                  </w:tcBorders>
                  <w:vAlign w:val="center"/>
                </w:tcPr>
                <w:p w14:paraId="00EBAE77">
                  <w:pPr>
                    <w:pStyle w:val="210"/>
                    <w:jc w:val="center"/>
                    <w:rPr>
                      <w:rFonts w:ascii="Times New Roman" w:cs="Times New Roman"/>
                      <w:color w:val="auto"/>
                      <w:sz w:val="21"/>
                      <w:szCs w:val="21"/>
                    </w:rPr>
                  </w:pPr>
                  <w:r>
                    <w:rPr>
                      <w:rFonts w:ascii="Times New Roman" w:cs="Times New Roman"/>
                      <w:color w:val="auto"/>
                      <w:sz w:val="21"/>
                      <w:szCs w:val="21"/>
                    </w:rPr>
                    <w:t>由</w:t>
                  </w:r>
                  <w:r>
                    <w:rPr>
                      <w:rFonts w:hint="eastAsia" w:ascii="Times New Roman" w:cs="Times New Roman"/>
                      <w:color w:val="auto"/>
                      <w:sz w:val="21"/>
                      <w:szCs w:val="21"/>
                    </w:rPr>
                    <w:t>开发区</w:t>
                  </w:r>
                  <w:r>
                    <w:rPr>
                      <w:rFonts w:ascii="Times New Roman" w:cs="Times New Roman"/>
                      <w:color w:val="auto"/>
                      <w:sz w:val="21"/>
                      <w:szCs w:val="21"/>
                    </w:rPr>
                    <w:t>供电</w:t>
                  </w:r>
                  <w:r>
                    <w:rPr>
                      <w:rFonts w:hint="eastAsia" w:ascii="Times New Roman" w:cs="Times New Roman"/>
                      <w:color w:val="auto"/>
                      <w:sz w:val="21"/>
                      <w:szCs w:val="21"/>
                    </w:rPr>
                    <w:t>系统</w:t>
                  </w:r>
                  <w:r>
                    <w:rPr>
                      <w:rFonts w:ascii="Times New Roman" w:cs="Times New Roman"/>
                      <w:color w:val="auto"/>
                      <w:sz w:val="21"/>
                      <w:szCs w:val="21"/>
                    </w:rPr>
                    <w:t>供给</w:t>
                  </w:r>
                </w:p>
              </w:tc>
              <w:tc>
                <w:tcPr>
                  <w:tcW w:w="805" w:type="pct"/>
                  <w:tcBorders>
                    <w:tl2br w:val="nil"/>
                    <w:tr2bl w:val="nil"/>
                  </w:tcBorders>
                  <w:vAlign w:val="center"/>
                </w:tcPr>
                <w:p w14:paraId="6C90BFC1">
                  <w:pPr>
                    <w:ind w:left="-105" w:leftChars="-50" w:right="-105" w:rightChars="-50"/>
                    <w:jc w:val="center"/>
                    <w:rPr>
                      <w:rFonts w:hint="default"/>
                      <w:szCs w:val="21"/>
                      <w:lang w:val="en-US"/>
                    </w:rPr>
                  </w:pPr>
                  <w:r>
                    <w:rPr>
                      <w:rFonts w:hint="eastAsia"/>
                      <w:szCs w:val="21"/>
                    </w:rPr>
                    <w:t>依托租赁方</w:t>
                  </w:r>
                  <w:r>
                    <w:rPr>
                      <w:rFonts w:hint="eastAsia"/>
                      <w:szCs w:val="21"/>
                      <w:lang w:val="en-US" w:eastAsia="zh-CN"/>
                    </w:rPr>
                    <w:t>供电管网</w:t>
                  </w:r>
                </w:p>
              </w:tc>
            </w:tr>
            <w:tr w14:paraId="6C8961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1" w:type="pct"/>
                  <w:vMerge w:val="restart"/>
                  <w:tcBorders>
                    <w:tl2br w:val="nil"/>
                    <w:tr2bl w:val="nil"/>
                  </w:tcBorders>
                  <w:vAlign w:val="center"/>
                </w:tcPr>
                <w:p w14:paraId="4A2ABFFF">
                  <w:pPr>
                    <w:jc w:val="center"/>
                    <w:rPr>
                      <w:szCs w:val="21"/>
                    </w:rPr>
                  </w:pPr>
                  <w:r>
                    <w:rPr>
                      <w:szCs w:val="21"/>
                    </w:rPr>
                    <w:t>5</w:t>
                  </w:r>
                </w:p>
              </w:tc>
              <w:tc>
                <w:tcPr>
                  <w:tcW w:w="645" w:type="pct"/>
                  <w:vMerge w:val="restart"/>
                  <w:tcBorders>
                    <w:tl2br w:val="nil"/>
                    <w:tr2bl w:val="nil"/>
                  </w:tcBorders>
                  <w:vAlign w:val="center"/>
                </w:tcPr>
                <w:p w14:paraId="65146C0E">
                  <w:pPr>
                    <w:jc w:val="center"/>
                    <w:rPr>
                      <w:szCs w:val="21"/>
                    </w:rPr>
                  </w:pPr>
                  <w:r>
                    <w:rPr>
                      <w:rFonts w:hint="eastAsia"/>
                      <w:szCs w:val="21"/>
                    </w:rPr>
                    <w:t>环保工程</w:t>
                  </w:r>
                </w:p>
              </w:tc>
              <w:tc>
                <w:tcPr>
                  <w:tcW w:w="697" w:type="pct"/>
                  <w:tcBorders>
                    <w:tl2br w:val="nil"/>
                    <w:tr2bl w:val="nil"/>
                  </w:tcBorders>
                  <w:vAlign w:val="center"/>
                </w:tcPr>
                <w:p w14:paraId="5B824DCB">
                  <w:pPr>
                    <w:jc w:val="center"/>
                    <w:rPr>
                      <w:szCs w:val="21"/>
                    </w:rPr>
                  </w:pPr>
                  <w:r>
                    <w:rPr>
                      <w:rFonts w:hint="eastAsia"/>
                      <w:szCs w:val="21"/>
                    </w:rPr>
                    <w:t>废气处理</w:t>
                  </w:r>
                </w:p>
              </w:tc>
              <w:tc>
                <w:tcPr>
                  <w:tcW w:w="2480" w:type="pct"/>
                  <w:tcBorders>
                    <w:tl2br w:val="nil"/>
                    <w:tr2bl w:val="nil"/>
                  </w:tcBorders>
                  <w:vAlign w:val="center"/>
                </w:tcPr>
                <w:p w14:paraId="30EF567D">
                  <w:pPr>
                    <w:jc w:val="center"/>
                    <w:rPr>
                      <w:szCs w:val="21"/>
                      <w:lang w:val="en-GB"/>
                    </w:rPr>
                  </w:pPr>
                  <w:r>
                    <w:rPr>
                      <w:rFonts w:hint="eastAsia"/>
                      <w:szCs w:val="21"/>
                      <w:lang w:val="en-US" w:eastAsia="zh-CN"/>
                    </w:rPr>
                    <w:t>加热成型</w:t>
                  </w:r>
                  <w:r>
                    <w:rPr>
                      <w:rFonts w:hint="eastAsia"/>
                      <w:szCs w:val="21"/>
                    </w:rPr>
                    <w:t>废气</w:t>
                  </w:r>
                  <w:r>
                    <w:rPr>
                      <w:rFonts w:hint="eastAsia"/>
                      <w:szCs w:val="21"/>
                      <w:lang w:val="en-US" w:eastAsia="zh-CN"/>
                    </w:rPr>
                    <w:t>经</w:t>
                  </w:r>
                  <w:r>
                    <w:rPr>
                      <w:rFonts w:hint="eastAsia"/>
                      <w:szCs w:val="21"/>
                    </w:rPr>
                    <w:t>集气罩</w:t>
                  </w:r>
                  <w:r>
                    <w:rPr>
                      <w:rFonts w:hint="eastAsia"/>
                      <w:szCs w:val="21"/>
                      <w:lang w:val="en-US" w:eastAsia="zh-CN"/>
                    </w:rPr>
                    <w:t>收集</w:t>
                  </w:r>
                  <w:r>
                    <w:rPr>
                      <w:rFonts w:hint="eastAsia"/>
                      <w:szCs w:val="21"/>
                    </w:rPr>
                    <w:t>+二级活性炭吸附装置+</w:t>
                  </w:r>
                  <w:r>
                    <w:rPr>
                      <w:rFonts w:hint="eastAsia"/>
                      <w:szCs w:val="21"/>
                      <w:lang w:val="en-US" w:eastAsia="zh-CN"/>
                    </w:rPr>
                    <w:t>20</w:t>
                  </w:r>
                  <w:r>
                    <w:rPr>
                      <w:rFonts w:hint="eastAsia"/>
                      <w:szCs w:val="21"/>
                    </w:rPr>
                    <w:t>m高排气筒（DA001）</w:t>
                  </w:r>
                </w:p>
              </w:tc>
              <w:tc>
                <w:tcPr>
                  <w:tcW w:w="805" w:type="pct"/>
                  <w:tcBorders>
                    <w:tl2br w:val="nil"/>
                    <w:tr2bl w:val="nil"/>
                  </w:tcBorders>
                  <w:vAlign w:val="center"/>
                </w:tcPr>
                <w:p w14:paraId="68D5C8E8">
                  <w:pPr>
                    <w:ind w:left="-105" w:leftChars="-50" w:right="-105" w:rightChars="-50"/>
                    <w:jc w:val="center"/>
                    <w:rPr>
                      <w:szCs w:val="21"/>
                    </w:rPr>
                  </w:pPr>
                  <w:r>
                    <w:rPr>
                      <w:rFonts w:hint="eastAsia"/>
                      <w:szCs w:val="21"/>
                    </w:rPr>
                    <w:t>新建</w:t>
                  </w:r>
                </w:p>
              </w:tc>
            </w:tr>
            <w:tr w14:paraId="21970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71" w:type="pct"/>
                  <w:vMerge w:val="continue"/>
                  <w:tcBorders>
                    <w:tl2br w:val="nil"/>
                    <w:tr2bl w:val="nil"/>
                  </w:tcBorders>
                  <w:vAlign w:val="center"/>
                </w:tcPr>
                <w:p w14:paraId="1CF72454">
                  <w:pPr>
                    <w:jc w:val="center"/>
                    <w:rPr>
                      <w:szCs w:val="21"/>
                    </w:rPr>
                  </w:pPr>
                </w:p>
              </w:tc>
              <w:tc>
                <w:tcPr>
                  <w:tcW w:w="645" w:type="pct"/>
                  <w:vMerge w:val="continue"/>
                  <w:tcBorders>
                    <w:tl2br w:val="nil"/>
                    <w:tr2bl w:val="nil"/>
                  </w:tcBorders>
                  <w:vAlign w:val="center"/>
                </w:tcPr>
                <w:p w14:paraId="50395D9E">
                  <w:pPr>
                    <w:jc w:val="center"/>
                    <w:rPr>
                      <w:szCs w:val="21"/>
                    </w:rPr>
                  </w:pPr>
                </w:p>
              </w:tc>
              <w:tc>
                <w:tcPr>
                  <w:tcW w:w="697" w:type="pct"/>
                  <w:tcBorders>
                    <w:tl2br w:val="nil"/>
                    <w:tr2bl w:val="nil"/>
                  </w:tcBorders>
                  <w:vAlign w:val="center"/>
                </w:tcPr>
                <w:p w14:paraId="43C94B98">
                  <w:pPr>
                    <w:jc w:val="center"/>
                    <w:rPr>
                      <w:szCs w:val="21"/>
                    </w:rPr>
                  </w:pPr>
                  <w:r>
                    <w:rPr>
                      <w:rFonts w:hint="eastAsia"/>
                      <w:szCs w:val="21"/>
                    </w:rPr>
                    <w:t>废水处理</w:t>
                  </w:r>
                </w:p>
              </w:tc>
              <w:tc>
                <w:tcPr>
                  <w:tcW w:w="2480" w:type="pct"/>
                  <w:tcBorders>
                    <w:tl2br w:val="nil"/>
                    <w:tr2bl w:val="nil"/>
                  </w:tcBorders>
                  <w:vAlign w:val="center"/>
                </w:tcPr>
                <w:p w14:paraId="1C65CDDA">
                  <w:pPr>
                    <w:jc w:val="center"/>
                    <w:rPr>
                      <w:szCs w:val="21"/>
                    </w:rPr>
                  </w:pPr>
                  <w:r>
                    <w:rPr>
                      <w:rFonts w:hint="eastAsia"/>
                      <w:iCs/>
                      <w:color w:val="000000"/>
                    </w:rPr>
                    <w:t>间接循环冷却</w:t>
                  </w:r>
                  <w:r>
                    <w:rPr>
                      <w:rFonts w:hint="eastAsia"/>
                      <w:iCs/>
                      <w:color w:val="000000"/>
                      <w:lang w:val="en-US" w:eastAsia="zh-CN"/>
                    </w:rPr>
                    <w:t>循环使用，</w:t>
                  </w:r>
                  <w:r>
                    <w:rPr>
                      <w:rFonts w:hint="eastAsia"/>
                      <w:szCs w:val="21"/>
                    </w:rPr>
                    <w:t>生活污水经化粪池处理达标后经市政污水管网进入天门山污水处理厂进一步处理</w:t>
                  </w:r>
                </w:p>
              </w:tc>
              <w:tc>
                <w:tcPr>
                  <w:tcW w:w="805" w:type="pct"/>
                  <w:tcBorders>
                    <w:tl2br w:val="nil"/>
                    <w:tr2bl w:val="nil"/>
                  </w:tcBorders>
                  <w:vAlign w:val="center"/>
                </w:tcPr>
                <w:p w14:paraId="0896F08D">
                  <w:pPr>
                    <w:jc w:val="center"/>
                    <w:rPr>
                      <w:szCs w:val="21"/>
                    </w:rPr>
                  </w:pPr>
                  <w:r>
                    <w:rPr>
                      <w:rFonts w:hint="eastAsia"/>
                      <w:szCs w:val="21"/>
                    </w:rPr>
                    <w:t>依托租赁方化粪池</w:t>
                  </w:r>
                  <w:r>
                    <w:rPr>
                      <w:rFonts w:hint="eastAsia"/>
                      <w:szCs w:val="21"/>
                      <w:lang w:val="en-US" w:eastAsia="zh-CN"/>
                    </w:rPr>
                    <w:t>处理</w:t>
                  </w:r>
                </w:p>
              </w:tc>
            </w:tr>
            <w:tr w14:paraId="43789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71" w:type="pct"/>
                  <w:vMerge w:val="continue"/>
                  <w:tcBorders>
                    <w:tl2br w:val="nil"/>
                    <w:tr2bl w:val="nil"/>
                  </w:tcBorders>
                  <w:vAlign w:val="center"/>
                </w:tcPr>
                <w:p w14:paraId="3A23329F">
                  <w:pPr>
                    <w:jc w:val="center"/>
                    <w:rPr>
                      <w:szCs w:val="21"/>
                    </w:rPr>
                  </w:pPr>
                </w:p>
              </w:tc>
              <w:tc>
                <w:tcPr>
                  <w:tcW w:w="645" w:type="pct"/>
                  <w:vMerge w:val="continue"/>
                  <w:tcBorders>
                    <w:tl2br w:val="nil"/>
                    <w:tr2bl w:val="nil"/>
                  </w:tcBorders>
                  <w:vAlign w:val="center"/>
                </w:tcPr>
                <w:p w14:paraId="7359D546">
                  <w:pPr>
                    <w:jc w:val="center"/>
                    <w:rPr>
                      <w:szCs w:val="21"/>
                    </w:rPr>
                  </w:pPr>
                </w:p>
              </w:tc>
              <w:tc>
                <w:tcPr>
                  <w:tcW w:w="697" w:type="pct"/>
                  <w:tcBorders>
                    <w:tl2br w:val="nil"/>
                    <w:tr2bl w:val="nil"/>
                  </w:tcBorders>
                  <w:vAlign w:val="center"/>
                </w:tcPr>
                <w:p w14:paraId="5857E4A0">
                  <w:pPr>
                    <w:jc w:val="center"/>
                    <w:rPr>
                      <w:szCs w:val="21"/>
                    </w:rPr>
                  </w:pPr>
                  <w:r>
                    <w:rPr>
                      <w:rFonts w:hint="eastAsia"/>
                      <w:szCs w:val="21"/>
                    </w:rPr>
                    <w:t>噪声治理</w:t>
                  </w:r>
                </w:p>
              </w:tc>
              <w:tc>
                <w:tcPr>
                  <w:tcW w:w="2480" w:type="pct"/>
                  <w:tcBorders>
                    <w:tl2br w:val="nil"/>
                    <w:tr2bl w:val="nil"/>
                  </w:tcBorders>
                  <w:vAlign w:val="center"/>
                </w:tcPr>
                <w:p w14:paraId="3EEAB441">
                  <w:pPr>
                    <w:jc w:val="center"/>
                    <w:rPr>
                      <w:szCs w:val="21"/>
                    </w:rPr>
                  </w:pPr>
                  <w:r>
                    <w:rPr>
                      <w:rFonts w:hint="eastAsia"/>
                      <w:szCs w:val="21"/>
                    </w:rPr>
                    <w:t>隔声、减振</w:t>
                  </w:r>
                </w:p>
              </w:tc>
              <w:tc>
                <w:tcPr>
                  <w:tcW w:w="805" w:type="pct"/>
                  <w:tcBorders>
                    <w:tl2br w:val="nil"/>
                    <w:tr2bl w:val="nil"/>
                  </w:tcBorders>
                  <w:vAlign w:val="center"/>
                </w:tcPr>
                <w:p w14:paraId="4D11EB31">
                  <w:pPr>
                    <w:ind w:left="-105" w:leftChars="-50" w:right="-105" w:rightChars="-50"/>
                    <w:jc w:val="center"/>
                    <w:rPr>
                      <w:szCs w:val="21"/>
                    </w:rPr>
                  </w:pPr>
                  <w:r>
                    <w:rPr>
                      <w:rFonts w:hint="eastAsia"/>
                      <w:szCs w:val="21"/>
                    </w:rPr>
                    <w:t>新建</w:t>
                  </w:r>
                </w:p>
              </w:tc>
            </w:tr>
            <w:tr w14:paraId="66B90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371" w:type="pct"/>
                  <w:vMerge w:val="continue"/>
                  <w:tcBorders>
                    <w:tl2br w:val="nil"/>
                    <w:tr2bl w:val="nil"/>
                  </w:tcBorders>
                  <w:vAlign w:val="center"/>
                </w:tcPr>
                <w:p w14:paraId="0573DCAF">
                  <w:pPr>
                    <w:jc w:val="center"/>
                    <w:rPr>
                      <w:szCs w:val="21"/>
                    </w:rPr>
                  </w:pPr>
                </w:p>
              </w:tc>
              <w:tc>
                <w:tcPr>
                  <w:tcW w:w="645" w:type="pct"/>
                  <w:vMerge w:val="continue"/>
                  <w:tcBorders>
                    <w:tl2br w:val="nil"/>
                    <w:tr2bl w:val="nil"/>
                  </w:tcBorders>
                  <w:vAlign w:val="center"/>
                </w:tcPr>
                <w:p w14:paraId="48E5C8DD">
                  <w:pPr>
                    <w:jc w:val="center"/>
                    <w:rPr>
                      <w:szCs w:val="21"/>
                    </w:rPr>
                  </w:pPr>
                </w:p>
              </w:tc>
              <w:tc>
                <w:tcPr>
                  <w:tcW w:w="697" w:type="pct"/>
                  <w:tcBorders>
                    <w:tl2br w:val="nil"/>
                    <w:tr2bl w:val="nil"/>
                  </w:tcBorders>
                  <w:vAlign w:val="center"/>
                </w:tcPr>
                <w:p w14:paraId="3257B554">
                  <w:pPr>
                    <w:jc w:val="center"/>
                    <w:rPr>
                      <w:szCs w:val="21"/>
                    </w:rPr>
                  </w:pPr>
                  <w:r>
                    <w:rPr>
                      <w:rFonts w:hint="eastAsia"/>
                      <w:szCs w:val="21"/>
                    </w:rPr>
                    <w:t>固废处理</w:t>
                  </w:r>
                </w:p>
              </w:tc>
              <w:tc>
                <w:tcPr>
                  <w:tcW w:w="2480" w:type="pct"/>
                  <w:tcBorders>
                    <w:tl2br w:val="nil"/>
                    <w:tr2bl w:val="nil"/>
                  </w:tcBorders>
                  <w:vAlign w:val="center"/>
                </w:tcPr>
                <w:p w14:paraId="69D438B2">
                  <w:pPr>
                    <w:jc w:val="center"/>
                    <w:rPr>
                      <w:szCs w:val="21"/>
                    </w:rPr>
                  </w:pPr>
                  <w:r>
                    <w:rPr>
                      <w:rFonts w:hint="eastAsia"/>
                      <w:snapToGrid w:val="0"/>
                      <w:color w:val="auto"/>
                      <w:szCs w:val="21"/>
                    </w:rPr>
                    <w:t>新建一般固废暂存库（</w:t>
                  </w:r>
                  <w:r>
                    <w:rPr>
                      <w:snapToGrid w:val="0"/>
                      <w:color w:val="auto"/>
                      <w:szCs w:val="21"/>
                    </w:rPr>
                    <w:t>20m</w:t>
                  </w:r>
                  <w:r>
                    <w:rPr>
                      <w:snapToGrid w:val="0"/>
                      <w:color w:val="auto"/>
                      <w:szCs w:val="21"/>
                      <w:vertAlign w:val="superscript"/>
                    </w:rPr>
                    <w:t>2</w:t>
                  </w:r>
                  <w:r>
                    <w:rPr>
                      <w:rFonts w:hint="eastAsia"/>
                      <w:snapToGrid w:val="0"/>
                      <w:color w:val="auto"/>
                      <w:szCs w:val="21"/>
                    </w:rPr>
                    <w:t>），位于生产车间北侧，一般固废于一般固废暂存库内暂存；新建危废暂存库（</w:t>
                  </w:r>
                  <w:r>
                    <w:rPr>
                      <w:snapToGrid w:val="0"/>
                      <w:color w:val="auto"/>
                      <w:szCs w:val="21"/>
                    </w:rPr>
                    <w:t>10m</w:t>
                  </w:r>
                  <w:r>
                    <w:rPr>
                      <w:snapToGrid w:val="0"/>
                      <w:color w:val="auto"/>
                      <w:szCs w:val="21"/>
                      <w:vertAlign w:val="superscript"/>
                    </w:rPr>
                    <w:t>2</w:t>
                  </w:r>
                  <w:r>
                    <w:rPr>
                      <w:rFonts w:hint="eastAsia"/>
                      <w:snapToGrid w:val="0"/>
                      <w:color w:val="auto"/>
                      <w:szCs w:val="21"/>
                    </w:rPr>
                    <w:t>），位于</w:t>
                  </w:r>
                  <w:r>
                    <w:rPr>
                      <w:snapToGrid w:val="0"/>
                      <w:color w:val="auto"/>
                      <w:szCs w:val="21"/>
                    </w:rPr>
                    <w:t>车间北侧，</w:t>
                  </w:r>
                  <w:r>
                    <w:rPr>
                      <w:rFonts w:hint="eastAsia"/>
                      <w:snapToGrid w:val="0"/>
                      <w:color w:val="auto"/>
                      <w:szCs w:val="21"/>
                    </w:rPr>
                    <w:t>危险废物于危废暂存库暂存</w:t>
                  </w:r>
                  <w:r>
                    <w:rPr>
                      <w:rFonts w:hint="eastAsia"/>
                      <w:snapToGrid w:val="0"/>
                      <w:color w:val="auto"/>
                      <w:szCs w:val="21"/>
                      <w:lang w:eastAsia="zh-CN"/>
                    </w:rPr>
                    <w:t>，</w:t>
                  </w:r>
                  <w:r>
                    <w:rPr>
                      <w:color w:val="auto"/>
                      <w:szCs w:val="21"/>
                    </w:rPr>
                    <w:t>定期交</w:t>
                  </w:r>
                  <w:r>
                    <w:rPr>
                      <w:rFonts w:hint="eastAsia"/>
                      <w:color w:val="auto"/>
                      <w:szCs w:val="21"/>
                    </w:rPr>
                    <w:t>由有</w:t>
                  </w:r>
                  <w:r>
                    <w:rPr>
                      <w:color w:val="auto"/>
                      <w:szCs w:val="21"/>
                    </w:rPr>
                    <w:t>相关危废资质单位处理</w:t>
                  </w:r>
                </w:p>
              </w:tc>
              <w:tc>
                <w:tcPr>
                  <w:tcW w:w="805" w:type="pct"/>
                  <w:tcBorders>
                    <w:tl2br w:val="nil"/>
                    <w:tr2bl w:val="nil"/>
                  </w:tcBorders>
                  <w:vAlign w:val="center"/>
                </w:tcPr>
                <w:p w14:paraId="0D8FF50F">
                  <w:pPr>
                    <w:jc w:val="center"/>
                    <w:rPr>
                      <w:szCs w:val="21"/>
                    </w:rPr>
                  </w:pPr>
                  <w:r>
                    <w:rPr>
                      <w:rFonts w:hint="eastAsia"/>
                      <w:szCs w:val="21"/>
                    </w:rPr>
                    <w:t>新建</w:t>
                  </w:r>
                </w:p>
              </w:tc>
            </w:tr>
          </w:tbl>
          <w:p w14:paraId="2EA5085F">
            <w:pPr>
              <w:keepNext w:val="0"/>
              <w:keepLines w:val="0"/>
              <w:pageBreakBefore w:val="0"/>
              <w:widowControl w:val="0"/>
              <w:kinsoku/>
              <w:wordWrap/>
              <w:overflowPunct/>
              <w:topLinePunct w:val="0"/>
              <w:autoSpaceDE/>
              <w:autoSpaceDN/>
              <w:bidi w:val="0"/>
              <w:adjustRightInd/>
              <w:snapToGrid/>
              <w:spacing w:beforeAutospacing="0" w:line="240" w:lineRule="auto"/>
              <w:ind w:firstLine="480" w:firstLineChars="200"/>
              <w:textAlignment w:val="auto"/>
              <w:rPr>
                <w:rFonts w:hint="default" w:eastAsia="宋体"/>
                <w:b/>
                <w:kern w:val="0"/>
                <w:sz w:val="24"/>
                <w:lang w:val="en-US" w:eastAsia="zh-CN"/>
              </w:rPr>
            </w:pPr>
            <w:r>
              <w:rPr>
                <w:rFonts w:hint="eastAsia"/>
                <w:b w:val="0"/>
                <w:bCs/>
                <w:kern w:val="0"/>
                <w:sz w:val="24"/>
                <w:lang w:val="en-US" w:eastAsia="zh-CN"/>
              </w:rPr>
              <w:t>备注：4层厂房高约17m，则排气筒高度为20m。</w:t>
            </w:r>
          </w:p>
          <w:p w14:paraId="6318FE3F">
            <w:pPr>
              <w:keepNext w:val="0"/>
              <w:keepLines w:val="0"/>
              <w:pageBreakBefore w:val="0"/>
              <w:widowControl w:val="0"/>
              <w:kinsoku/>
              <w:wordWrap/>
              <w:overflowPunct/>
              <w:topLinePunct w:val="0"/>
              <w:autoSpaceDE/>
              <w:autoSpaceDN/>
              <w:bidi w:val="0"/>
              <w:adjustRightInd/>
              <w:snapToGrid/>
              <w:spacing w:before="157" w:beforeLines="50" w:beforeAutospacing="0" w:line="360" w:lineRule="auto"/>
              <w:ind w:firstLine="482" w:firstLineChars="200"/>
              <w:textAlignment w:val="auto"/>
              <w:rPr>
                <w:b/>
                <w:kern w:val="0"/>
                <w:sz w:val="24"/>
              </w:rPr>
            </w:pPr>
            <w:r>
              <w:rPr>
                <w:rFonts w:hint="eastAsia"/>
                <w:b/>
                <w:kern w:val="0"/>
                <w:sz w:val="24"/>
              </w:rPr>
              <w:t>4、主要生产设施</w:t>
            </w:r>
          </w:p>
          <w:p w14:paraId="208D44CE">
            <w:pPr>
              <w:keepNext w:val="0"/>
              <w:keepLines w:val="0"/>
              <w:pageBreakBefore w:val="0"/>
              <w:widowControl w:val="0"/>
              <w:kinsoku/>
              <w:wordWrap/>
              <w:overflowPunct/>
              <w:topLinePunct w:val="0"/>
              <w:autoSpaceDE/>
              <w:autoSpaceDN/>
              <w:bidi w:val="0"/>
              <w:adjustRightInd w:val="0"/>
              <w:snapToGrid/>
              <w:spacing w:beforeAutospacing="0" w:line="360" w:lineRule="auto"/>
              <w:ind w:firstLine="480" w:firstLineChars="200"/>
              <w:textAlignment w:val="auto"/>
              <w:rPr>
                <w:b/>
                <w:sz w:val="24"/>
              </w:rPr>
            </w:pPr>
            <w:r>
              <w:rPr>
                <w:rFonts w:hint="eastAsia"/>
                <w:kern w:val="0"/>
                <w:sz w:val="24"/>
                <w:szCs w:val="20"/>
              </w:rPr>
              <w:t>本项目主要生产设施见下表。</w:t>
            </w:r>
          </w:p>
          <w:p w14:paraId="090C1716">
            <w:pPr>
              <w:keepNext w:val="0"/>
              <w:keepLines w:val="0"/>
              <w:pageBreakBefore w:val="0"/>
              <w:widowControl w:val="0"/>
              <w:kinsoku/>
              <w:wordWrap/>
              <w:overflowPunct/>
              <w:topLinePunct w:val="0"/>
              <w:autoSpaceDE/>
              <w:autoSpaceDN/>
              <w:bidi w:val="0"/>
              <w:adjustRightInd w:val="0"/>
              <w:snapToGrid/>
              <w:spacing w:beforeAutospacing="0" w:line="360" w:lineRule="auto"/>
              <w:jc w:val="center"/>
              <w:textAlignment w:val="auto"/>
              <w:rPr>
                <w:b/>
                <w:sz w:val="24"/>
              </w:rPr>
            </w:pPr>
            <w:r>
              <w:rPr>
                <w:b/>
                <w:sz w:val="24"/>
              </w:rPr>
              <w:t>表</w:t>
            </w:r>
            <w:r>
              <w:rPr>
                <w:rFonts w:hint="eastAsia"/>
                <w:b/>
                <w:sz w:val="24"/>
              </w:rPr>
              <w:t>2</w:t>
            </w:r>
            <w:r>
              <w:rPr>
                <w:b/>
                <w:sz w:val="24"/>
              </w:rPr>
              <w:t>-</w:t>
            </w:r>
            <w:r>
              <w:rPr>
                <w:rFonts w:hint="eastAsia"/>
                <w:b/>
                <w:sz w:val="24"/>
                <w:lang w:val="en-US" w:eastAsia="zh-CN"/>
              </w:rPr>
              <w:t>5</w:t>
            </w:r>
            <w:r>
              <w:rPr>
                <w:b/>
                <w:sz w:val="24"/>
              </w:rPr>
              <w:t xml:space="preserve">  项目主要</w:t>
            </w:r>
            <w:r>
              <w:rPr>
                <w:rFonts w:hint="eastAsia"/>
                <w:b/>
                <w:sz w:val="24"/>
              </w:rPr>
              <w:t>设施</w:t>
            </w:r>
            <w:r>
              <w:rPr>
                <w:b/>
                <w:sz w:val="24"/>
              </w:rPr>
              <w:t>一览表</w:t>
            </w:r>
          </w:p>
          <w:tbl>
            <w:tblPr>
              <w:tblStyle w:val="58"/>
              <w:tblW w:w="4964"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94"/>
              <w:gridCol w:w="3098"/>
              <w:gridCol w:w="1802"/>
              <w:gridCol w:w="2256"/>
            </w:tblGrid>
            <w:tr w14:paraId="69DD8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trPr>
              <w:tc>
                <w:tcPr>
                  <w:tcW w:w="663" w:type="pct"/>
                  <w:tcBorders>
                    <w:tl2br w:val="nil"/>
                    <w:tr2bl w:val="nil"/>
                  </w:tcBorders>
                  <w:vAlign w:val="center"/>
                </w:tcPr>
                <w:p w14:paraId="2FDE5945">
                  <w:pPr>
                    <w:pStyle w:val="217"/>
                    <w:spacing w:before="0"/>
                    <w:rPr>
                      <w:rFonts w:ascii="Times New Roman" w:hAnsi="Times New Roman" w:cs="Times New Roman"/>
                      <w:b/>
                      <w:sz w:val="21"/>
                      <w:szCs w:val="21"/>
                    </w:rPr>
                  </w:pPr>
                  <w:r>
                    <w:rPr>
                      <w:rFonts w:ascii="Times New Roman" w:hAnsi="Times New Roman" w:cs="Times New Roman"/>
                      <w:b/>
                      <w:sz w:val="21"/>
                      <w:szCs w:val="21"/>
                    </w:rPr>
                    <w:t>序号</w:t>
                  </w:r>
                </w:p>
              </w:tc>
              <w:tc>
                <w:tcPr>
                  <w:tcW w:w="1877" w:type="pct"/>
                  <w:tcBorders>
                    <w:tl2br w:val="nil"/>
                    <w:tr2bl w:val="nil"/>
                  </w:tcBorders>
                  <w:vAlign w:val="center"/>
                </w:tcPr>
                <w:p w14:paraId="00138157">
                  <w:pPr>
                    <w:pStyle w:val="217"/>
                    <w:spacing w:before="0"/>
                    <w:rPr>
                      <w:rFonts w:ascii="Times New Roman" w:hAnsi="Times New Roman" w:cs="Times New Roman"/>
                      <w:b/>
                      <w:sz w:val="21"/>
                      <w:szCs w:val="21"/>
                    </w:rPr>
                  </w:pPr>
                  <w:r>
                    <w:rPr>
                      <w:rFonts w:ascii="Times New Roman" w:hAnsi="Times New Roman" w:cs="Times New Roman"/>
                      <w:b/>
                      <w:sz w:val="21"/>
                      <w:szCs w:val="21"/>
                    </w:rPr>
                    <w:t>名称</w:t>
                  </w:r>
                </w:p>
              </w:tc>
              <w:tc>
                <w:tcPr>
                  <w:tcW w:w="1092" w:type="pct"/>
                  <w:tcBorders>
                    <w:tl2br w:val="nil"/>
                    <w:tr2bl w:val="nil"/>
                  </w:tcBorders>
                  <w:vAlign w:val="center"/>
                </w:tcPr>
                <w:p w14:paraId="07558ED9">
                  <w:pPr>
                    <w:pStyle w:val="217"/>
                    <w:spacing w:before="0"/>
                    <w:rPr>
                      <w:rFonts w:ascii="Times New Roman" w:hAnsi="Times New Roman" w:cs="Times New Roman"/>
                      <w:b/>
                      <w:sz w:val="21"/>
                      <w:szCs w:val="21"/>
                    </w:rPr>
                  </w:pPr>
                  <w:r>
                    <w:rPr>
                      <w:rFonts w:ascii="Times New Roman" w:hAnsi="Times New Roman" w:cs="Times New Roman"/>
                      <w:b/>
                      <w:sz w:val="21"/>
                      <w:szCs w:val="21"/>
                    </w:rPr>
                    <w:t>规格型号</w:t>
                  </w:r>
                </w:p>
              </w:tc>
              <w:tc>
                <w:tcPr>
                  <w:tcW w:w="1366" w:type="pct"/>
                  <w:tcBorders>
                    <w:tl2br w:val="nil"/>
                    <w:tr2bl w:val="nil"/>
                  </w:tcBorders>
                  <w:vAlign w:val="center"/>
                </w:tcPr>
                <w:p w14:paraId="7855BCB3">
                  <w:pPr>
                    <w:pStyle w:val="217"/>
                    <w:spacing w:before="0"/>
                    <w:rPr>
                      <w:rFonts w:ascii="Times New Roman" w:hAnsi="Times New Roman" w:cs="Times New Roman"/>
                      <w:b/>
                      <w:sz w:val="21"/>
                      <w:szCs w:val="21"/>
                    </w:rPr>
                  </w:pPr>
                  <w:r>
                    <w:rPr>
                      <w:rFonts w:ascii="Times New Roman" w:hAnsi="Times New Roman" w:cs="Times New Roman"/>
                      <w:b/>
                      <w:sz w:val="21"/>
                      <w:szCs w:val="21"/>
                    </w:rPr>
                    <w:t>数量（台/套）</w:t>
                  </w:r>
                </w:p>
              </w:tc>
            </w:tr>
            <w:tr w14:paraId="19E37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663" w:type="pct"/>
                  <w:tcBorders>
                    <w:tl2br w:val="nil"/>
                    <w:tr2bl w:val="nil"/>
                  </w:tcBorders>
                  <w:vAlign w:val="center"/>
                </w:tcPr>
                <w:p w14:paraId="72BD45D6">
                  <w:pPr>
                    <w:pStyle w:val="217"/>
                    <w:spacing w:before="0"/>
                    <w:rPr>
                      <w:rFonts w:ascii="Times New Roman" w:hAnsi="Times New Roman" w:cs="Times New Roman"/>
                      <w:sz w:val="21"/>
                      <w:szCs w:val="21"/>
                    </w:rPr>
                  </w:pPr>
                  <w:r>
                    <w:rPr>
                      <w:rFonts w:ascii="Times New Roman" w:hAnsi="Times New Roman" w:cs="Times New Roman"/>
                      <w:sz w:val="21"/>
                      <w:szCs w:val="21"/>
                    </w:rPr>
                    <w:t>1</w:t>
                  </w:r>
                </w:p>
              </w:tc>
              <w:tc>
                <w:tcPr>
                  <w:tcW w:w="1877" w:type="pct"/>
                  <w:tcBorders>
                    <w:tl2br w:val="nil"/>
                    <w:tr2bl w:val="nil"/>
                  </w:tcBorders>
                  <w:vAlign w:val="center"/>
                </w:tcPr>
                <w:p w14:paraId="622D24BE">
                  <w:pPr>
                    <w:jc w:val="center"/>
                    <w:rPr>
                      <w:rFonts w:hint="eastAsia" w:ascii="Times New Roman" w:hAnsi="Times New Roman" w:eastAsia="宋体" w:cs="Times New Roman"/>
                      <w:szCs w:val="21"/>
                    </w:rPr>
                  </w:pPr>
                  <w:r>
                    <w:rPr>
                      <w:rFonts w:hint="default" w:ascii="Times New Roman" w:hAnsi="Times New Roman" w:eastAsia="宋体" w:cs="Times New Roman"/>
                      <w:szCs w:val="21"/>
                      <w:lang w:val="en-US" w:eastAsia="zh-CN"/>
                    </w:rPr>
                    <w:t>载带编织成型</w:t>
                  </w:r>
                </w:p>
              </w:tc>
              <w:tc>
                <w:tcPr>
                  <w:tcW w:w="1092" w:type="pct"/>
                  <w:tcBorders>
                    <w:tl2br w:val="nil"/>
                    <w:tr2bl w:val="nil"/>
                  </w:tcBorders>
                  <w:vAlign w:val="center"/>
                </w:tcPr>
                <w:p w14:paraId="78E76C8E">
                  <w:pPr>
                    <w:jc w:val="center"/>
                    <w:rPr>
                      <w:szCs w:val="21"/>
                    </w:rPr>
                  </w:pPr>
                  <w:r>
                    <w:rPr>
                      <w:rFonts w:hint="default" w:ascii="Times New Roman" w:hAnsi="Times New Roman" w:eastAsia="宋体" w:cs="Times New Roman"/>
                      <w:szCs w:val="21"/>
                      <w:lang w:val="en-US" w:eastAsia="zh-CN"/>
                    </w:rPr>
                    <w:t>CA-0205</w:t>
                  </w:r>
                </w:p>
              </w:tc>
              <w:tc>
                <w:tcPr>
                  <w:tcW w:w="1366" w:type="pct"/>
                  <w:tcBorders>
                    <w:tl2br w:val="nil"/>
                    <w:tr2bl w:val="nil"/>
                  </w:tcBorders>
                  <w:vAlign w:val="center"/>
                </w:tcPr>
                <w:p w14:paraId="613C7420">
                  <w:pPr>
                    <w:jc w:val="center"/>
                    <w:rPr>
                      <w:rFonts w:hint="eastAsia" w:eastAsia="宋体"/>
                      <w:szCs w:val="21"/>
                      <w:lang w:eastAsia="zh-CN"/>
                    </w:rPr>
                  </w:pPr>
                  <w:r>
                    <w:rPr>
                      <w:rFonts w:hint="eastAsia"/>
                      <w:szCs w:val="21"/>
                      <w:lang w:val="en-US" w:eastAsia="zh-CN"/>
                    </w:rPr>
                    <w:t>6</w:t>
                  </w:r>
                </w:p>
              </w:tc>
            </w:tr>
            <w:tr w14:paraId="1DCDD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3" w:type="pct"/>
                  <w:tcBorders>
                    <w:tl2br w:val="nil"/>
                    <w:tr2bl w:val="nil"/>
                  </w:tcBorders>
                  <w:vAlign w:val="center"/>
                </w:tcPr>
                <w:p w14:paraId="460EF7F3">
                  <w:pPr>
                    <w:pStyle w:val="217"/>
                    <w:spacing w:before="0"/>
                    <w:rPr>
                      <w:rFonts w:ascii="Times New Roman" w:hAnsi="Times New Roman" w:cs="Times New Roman"/>
                      <w:sz w:val="21"/>
                      <w:szCs w:val="21"/>
                    </w:rPr>
                  </w:pPr>
                  <w:r>
                    <w:rPr>
                      <w:rFonts w:ascii="Times New Roman" w:hAnsi="Times New Roman" w:cs="Times New Roman"/>
                      <w:sz w:val="21"/>
                      <w:szCs w:val="21"/>
                    </w:rPr>
                    <w:t>2</w:t>
                  </w:r>
                </w:p>
              </w:tc>
              <w:tc>
                <w:tcPr>
                  <w:tcW w:w="1877" w:type="pct"/>
                  <w:tcBorders>
                    <w:tl2br w:val="nil"/>
                    <w:tr2bl w:val="nil"/>
                  </w:tcBorders>
                  <w:vAlign w:val="center"/>
                </w:tcPr>
                <w:p w14:paraId="474AF8E6">
                  <w:pPr>
                    <w:jc w:val="center"/>
                    <w:rPr>
                      <w:rFonts w:hint="eastAsia" w:ascii="Times New Roman" w:hAnsi="Times New Roman" w:eastAsia="宋体" w:cs="Times New Roman"/>
                      <w:szCs w:val="21"/>
                    </w:rPr>
                  </w:pPr>
                  <w:r>
                    <w:rPr>
                      <w:rFonts w:hint="default" w:ascii="Times New Roman" w:hAnsi="Times New Roman" w:eastAsia="宋体" w:cs="Times New Roman"/>
                      <w:szCs w:val="21"/>
                      <w:lang w:val="en-US" w:eastAsia="zh-CN"/>
                    </w:rPr>
                    <w:t>载带成型机</w:t>
                  </w:r>
                </w:p>
              </w:tc>
              <w:tc>
                <w:tcPr>
                  <w:tcW w:w="1092" w:type="pct"/>
                  <w:tcBorders>
                    <w:tl2br w:val="nil"/>
                    <w:tr2bl w:val="nil"/>
                  </w:tcBorders>
                  <w:vAlign w:val="center"/>
                </w:tcPr>
                <w:p w14:paraId="223B5E4E">
                  <w:pPr>
                    <w:jc w:val="center"/>
                    <w:rPr>
                      <w:szCs w:val="21"/>
                    </w:rPr>
                  </w:pPr>
                  <w:r>
                    <w:rPr>
                      <w:rFonts w:hint="default" w:ascii="Times New Roman" w:hAnsi="Times New Roman" w:eastAsia="宋体" w:cs="Times New Roman"/>
                      <w:szCs w:val="21"/>
                      <w:lang w:val="en-US" w:eastAsia="zh-CN"/>
                    </w:rPr>
                    <w:t>W8-104</w:t>
                  </w:r>
                </w:p>
              </w:tc>
              <w:tc>
                <w:tcPr>
                  <w:tcW w:w="1366" w:type="pct"/>
                  <w:tcBorders>
                    <w:tl2br w:val="nil"/>
                    <w:tr2bl w:val="nil"/>
                  </w:tcBorders>
                  <w:vAlign w:val="center"/>
                </w:tcPr>
                <w:p w14:paraId="5A9DAC81">
                  <w:pPr>
                    <w:jc w:val="center"/>
                    <w:rPr>
                      <w:rFonts w:hint="default" w:eastAsia="宋体"/>
                      <w:szCs w:val="21"/>
                      <w:lang w:val="en-US" w:eastAsia="zh-CN"/>
                    </w:rPr>
                  </w:pPr>
                  <w:r>
                    <w:rPr>
                      <w:rFonts w:hint="eastAsia"/>
                      <w:szCs w:val="21"/>
                      <w:lang w:val="en-US" w:eastAsia="zh-CN"/>
                    </w:rPr>
                    <w:t>29</w:t>
                  </w:r>
                </w:p>
              </w:tc>
            </w:tr>
            <w:tr w14:paraId="07522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3" w:type="pct"/>
                  <w:tcBorders>
                    <w:tl2br w:val="nil"/>
                    <w:tr2bl w:val="nil"/>
                  </w:tcBorders>
                  <w:vAlign w:val="center"/>
                </w:tcPr>
                <w:p w14:paraId="7C607A8A">
                  <w:pPr>
                    <w:pStyle w:val="217"/>
                    <w:spacing w:before="0"/>
                    <w:rPr>
                      <w:rFonts w:ascii="Times New Roman" w:hAnsi="Times New Roman" w:cs="Times New Roman"/>
                      <w:sz w:val="21"/>
                      <w:szCs w:val="21"/>
                    </w:rPr>
                  </w:pPr>
                  <w:r>
                    <w:rPr>
                      <w:rFonts w:ascii="Times New Roman" w:hAnsi="Times New Roman" w:cs="Times New Roman"/>
                      <w:sz w:val="21"/>
                      <w:szCs w:val="21"/>
                    </w:rPr>
                    <w:t>3</w:t>
                  </w:r>
                </w:p>
              </w:tc>
              <w:tc>
                <w:tcPr>
                  <w:tcW w:w="1877" w:type="pct"/>
                  <w:tcBorders>
                    <w:tl2br w:val="nil"/>
                    <w:tr2bl w:val="nil"/>
                  </w:tcBorders>
                  <w:vAlign w:val="center"/>
                </w:tcPr>
                <w:p w14:paraId="1C4A055C">
                  <w:pPr>
                    <w:jc w:val="center"/>
                    <w:rPr>
                      <w:rFonts w:hint="eastAsia" w:ascii="Times New Roman" w:hAnsi="Times New Roman" w:eastAsia="宋体" w:cs="Times New Roman"/>
                      <w:szCs w:val="21"/>
                    </w:rPr>
                  </w:pPr>
                  <w:r>
                    <w:rPr>
                      <w:rFonts w:hint="default" w:ascii="Times New Roman" w:hAnsi="Times New Roman" w:eastAsia="宋体" w:cs="Times New Roman"/>
                      <w:szCs w:val="21"/>
                      <w:lang w:val="en-US" w:eastAsia="zh-CN"/>
                    </w:rPr>
                    <w:t>分条机</w:t>
                  </w:r>
                </w:p>
              </w:tc>
              <w:tc>
                <w:tcPr>
                  <w:tcW w:w="1092" w:type="pct"/>
                  <w:tcBorders>
                    <w:tl2br w:val="nil"/>
                    <w:tr2bl w:val="nil"/>
                  </w:tcBorders>
                  <w:vAlign w:val="center"/>
                </w:tcPr>
                <w:p w14:paraId="5EBC4C66">
                  <w:pPr>
                    <w:jc w:val="center"/>
                    <w:rPr>
                      <w:szCs w:val="21"/>
                    </w:rPr>
                  </w:pPr>
                  <w:r>
                    <w:rPr>
                      <w:rFonts w:hint="default" w:ascii="Times New Roman" w:hAnsi="Times New Roman" w:eastAsia="宋体" w:cs="Times New Roman"/>
                      <w:szCs w:val="21"/>
                      <w:lang w:val="en-US" w:eastAsia="zh-CN"/>
                    </w:rPr>
                    <w:t>820/550</w:t>
                  </w:r>
                </w:p>
              </w:tc>
              <w:tc>
                <w:tcPr>
                  <w:tcW w:w="1366" w:type="pct"/>
                  <w:tcBorders>
                    <w:tl2br w:val="nil"/>
                    <w:tr2bl w:val="nil"/>
                  </w:tcBorders>
                  <w:vAlign w:val="center"/>
                </w:tcPr>
                <w:p w14:paraId="78CBC4CF">
                  <w:pPr>
                    <w:jc w:val="center"/>
                    <w:rPr>
                      <w:rFonts w:hint="eastAsia" w:eastAsia="宋体"/>
                      <w:szCs w:val="21"/>
                      <w:lang w:eastAsia="zh-CN"/>
                    </w:rPr>
                  </w:pPr>
                  <w:r>
                    <w:rPr>
                      <w:rFonts w:hint="eastAsia"/>
                      <w:szCs w:val="21"/>
                      <w:lang w:val="en-US" w:eastAsia="zh-CN"/>
                    </w:rPr>
                    <w:t>2</w:t>
                  </w:r>
                </w:p>
              </w:tc>
            </w:tr>
            <w:tr w14:paraId="592E6E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3" w:type="pct"/>
                  <w:tcBorders>
                    <w:tl2br w:val="nil"/>
                    <w:tr2bl w:val="nil"/>
                  </w:tcBorders>
                  <w:vAlign w:val="center"/>
                </w:tcPr>
                <w:p w14:paraId="76997DF6">
                  <w:pPr>
                    <w:pStyle w:val="217"/>
                    <w:spacing w:before="0"/>
                    <w:rPr>
                      <w:rFonts w:ascii="Times New Roman" w:hAnsi="Times New Roman" w:cs="Times New Roman"/>
                      <w:sz w:val="21"/>
                      <w:szCs w:val="21"/>
                    </w:rPr>
                  </w:pPr>
                  <w:r>
                    <w:rPr>
                      <w:rFonts w:ascii="Times New Roman" w:hAnsi="Times New Roman" w:cs="Times New Roman"/>
                      <w:sz w:val="21"/>
                      <w:szCs w:val="21"/>
                    </w:rPr>
                    <w:t>4</w:t>
                  </w:r>
                </w:p>
              </w:tc>
              <w:tc>
                <w:tcPr>
                  <w:tcW w:w="1877" w:type="pct"/>
                  <w:tcBorders>
                    <w:tl2br w:val="nil"/>
                    <w:tr2bl w:val="nil"/>
                  </w:tcBorders>
                  <w:vAlign w:val="center"/>
                </w:tcPr>
                <w:p w14:paraId="79822AB1">
                  <w:pPr>
                    <w:jc w:val="center"/>
                    <w:rPr>
                      <w:szCs w:val="21"/>
                    </w:rPr>
                  </w:pPr>
                  <w:r>
                    <w:rPr>
                      <w:rFonts w:hint="eastAsia"/>
                    </w:rPr>
                    <w:t>空压机</w:t>
                  </w:r>
                </w:p>
              </w:tc>
              <w:tc>
                <w:tcPr>
                  <w:tcW w:w="1819" w:type="dxa"/>
                  <w:tcBorders>
                    <w:tl2br w:val="nil"/>
                    <w:tr2bl w:val="nil"/>
                  </w:tcBorders>
                  <w:vAlign w:val="center"/>
                </w:tcPr>
                <w:p w14:paraId="11ACD0E6">
                  <w:pPr>
                    <w:spacing w:line="300" w:lineRule="exact"/>
                    <w:ind w:left="42" w:leftChars="20" w:right="42" w:rightChars="20"/>
                    <w:jc w:val="center"/>
                    <w:rPr>
                      <w:szCs w:val="21"/>
                    </w:rPr>
                  </w:pPr>
                  <w:r>
                    <w:rPr>
                      <w:rFonts w:hint="eastAsia"/>
                      <w:sz w:val="21"/>
                    </w:rPr>
                    <w:t>2m</w:t>
                  </w:r>
                  <w:r>
                    <w:rPr>
                      <w:rFonts w:hint="eastAsia"/>
                      <w:sz w:val="21"/>
                      <w:vertAlign w:val="superscript"/>
                    </w:rPr>
                    <w:t>3</w:t>
                  </w:r>
                  <w:r>
                    <w:rPr>
                      <w:rFonts w:hint="eastAsia"/>
                      <w:sz w:val="21"/>
                    </w:rPr>
                    <w:t>/min</w:t>
                  </w:r>
                </w:p>
              </w:tc>
              <w:tc>
                <w:tcPr>
                  <w:tcW w:w="1366" w:type="pct"/>
                  <w:tcBorders>
                    <w:tl2br w:val="nil"/>
                    <w:tr2bl w:val="nil"/>
                  </w:tcBorders>
                  <w:vAlign w:val="center"/>
                </w:tcPr>
                <w:p w14:paraId="2DD6C021">
                  <w:pPr>
                    <w:jc w:val="center"/>
                    <w:rPr>
                      <w:rFonts w:hint="eastAsia" w:eastAsia="宋体"/>
                      <w:szCs w:val="21"/>
                      <w:lang w:eastAsia="zh-CN"/>
                    </w:rPr>
                  </w:pPr>
                  <w:r>
                    <w:rPr>
                      <w:rFonts w:hint="eastAsia"/>
                      <w:szCs w:val="21"/>
                      <w:lang w:val="en-US" w:eastAsia="zh-CN"/>
                    </w:rPr>
                    <w:t>2</w:t>
                  </w:r>
                </w:p>
              </w:tc>
            </w:tr>
            <w:tr w14:paraId="665A2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3" w:type="pct"/>
                  <w:tcBorders>
                    <w:tl2br w:val="nil"/>
                    <w:tr2bl w:val="nil"/>
                  </w:tcBorders>
                  <w:vAlign w:val="center"/>
                </w:tcPr>
                <w:p w14:paraId="655A708B">
                  <w:pPr>
                    <w:pStyle w:val="217"/>
                    <w:spacing w:before="0"/>
                    <w:rPr>
                      <w:rFonts w:ascii="Times New Roman" w:hAnsi="Times New Roman" w:cs="Times New Roman"/>
                      <w:sz w:val="21"/>
                      <w:szCs w:val="21"/>
                    </w:rPr>
                  </w:pPr>
                  <w:r>
                    <w:rPr>
                      <w:rFonts w:ascii="Times New Roman" w:hAnsi="Times New Roman" w:cs="Times New Roman"/>
                      <w:sz w:val="21"/>
                      <w:szCs w:val="21"/>
                    </w:rPr>
                    <w:t>5</w:t>
                  </w:r>
                </w:p>
              </w:tc>
              <w:tc>
                <w:tcPr>
                  <w:tcW w:w="1877" w:type="pct"/>
                  <w:tcBorders>
                    <w:tl2br w:val="nil"/>
                    <w:tr2bl w:val="nil"/>
                  </w:tcBorders>
                  <w:vAlign w:val="center"/>
                </w:tcPr>
                <w:p w14:paraId="599C6D52">
                  <w:pPr>
                    <w:jc w:val="center"/>
                    <w:rPr>
                      <w:szCs w:val="21"/>
                    </w:rPr>
                  </w:pPr>
                  <w:r>
                    <w:rPr>
                      <w:rFonts w:hint="eastAsia"/>
                    </w:rPr>
                    <w:t>冷却塔</w:t>
                  </w:r>
                </w:p>
              </w:tc>
              <w:tc>
                <w:tcPr>
                  <w:tcW w:w="1819" w:type="dxa"/>
                  <w:tcBorders>
                    <w:tl2br w:val="nil"/>
                    <w:tr2bl w:val="nil"/>
                  </w:tcBorders>
                  <w:vAlign w:val="center"/>
                </w:tcPr>
                <w:p w14:paraId="611AC10C">
                  <w:pPr>
                    <w:spacing w:line="300" w:lineRule="exact"/>
                    <w:ind w:left="42" w:leftChars="20" w:right="42" w:rightChars="20"/>
                    <w:jc w:val="center"/>
                    <w:rPr>
                      <w:szCs w:val="21"/>
                    </w:rPr>
                  </w:pPr>
                  <w:r>
                    <w:rPr>
                      <w:rFonts w:hint="eastAsia"/>
                      <w:sz w:val="21"/>
                    </w:rPr>
                    <w:t>5 m</w:t>
                  </w:r>
                  <w:r>
                    <w:rPr>
                      <w:rFonts w:hint="eastAsia"/>
                      <w:sz w:val="21"/>
                      <w:vertAlign w:val="superscript"/>
                    </w:rPr>
                    <w:t>3</w:t>
                  </w:r>
                  <w:r>
                    <w:rPr>
                      <w:rFonts w:hint="eastAsia"/>
                      <w:sz w:val="21"/>
                    </w:rPr>
                    <w:t>/h</w:t>
                  </w:r>
                </w:p>
              </w:tc>
              <w:tc>
                <w:tcPr>
                  <w:tcW w:w="1366" w:type="pct"/>
                  <w:tcBorders>
                    <w:tl2br w:val="nil"/>
                    <w:tr2bl w:val="nil"/>
                  </w:tcBorders>
                  <w:vAlign w:val="center"/>
                </w:tcPr>
                <w:p w14:paraId="5A6CD687">
                  <w:pPr>
                    <w:jc w:val="center"/>
                    <w:rPr>
                      <w:szCs w:val="21"/>
                    </w:rPr>
                  </w:pPr>
                  <w:r>
                    <w:rPr>
                      <w:szCs w:val="21"/>
                    </w:rPr>
                    <w:t>1</w:t>
                  </w:r>
                </w:p>
              </w:tc>
            </w:tr>
          </w:tbl>
          <w:p w14:paraId="0F62F014">
            <w:pPr>
              <w:keepNext w:val="0"/>
              <w:keepLines w:val="0"/>
              <w:pageBreakBefore w:val="0"/>
              <w:kinsoku/>
              <w:wordWrap/>
              <w:overflowPunct/>
              <w:topLinePunct w:val="0"/>
              <w:autoSpaceDE/>
              <w:autoSpaceDN/>
              <w:bidi w:val="0"/>
              <w:adjustRightInd/>
              <w:snapToGrid/>
              <w:spacing w:beforeAutospacing="0" w:line="360" w:lineRule="auto"/>
              <w:ind w:firstLine="482" w:firstLineChars="200"/>
              <w:textAlignment w:val="auto"/>
              <w:rPr>
                <w:b/>
                <w:kern w:val="0"/>
                <w:sz w:val="24"/>
              </w:rPr>
            </w:pPr>
            <w:r>
              <w:rPr>
                <w:rFonts w:hint="eastAsia"/>
                <w:b/>
                <w:kern w:val="0"/>
                <w:sz w:val="24"/>
              </w:rPr>
              <w:t>5、主要原辅材料及能源消耗</w:t>
            </w:r>
          </w:p>
          <w:p w14:paraId="61A0EAD5">
            <w:pPr>
              <w:keepNext w:val="0"/>
              <w:keepLines w:val="0"/>
              <w:pageBreakBefore w:val="0"/>
              <w:kinsoku/>
              <w:wordWrap/>
              <w:overflowPunct/>
              <w:topLinePunct w:val="0"/>
              <w:autoSpaceDE/>
              <w:autoSpaceDN/>
              <w:bidi w:val="0"/>
              <w:adjustRightInd/>
              <w:snapToGrid/>
              <w:spacing w:beforeAutospacing="0" w:line="360" w:lineRule="auto"/>
              <w:ind w:firstLine="600" w:firstLineChars="250"/>
              <w:textAlignment w:val="auto"/>
              <w:rPr>
                <w:kern w:val="0"/>
                <w:sz w:val="24"/>
                <w:szCs w:val="20"/>
              </w:rPr>
            </w:pPr>
            <w:r>
              <w:rPr>
                <w:rFonts w:hint="eastAsia"/>
                <w:kern w:val="0"/>
                <w:sz w:val="24"/>
                <w:szCs w:val="20"/>
              </w:rPr>
              <w:t>项目主要原辅材料及能源消耗见下表。</w:t>
            </w:r>
          </w:p>
          <w:p w14:paraId="1E41EF4A">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szCs w:val="20"/>
              </w:rPr>
            </w:pPr>
            <w:r>
              <w:rPr>
                <w:rFonts w:hint="eastAsia"/>
                <w:b/>
                <w:kern w:val="0"/>
                <w:sz w:val="24"/>
                <w:szCs w:val="20"/>
              </w:rPr>
              <w:t>表2-</w:t>
            </w:r>
            <w:r>
              <w:rPr>
                <w:rFonts w:hint="eastAsia"/>
                <w:b/>
                <w:kern w:val="0"/>
                <w:sz w:val="24"/>
                <w:szCs w:val="20"/>
                <w:lang w:val="en-US" w:eastAsia="zh-CN"/>
              </w:rPr>
              <w:t>6</w:t>
            </w:r>
            <w:r>
              <w:rPr>
                <w:b/>
                <w:kern w:val="0"/>
                <w:sz w:val="24"/>
                <w:szCs w:val="20"/>
              </w:rPr>
              <w:t xml:space="preserve">  </w:t>
            </w:r>
            <w:r>
              <w:rPr>
                <w:rFonts w:hint="eastAsia"/>
                <w:b/>
                <w:kern w:val="0"/>
                <w:sz w:val="24"/>
                <w:szCs w:val="20"/>
              </w:rPr>
              <w:t>本项目主要原辅材料及能源消耗一览表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2012"/>
              <w:gridCol w:w="1219"/>
              <w:gridCol w:w="1404"/>
              <w:gridCol w:w="1493"/>
              <w:gridCol w:w="1326"/>
            </w:tblGrid>
            <w:tr w14:paraId="6663E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515" w:type="pct"/>
                  <w:tcBorders>
                    <w:tl2br w:val="nil"/>
                    <w:tr2bl w:val="nil"/>
                  </w:tcBorders>
                  <w:vAlign w:val="center"/>
                </w:tcPr>
                <w:p w14:paraId="62859989">
                  <w:pPr>
                    <w:jc w:val="center"/>
                    <w:rPr>
                      <w:b/>
                      <w:szCs w:val="21"/>
                    </w:rPr>
                  </w:pPr>
                  <w:r>
                    <w:rPr>
                      <w:b/>
                      <w:szCs w:val="21"/>
                    </w:rPr>
                    <mc:AlternateContent>
                      <mc:Choice Requires="wps">
                        <w:drawing>
                          <wp:anchor distT="0" distB="0" distL="114300" distR="114300" simplePos="0" relativeHeight="251659264" behindDoc="1" locked="0" layoutInCell="1" allowOverlap="1">
                            <wp:simplePos x="0" y="0"/>
                            <wp:positionH relativeFrom="column">
                              <wp:posOffset>-13597890</wp:posOffset>
                            </wp:positionH>
                            <wp:positionV relativeFrom="paragraph">
                              <wp:posOffset>85725</wp:posOffset>
                            </wp:positionV>
                            <wp:extent cx="495300" cy="3609975"/>
                            <wp:effectExtent l="0" t="0" r="19050" b="28575"/>
                            <wp:wrapNone/>
                            <wp:docPr id="1" name="圆角矩形 1"/>
                            <wp:cNvGraphicFramePr/>
                            <a:graphic xmlns:a="http://schemas.openxmlformats.org/drawingml/2006/main">
                              <a:graphicData uri="http://schemas.microsoft.com/office/word/2010/wordprocessingShape">
                                <wps:wsp>
                                  <wps:cNvSpPr/>
                                  <wps:spPr>
                                    <a:xfrm>
                                      <a:off x="0" y="0"/>
                                      <a:ext cx="495300" cy="3609975"/>
                                    </a:xfrm>
                                    <a:prstGeom prst="roundRect">
                                      <a:avLst>
                                        <a:gd name="adj" fmla="val 16667"/>
                                      </a:avLst>
                                    </a:prstGeom>
                                    <a:solidFill>
                                      <a:srgbClr val="4F81BD"/>
                                    </a:solidFill>
                                    <a:ln w="25400" cap="flat" cmpd="sng">
                                      <a:solidFill>
                                        <a:srgbClr val="385D8A"/>
                                      </a:solidFill>
                                      <a:prstDash val="solid"/>
                                      <a:headEnd type="none" w="med" len="med"/>
                                      <a:tailEnd type="none" w="med" len="med"/>
                                    </a:ln>
                                  </wps:spPr>
                                  <wps:bodyPr anchor="ctr" upright="1"/>
                                </wps:wsp>
                              </a:graphicData>
                            </a:graphic>
                          </wp:anchor>
                        </w:drawing>
                      </mc:Choice>
                      <mc:Fallback>
                        <w:pict>
                          <v:roundrect id="_x0000_s1026" o:spid="_x0000_s1026" o:spt="2" style="position:absolute;left:0pt;margin-left:-1070.7pt;margin-top:6.75pt;height:284.25pt;width:39pt;z-index:-251657216;v-text-anchor:middle;mso-width-relative:page;mso-height-relative:page;" fillcolor="#4F81BD" filled="t" stroked="t" coordsize="21600,21600" arcsize="0.166666666666667" o:gfxdata="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O+qBN0AAAAOAQAADwAAAAAAAAABACAAAAAiAAAAZHJzL2Rvd25yZXYueG1s&#10;UEsBAhQAFAAAAAgAh07iQCrMtfMsAgAAWQQAAA4AAAAAAAAAAQAgAAAALAEAAGRycy9lMm9Eb2Mu&#10;eG1sUEsFBgAAAAAGAAYAWQEAAMoFAAAAAA==&#10;">
                            <v:fill on="t" focussize="0,0"/>
                            <v:stroke weight="2pt" color="#385D8A" joinstyle="round"/>
                            <v:imagedata o:title=""/>
                            <o:lock v:ext="edit" aspectratio="f"/>
                          </v:roundrect>
                        </w:pict>
                      </mc:Fallback>
                    </mc:AlternateContent>
                  </w:r>
                  <w:r>
                    <w:rPr>
                      <w:rFonts w:hint="eastAsia"/>
                      <w:b/>
                      <w:szCs w:val="21"/>
                    </w:rPr>
                    <w:t>类别</w:t>
                  </w:r>
                </w:p>
              </w:tc>
              <w:tc>
                <w:tcPr>
                  <w:tcW w:w="1210" w:type="pct"/>
                  <w:tcBorders>
                    <w:tl2br w:val="nil"/>
                    <w:tr2bl w:val="nil"/>
                  </w:tcBorders>
                  <w:vAlign w:val="center"/>
                </w:tcPr>
                <w:p w14:paraId="3A600AB1">
                  <w:pPr>
                    <w:jc w:val="center"/>
                    <w:rPr>
                      <w:b/>
                      <w:szCs w:val="21"/>
                    </w:rPr>
                  </w:pPr>
                  <w:r>
                    <w:rPr>
                      <w:b/>
                      <w:szCs w:val="21"/>
                    </w:rPr>
                    <w:t>名称</w:t>
                  </w:r>
                </w:p>
              </w:tc>
              <w:tc>
                <w:tcPr>
                  <w:tcW w:w="733" w:type="pct"/>
                  <w:tcBorders>
                    <w:tl2br w:val="nil"/>
                    <w:tr2bl w:val="nil"/>
                  </w:tcBorders>
                  <w:vAlign w:val="center"/>
                </w:tcPr>
                <w:p w14:paraId="1186EDB0">
                  <w:pPr>
                    <w:jc w:val="center"/>
                    <w:rPr>
                      <w:b/>
                      <w:szCs w:val="21"/>
                    </w:rPr>
                  </w:pPr>
                  <w:r>
                    <w:rPr>
                      <w:b/>
                      <w:szCs w:val="21"/>
                    </w:rPr>
                    <w:t>单位</w:t>
                  </w:r>
                </w:p>
              </w:tc>
              <w:tc>
                <w:tcPr>
                  <w:tcW w:w="844" w:type="pct"/>
                  <w:tcBorders>
                    <w:tl2br w:val="nil"/>
                    <w:tr2bl w:val="nil"/>
                  </w:tcBorders>
                  <w:vAlign w:val="center"/>
                </w:tcPr>
                <w:p w14:paraId="0059340F">
                  <w:pPr>
                    <w:jc w:val="center"/>
                    <w:rPr>
                      <w:b/>
                      <w:szCs w:val="21"/>
                    </w:rPr>
                  </w:pPr>
                  <w:r>
                    <w:rPr>
                      <w:b/>
                      <w:szCs w:val="21"/>
                    </w:rPr>
                    <w:t>用量</w:t>
                  </w:r>
                </w:p>
              </w:tc>
              <w:tc>
                <w:tcPr>
                  <w:tcW w:w="898" w:type="pct"/>
                  <w:tcBorders>
                    <w:tl2br w:val="nil"/>
                    <w:tr2bl w:val="nil"/>
                  </w:tcBorders>
                  <w:vAlign w:val="center"/>
                </w:tcPr>
                <w:p w14:paraId="792EE2FC">
                  <w:pPr>
                    <w:jc w:val="center"/>
                    <w:rPr>
                      <w:b/>
                      <w:szCs w:val="21"/>
                    </w:rPr>
                  </w:pPr>
                  <w:r>
                    <w:rPr>
                      <w:b/>
                      <w:szCs w:val="21"/>
                    </w:rPr>
                    <w:t>包装方式</w:t>
                  </w:r>
                </w:p>
              </w:tc>
              <w:tc>
                <w:tcPr>
                  <w:tcW w:w="797" w:type="pct"/>
                  <w:tcBorders>
                    <w:tl2br w:val="nil"/>
                    <w:tr2bl w:val="nil"/>
                  </w:tcBorders>
                  <w:vAlign w:val="center"/>
                </w:tcPr>
                <w:p w14:paraId="16C6DEF4">
                  <w:pPr>
                    <w:jc w:val="center"/>
                    <w:rPr>
                      <w:b/>
                      <w:szCs w:val="21"/>
                    </w:rPr>
                  </w:pPr>
                  <w:r>
                    <w:rPr>
                      <w:b/>
                      <w:szCs w:val="21"/>
                    </w:rPr>
                    <w:t>厂区最大存储量</w:t>
                  </w:r>
                </w:p>
              </w:tc>
            </w:tr>
            <w:tr w14:paraId="009BB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restart"/>
                  <w:tcBorders>
                    <w:tl2br w:val="nil"/>
                    <w:tr2bl w:val="nil"/>
                  </w:tcBorders>
                  <w:vAlign w:val="center"/>
                </w:tcPr>
                <w:p w14:paraId="2280CDEB">
                  <w:pPr>
                    <w:jc w:val="center"/>
                    <w:rPr>
                      <w:szCs w:val="21"/>
                    </w:rPr>
                  </w:pPr>
                  <w:r>
                    <w:rPr>
                      <w:rFonts w:hint="eastAsia"/>
                      <w:szCs w:val="21"/>
                    </w:rPr>
                    <w:t>原辅料</w:t>
                  </w:r>
                </w:p>
              </w:tc>
              <w:tc>
                <w:tcPr>
                  <w:tcW w:w="1210" w:type="pct"/>
                  <w:tcBorders>
                    <w:tl2br w:val="nil"/>
                    <w:tr2bl w:val="nil"/>
                  </w:tcBorders>
                  <w:vAlign w:val="center"/>
                </w:tcPr>
                <w:p w14:paraId="4268687E">
                  <w:pPr>
                    <w:spacing w:line="240" w:lineRule="auto"/>
                    <w:jc w:val="center"/>
                    <w:rPr>
                      <w:rFonts w:eastAsia="宋体"/>
                      <w:sz w:val="21"/>
                      <w:szCs w:val="21"/>
                    </w:rPr>
                  </w:pPr>
                  <w:r>
                    <w:rPr>
                      <w:rFonts w:hint="eastAsia"/>
                      <w:sz w:val="21"/>
                      <w:szCs w:val="21"/>
                    </w:rPr>
                    <w:t>皮料（PS）</w:t>
                  </w:r>
                </w:p>
              </w:tc>
              <w:tc>
                <w:tcPr>
                  <w:tcW w:w="733" w:type="pct"/>
                  <w:tcBorders>
                    <w:tl2br w:val="nil"/>
                    <w:tr2bl w:val="nil"/>
                  </w:tcBorders>
                  <w:vAlign w:val="center"/>
                </w:tcPr>
                <w:p w14:paraId="3A7D857D">
                  <w:pPr>
                    <w:snapToGrid w:val="0"/>
                    <w:ind w:left="-105" w:leftChars="-50" w:right="-105" w:rightChars="-50"/>
                    <w:jc w:val="center"/>
                    <w:rPr>
                      <w:szCs w:val="21"/>
                    </w:rPr>
                  </w:pPr>
                  <w:r>
                    <w:rPr>
                      <w:rFonts w:hint="default" w:ascii="Times New Roman" w:hAnsi="Times New Roman" w:eastAsia="宋体" w:cs="Times New Roman"/>
                      <w:snapToGrid w:val="0"/>
                      <w:kern w:val="0"/>
                      <w:szCs w:val="21"/>
                      <w:lang w:val="en-US" w:eastAsia="zh-CN"/>
                    </w:rPr>
                    <w:t>t/a</w:t>
                  </w:r>
                </w:p>
              </w:tc>
              <w:tc>
                <w:tcPr>
                  <w:tcW w:w="844" w:type="pct"/>
                  <w:tcBorders>
                    <w:tl2br w:val="nil"/>
                    <w:tr2bl w:val="nil"/>
                  </w:tcBorders>
                  <w:vAlign w:val="center"/>
                </w:tcPr>
                <w:p w14:paraId="7C76CC78">
                  <w:pPr>
                    <w:jc w:val="center"/>
                    <w:rPr>
                      <w:rFonts w:hint="default" w:eastAsia="宋体"/>
                      <w:szCs w:val="21"/>
                      <w:lang w:val="en-US" w:eastAsia="zh-CN"/>
                    </w:rPr>
                  </w:pPr>
                  <w:r>
                    <w:rPr>
                      <w:rFonts w:hint="eastAsia"/>
                      <w:szCs w:val="21"/>
                      <w:lang w:val="en-US" w:eastAsia="zh-CN"/>
                    </w:rPr>
                    <w:t>210</w:t>
                  </w:r>
                </w:p>
              </w:tc>
              <w:tc>
                <w:tcPr>
                  <w:tcW w:w="898" w:type="pct"/>
                  <w:tcBorders>
                    <w:tl2br w:val="nil"/>
                    <w:tr2bl w:val="nil"/>
                  </w:tcBorders>
                  <w:vAlign w:val="center"/>
                </w:tcPr>
                <w:p w14:paraId="748F2368">
                  <w:pPr>
                    <w:jc w:val="center"/>
                    <w:rPr>
                      <w:rFonts w:hint="eastAsia" w:eastAsia="宋体"/>
                      <w:szCs w:val="21"/>
                      <w:lang w:eastAsia="zh-CN"/>
                    </w:rPr>
                  </w:pPr>
                  <w:r>
                    <w:rPr>
                      <w:rFonts w:hint="eastAsia"/>
                      <w:szCs w:val="21"/>
                      <w:lang w:val="en-US" w:eastAsia="zh-CN"/>
                    </w:rPr>
                    <w:t>卷装</w:t>
                  </w:r>
                </w:p>
              </w:tc>
              <w:tc>
                <w:tcPr>
                  <w:tcW w:w="797" w:type="pct"/>
                  <w:tcBorders>
                    <w:tl2br w:val="nil"/>
                    <w:tr2bl w:val="nil"/>
                  </w:tcBorders>
                  <w:vAlign w:val="center"/>
                </w:tcPr>
                <w:p w14:paraId="324E4AE3">
                  <w:pPr>
                    <w:jc w:val="center"/>
                    <w:rPr>
                      <w:szCs w:val="21"/>
                    </w:rPr>
                  </w:pPr>
                  <w:r>
                    <w:rPr>
                      <w:szCs w:val="21"/>
                    </w:rPr>
                    <w:t>5t</w:t>
                  </w:r>
                </w:p>
              </w:tc>
            </w:tr>
            <w:tr w14:paraId="0E22B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707855AA">
                  <w:pPr>
                    <w:jc w:val="center"/>
                    <w:rPr>
                      <w:szCs w:val="21"/>
                    </w:rPr>
                  </w:pPr>
                </w:p>
              </w:tc>
              <w:tc>
                <w:tcPr>
                  <w:tcW w:w="1210" w:type="pct"/>
                  <w:tcBorders>
                    <w:tl2br w:val="nil"/>
                    <w:tr2bl w:val="nil"/>
                  </w:tcBorders>
                  <w:vAlign w:val="center"/>
                </w:tcPr>
                <w:p w14:paraId="537B40BC">
                  <w:pPr>
                    <w:spacing w:line="240" w:lineRule="auto"/>
                    <w:jc w:val="center"/>
                    <w:rPr>
                      <w:rFonts w:eastAsia="宋体"/>
                      <w:sz w:val="21"/>
                      <w:szCs w:val="21"/>
                    </w:rPr>
                  </w:pPr>
                  <w:r>
                    <w:rPr>
                      <w:rFonts w:hint="eastAsia"/>
                      <w:sz w:val="21"/>
                      <w:szCs w:val="21"/>
                    </w:rPr>
                    <w:t>粒子（PC）</w:t>
                  </w:r>
                </w:p>
              </w:tc>
              <w:tc>
                <w:tcPr>
                  <w:tcW w:w="733" w:type="pct"/>
                  <w:tcBorders>
                    <w:tl2br w:val="nil"/>
                    <w:tr2bl w:val="nil"/>
                  </w:tcBorders>
                  <w:vAlign w:val="center"/>
                </w:tcPr>
                <w:p w14:paraId="3A6F59EB">
                  <w:pPr>
                    <w:snapToGrid w:val="0"/>
                    <w:ind w:right="-105" w:rightChars="-50"/>
                    <w:jc w:val="center"/>
                    <w:rPr>
                      <w:szCs w:val="21"/>
                    </w:rPr>
                  </w:pPr>
                  <w:r>
                    <w:rPr>
                      <w:rFonts w:hint="default" w:ascii="Times New Roman" w:hAnsi="Times New Roman" w:eastAsia="宋体" w:cs="Times New Roman"/>
                      <w:snapToGrid w:val="0"/>
                      <w:kern w:val="0"/>
                      <w:szCs w:val="21"/>
                      <w:lang w:val="en-US" w:eastAsia="zh-CN"/>
                    </w:rPr>
                    <w:t>t/a</w:t>
                  </w:r>
                </w:p>
              </w:tc>
              <w:tc>
                <w:tcPr>
                  <w:tcW w:w="844" w:type="pct"/>
                  <w:tcBorders>
                    <w:tl2br w:val="nil"/>
                    <w:tr2bl w:val="nil"/>
                  </w:tcBorders>
                  <w:vAlign w:val="center"/>
                </w:tcPr>
                <w:p w14:paraId="5CD95C3E">
                  <w:pPr>
                    <w:jc w:val="center"/>
                    <w:rPr>
                      <w:rFonts w:hint="default" w:eastAsia="宋体"/>
                      <w:szCs w:val="21"/>
                      <w:lang w:val="en-US" w:eastAsia="zh-CN"/>
                    </w:rPr>
                  </w:pPr>
                  <w:r>
                    <w:rPr>
                      <w:rFonts w:hint="eastAsia"/>
                      <w:szCs w:val="21"/>
                      <w:lang w:val="en-US" w:eastAsia="zh-CN"/>
                    </w:rPr>
                    <w:t>450</w:t>
                  </w:r>
                </w:p>
              </w:tc>
              <w:tc>
                <w:tcPr>
                  <w:tcW w:w="898" w:type="pct"/>
                  <w:tcBorders>
                    <w:tl2br w:val="nil"/>
                    <w:tr2bl w:val="nil"/>
                  </w:tcBorders>
                  <w:vAlign w:val="center"/>
                </w:tcPr>
                <w:p w14:paraId="19B4A87E">
                  <w:pPr>
                    <w:jc w:val="center"/>
                    <w:rPr>
                      <w:szCs w:val="21"/>
                    </w:rPr>
                  </w:pPr>
                  <w:r>
                    <w:rPr>
                      <w:rFonts w:hint="eastAsia"/>
                      <w:szCs w:val="21"/>
                    </w:rPr>
                    <w:t>卷装</w:t>
                  </w:r>
                </w:p>
              </w:tc>
              <w:tc>
                <w:tcPr>
                  <w:tcW w:w="797" w:type="pct"/>
                  <w:tcBorders>
                    <w:tl2br w:val="nil"/>
                    <w:tr2bl w:val="nil"/>
                  </w:tcBorders>
                  <w:vAlign w:val="center"/>
                </w:tcPr>
                <w:p w14:paraId="42B0A7D0">
                  <w:pPr>
                    <w:jc w:val="center"/>
                    <w:rPr>
                      <w:rFonts w:hint="default" w:eastAsia="宋体"/>
                      <w:szCs w:val="21"/>
                      <w:lang w:val="en-US" w:eastAsia="zh-CN"/>
                    </w:rPr>
                  </w:pPr>
                  <w:r>
                    <w:rPr>
                      <w:rFonts w:hint="eastAsia"/>
                      <w:szCs w:val="21"/>
                      <w:lang w:val="en-US" w:eastAsia="zh-CN"/>
                    </w:rPr>
                    <w:t>8t</w:t>
                  </w:r>
                </w:p>
              </w:tc>
            </w:tr>
            <w:tr w14:paraId="5A9A20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4D88BBF5">
                  <w:pPr>
                    <w:jc w:val="center"/>
                    <w:rPr>
                      <w:szCs w:val="21"/>
                    </w:rPr>
                  </w:pPr>
                </w:p>
              </w:tc>
              <w:tc>
                <w:tcPr>
                  <w:tcW w:w="1210" w:type="pct"/>
                  <w:tcBorders>
                    <w:tl2br w:val="nil"/>
                    <w:tr2bl w:val="nil"/>
                  </w:tcBorders>
                  <w:vAlign w:val="center"/>
                </w:tcPr>
                <w:p w14:paraId="119F8FF5">
                  <w:pPr>
                    <w:jc w:val="center"/>
                    <w:rPr>
                      <w:rFonts w:hint="eastAsia" w:eastAsia="宋体"/>
                      <w:szCs w:val="21"/>
                      <w:lang w:eastAsia="zh-CN"/>
                    </w:rPr>
                  </w:pPr>
                  <w:r>
                    <w:rPr>
                      <w:rFonts w:hint="eastAsia"/>
                      <w:szCs w:val="21"/>
                      <w:lang w:val="en-US" w:eastAsia="zh-CN"/>
                    </w:rPr>
                    <w:t>薄膜（盖带）</w:t>
                  </w:r>
                </w:p>
              </w:tc>
              <w:tc>
                <w:tcPr>
                  <w:tcW w:w="733" w:type="pct"/>
                  <w:tcBorders>
                    <w:tl2br w:val="nil"/>
                    <w:tr2bl w:val="nil"/>
                  </w:tcBorders>
                  <w:vAlign w:val="center"/>
                </w:tcPr>
                <w:p w14:paraId="31625756">
                  <w:pPr>
                    <w:jc w:val="center"/>
                    <w:rPr>
                      <w:szCs w:val="21"/>
                    </w:rPr>
                  </w:pPr>
                  <w:r>
                    <w:rPr>
                      <w:rFonts w:hint="eastAsia"/>
                      <w:szCs w:val="21"/>
                    </w:rPr>
                    <w:t>万平方米/a</w:t>
                  </w:r>
                </w:p>
              </w:tc>
              <w:tc>
                <w:tcPr>
                  <w:tcW w:w="844" w:type="pct"/>
                  <w:tcBorders>
                    <w:tl2br w:val="nil"/>
                    <w:tr2bl w:val="nil"/>
                  </w:tcBorders>
                  <w:vAlign w:val="center"/>
                </w:tcPr>
                <w:p w14:paraId="24BD53F6">
                  <w:pPr>
                    <w:jc w:val="center"/>
                    <w:rPr>
                      <w:rFonts w:hint="default" w:eastAsia="宋体"/>
                      <w:szCs w:val="21"/>
                      <w:lang w:val="en-US" w:eastAsia="zh-CN"/>
                    </w:rPr>
                  </w:pPr>
                  <w:r>
                    <w:rPr>
                      <w:rFonts w:hint="eastAsia"/>
                      <w:szCs w:val="21"/>
                      <w:lang w:val="en-US" w:eastAsia="zh-CN"/>
                    </w:rPr>
                    <w:t>27</w:t>
                  </w:r>
                </w:p>
              </w:tc>
              <w:tc>
                <w:tcPr>
                  <w:tcW w:w="898" w:type="pct"/>
                  <w:tcBorders>
                    <w:tl2br w:val="nil"/>
                    <w:tr2bl w:val="nil"/>
                  </w:tcBorders>
                  <w:vAlign w:val="center"/>
                </w:tcPr>
                <w:p w14:paraId="0E4AD66B">
                  <w:pPr>
                    <w:jc w:val="center"/>
                    <w:rPr>
                      <w:rFonts w:hint="eastAsia" w:eastAsia="宋体"/>
                      <w:szCs w:val="21"/>
                      <w:lang w:eastAsia="zh-CN"/>
                    </w:rPr>
                  </w:pPr>
                  <w:r>
                    <w:rPr>
                      <w:rFonts w:hint="eastAsia"/>
                      <w:szCs w:val="21"/>
                      <w:lang w:val="en-US" w:eastAsia="zh-CN"/>
                    </w:rPr>
                    <w:t>袋装</w:t>
                  </w:r>
                </w:p>
              </w:tc>
              <w:tc>
                <w:tcPr>
                  <w:tcW w:w="797" w:type="pct"/>
                  <w:tcBorders>
                    <w:tl2br w:val="nil"/>
                    <w:tr2bl w:val="nil"/>
                  </w:tcBorders>
                  <w:vAlign w:val="center"/>
                </w:tcPr>
                <w:p w14:paraId="68107660">
                  <w:pPr>
                    <w:jc w:val="center"/>
                    <w:rPr>
                      <w:rFonts w:hint="default" w:eastAsia="宋体"/>
                      <w:szCs w:val="21"/>
                      <w:lang w:val="en-US" w:eastAsia="zh-CN"/>
                    </w:rPr>
                  </w:pPr>
                  <w:r>
                    <w:rPr>
                      <w:rFonts w:hint="eastAsia"/>
                      <w:szCs w:val="21"/>
                      <w:lang w:val="en-US" w:eastAsia="zh-CN"/>
                    </w:rPr>
                    <w:t>1.5万</w:t>
                  </w:r>
                </w:p>
              </w:tc>
            </w:tr>
            <w:tr w14:paraId="7BD5D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4CEAA857">
                  <w:pPr>
                    <w:jc w:val="center"/>
                    <w:rPr>
                      <w:szCs w:val="21"/>
                    </w:rPr>
                  </w:pPr>
                </w:p>
              </w:tc>
              <w:tc>
                <w:tcPr>
                  <w:tcW w:w="1210" w:type="pct"/>
                  <w:tcBorders>
                    <w:tl2br w:val="nil"/>
                    <w:tr2bl w:val="nil"/>
                  </w:tcBorders>
                  <w:vAlign w:val="center"/>
                </w:tcPr>
                <w:p w14:paraId="6148EE5D">
                  <w:pPr>
                    <w:jc w:val="center"/>
                    <w:rPr>
                      <w:szCs w:val="21"/>
                    </w:rPr>
                  </w:pPr>
                  <w:r>
                    <w:rPr>
                      <w:rFonts w:hint="eastAsia"/>
                      <w:szCs w:val="21"/>
                    </w:rPr>
                    <w:t>润滑油</w:t>
                  </w:r>
                </w:p>
              </w:tc>
              <w:tc>
                <w:tcPr>
                  <w:tcW w:w="733" w:type="pct"/>
                  <w:tcBorders>
                    <w:tl2br w:val="nil"/>
                    <w:tr2bl w:val="nil"/>
                  </w:tcBorders>
                  <w:vAlign w:val="center"/>
                </w:tcPr>
                <w:p w14:paraId="45ED610B">
                  <w:pPr>
                    <w:jc w:val="center"/>
                    <w:rPr>
                      <w:szCs w:val="21"/>
                    </w:rPr>
                  </w:pPr>
                  <w:r>
                    <w:rPr>
                      <w:rFonts w:hint="eastAsia"/>
                      <w:szCs w:val="21"/>
                    </w:rPr>
                    <w:t>t</w:t>
                  </w:r>
                  <w:r>
                    <w:rPr>
                      <w:szCs w:val="21"/>
                    </w:rPr>
                    <w:t>/a</w:t>
                  </w:r>
                </w:p>
              </w:tc>
              <w:tc>
                <w:tcPr>
                  <w:tcW w:w="844" w:type="pct"/>
                  <w:tcBorders>
                    <w:tl2br w:val="nil"/>
                    <w:tr2bl w:val="nil"/>
                  </w:tcBorders>
                  <w:vAlign w:val="center"/>
                </w:tcPr>
                <w:p w14:paraId="3EB0B51E">
                  <w:pPr>
                    <w:jc w:val="center"/>
                    <w:rPr>
                      <w:rFonts w:hint="eastAsia" w:eastAsia="宋体"/>
                      <w:szCs w:val="21"/>
                      <w:lang w:eastAsia="zh-CN"/>
                    </w:rPr>
                  </w:pPr>
                  <w:r>
                    <w:rPr>
                      <w:rFonts w:hint="eastAsia"/>
                      <w:szCs w:val="21"/>
                    </w:rPr>
                    <w:t>0</w:t>
                  </w:r>
                  <w:r>
                    <w:rPr>
                      <w:szCs w:val="21"/>
                    </w:rPr>
                    <w:t>.</w:t>
                  </w:r>
                  <w:r>
                    <w:rPr>
                      <w:rFonts w:hint="eastAsia"/>
                      <w:szCs w:val="21"/>
                      <w:lang w:val="en-US" w:eastAsia="zh-CN"/>
                    </w:rPr>
                    <w:t>1</w:t>
                  </w:r>
                </w:p>
              </w:tc>
              <w:tc>
                <w:tcPr>
                  <w:tcW w:w="898" w:type="pct"/>
                  <w:tcBorders>
                    <w:tl2br w:val="nil"/>
                    <w:tr2bl w:val="nil"/>
                  </w:tcBorders>
                  <w:vAlign w:val="center"/>
                </w:tcPr>
                <w:p w14:paraId="1C211CBD">
                  <w:pPr>
                    <w:jc w:val="center"/>
                    <w:rPr>
                      <w:szCs w:val="21"/>
                    </w:rPr>
                  </w:pPr>
                  <w:r>
                    <w:rPr>
                      <w:rFonts w:hint="eastAsia"/>
                      <w:szCs w:val="21"/>
                    </w:rPr>
                    <w:t>2</w:t>
                  </w:r>
                  <w:r>
                    <w:rPr>
                      <w:szCs w:val="21"/>
                    </w:rPr>
                    <w:t>0kg/桶</w:t>
                  </w:r>
                </w:p>
              </w:tc>
              <w:tc>
                <w:tcPr>
                  <w:tcW w:w="797" w:type="pct"/>
                  <w:tcBorders>
                    <w:tl2br w:val="nil"/>
                    <w:tr2bl w:val="nil"/>
                  </w:tcBorders>
                  <w:vAlign w:val="center"/>
                </w:tcPr>
                <w:p w14:paraId="3D583429">
                  <w:pPr>
                    <w:jc w:val="center"/>
                    <w:rPr>
                      <w:rFonts w:hint="default" w:eastAsia="宋体"/>
                      <w:szCs w:val="21"/>
                      <w:lang w:val="en-US" w:eastAsia="zh-CN"/>
                    </w:rPr>
                  </w:pPr>
                  <w:r>
                    <w:rPr>
                      <w:rFonts w:hint="eastAsia"/>
                      <w:szCs w:val="21"/>
                      <w:lang w:val="en-US" w:eastAsia="zh-CN"/>
                    </w:rPr>
                    <w:t>0.1</w:t>
                  </w:r>
                </w:p>
              </w:tc>
            </w:tr>
            <w:tr w14:paraId="0C583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tcBorders>
                    <w:tl2br w:val="nil"/>
                    <w:tr2bl w:val="nil"/>
                  </w:tcBorders>
                  <w:vAlign w:val="center"/>
                </w:tcPr>
                <w:p w14:paraId="65EB658C">
                  <w:pPr>
                    <w:jc w:val="center"/>
                    <w:rPr>
                      <w:szCs w:val="21"/>
                    </w:rPr>
                  </w:pPr>
                  <w:r>
                    <w:rPr>
                      <w:rFonts w:hint="eastAsia"/>
                      <w:szCs w:val="21"/>
                    </w:rPr>
                    <w:t>水</w:t>
                  </w:r>
                </w:p>
              </w:tc>
              <w:tc>
                <w:tcPr>
                  <w:tcW w:w="1210" w:type="pct"/>
                  <w:tcBorders>
                    <w:tl2br w:val="nil"/>
                    <w:tr2bl w:val="nil"/>
                  </w:tcBorders>
                  <w:vAlign w:val="center"/>
                </w:tcPr>
                <w:p w14:paraId="12A38C98">
                  <w:pPr>
                    <w:jc w:val="center"/>
                    <w:rPr>
                      <w:szCs w:val="21"/>
                    </w:rPr>
                  </w:pPr>
                  <w:r>
                    <w:rPr>
                      <w:rFonts w:hint="eastAsia"/>
                      <w:szCs w:val="21"/>
                    </w:rPr>
                    <w:t>自来水</w:t>
                  </w:r>
                </w:p>
              </w:tc>
              <w:tc>
                <w:tcPr>
                  <w:tcW w:w="733" w:type="pct"/>
                  <w:tcBorders>
                    <w:tl2br w:val="nil"/>
                    <w:tr2bl w:val="nil"/>
                  </w:tcBorders>
                  <w:vAlign w:val="center"/>
                </w:tcPr>
                <w:p w14:paraId="275569CE">
                  <w:pPr>
                    <w:jc w:val="center"/>
                    <w:rPr>
                      <w:szCs w:val="21"/>
                    </w:rPr>
                  </w:pPr>
                  <w:r>
                    <w:rPr>
                      <w:rFonts w:hint="eastAsia"/>
                      <w:szCs w:val="21"/>
                    </w:rPr>
                    <w:t>t/a</w:t>
                  </w:r>
                </w:p>
              </w:tc>
              <w:tc>
                <w:tcPr>
                  <w:tcW w:w="844" w:type="pct"/>
                  <w:tcBorders>
                    <w:tl2br w:val="nil"/>
                    <w:tr2bl w:val="nil"/>
                  </w:tcBorders>
                  <w:vAlign w:val="center"/>
                </w:tcPr>
                <w:p w14:paraId="12C8BB5C">
                  <w:pPr>
                    <w:jc w:val="center"/>
                    <w:rPr>
                      <w:rFonts w:hint="default" w:eastAsia="宋体"/>
                      <w:szCs w:val="21"/>
                      <w:lang w:val="en-US" w:eastAsia="zh-CN"/>
                    </w:rPr>
                  </w:pPr>
                  <w:r>
                    <w:rPr>
                      <w:rFonts w:hint="eastAsia"/>
                      <w:szCs w:val="21"/>
                      <w:lang w:val="en-US" w:eastAsia="zh-CN"/>
                    </w:rPr>
                    <w:t>525</w:t>
                  </w:r>
                </w:p>
              </w:tc>
              <w:tc>
                <w:tcPr>
                  <w:tcW w:w="898" w:type="pct"/>
                  <w:tcBorders>
                    <w:tl2br w:val="nil"/>
                    <w:tr2bl w:val="nil"/>
                  </w:tcBorders>
                  <w:vAlign w:val="center"/>
                </w:tcPr>
                <w:p w14:paraId="39C882C0">
                  <w:pPr>
                    <w:jc w:val="center"/>
                    <w:rPr>
                      <w:szCs w:val="21"/>
                    </w:rPr>
                  </w:pPr>
                  <w:r>
                    <w:rPr>
                      <w:rFonts w:hint="eastAsia"/>
                      <w:szCs w:val="21"/>
                    </w:rPr>
                    <w:t>/</w:t>
                  </w:r>
                </w:p>
              </w:tc>
              <w:tc>
                <w:tcPr>
                  <w:tcW w:w="797" w:type="pct"/>
                  <w:tcBorders>
                    <w:tl2br w:val="nil"/>
                    <w:tr2bl w:val="nil"/>
                  </w:tcBorders>
                  <w:vAlign w:val="center"/>
                </w:tcPr>
                <w:p w14:paraId="5C4CE0C8">
                  <w:pPr>
                    <w:jc w:val="center"/>
                    <w:rPr>
                      <w:szCs w:val="21"/>
                    </w:rPr>
                  </w:pPr>
                  <w:r>
                    <w:rPr>
                      <w:szCs w:val="21"/>
                    </w:rPr>
                    <w:t>/</w:t>
                  </w:r>
                </w:p>
              </w:tc>
            </w:tr>
            <w:tr w14:paraId="634C3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tcBorders>
                    <w:tl2br w:val="nil"/>
                    <w:tr2bl w:val="nil"/>
                  </w:tcBorders>
                  <w:vAlign w:val="center"/>
                </w:tcPr>
                <w:p w14:paraId="2FE094F0">
                  <w:pPr>
                    <w:jc w:val="center"/>
                    <w:rPr>
                      <w:szCs w:val="21"/>
                    </w:rPr>
                  </w:pPr>
                  <w:r>
                    <w:rPr>
                      <w:rFonts w:hint="eastAsia"/>
                      <w:szCs w:val="21"/>
                    </w:rPr>
                    <w:t>电</w:t>
                  </w:r>
                </w:p>
              </w:tc>
              <w:tc>
                <w:tcPr>
                  <w:tcW w:w="1210" w:type="pct"/>
                  <w:tcBorders>
                    <w:tl2br w:val="nil"/>
                    <w:tr2bl w:val="nil"/>
                  </w:tcBorders>
                  <w:vAlign w:val="center"/>
                </w:tcPr>
                <w:p w14:paraId="55BE8704">
                  <w:pPr>
                    <w:jc w:val="center"/>
                    <w:rPr>
                      <w:szCs w:val="21"/>
                    </w:rPr>
                  </w:pPr>
                  <w:r>
                    <w:rPr>
                      <w:rFonts w:hint="eastAsia"/>
                      <w:szCs w:val="21"/>
                    </w:rPr>
                    <w:t>电</w:t>
                  </w:r>
                </w:p>
              </w:tc>
              <w:tc>
                <w:tcPr>
                  <w:tcW w:w="733" w:type="pct"/>
                  <w:tcBorders>
                    <w:tl2br w:val="nil"/>
                    <w:tr2bl w:val="nil"/>
                  </w:tcBorders>
                  <w:vAlign w:val="center"/>
                </w:tcPr>
                <w:p w14:paraId="094E7767">
                  <w:pPr>
                    <w:jc w:val="center"/>
                    <w:rPr>
                      <w:szCs w:val="21"/>
                    </w:rPr>
                  </w:pPr>
                  <w:r>
                    <w:rPr>
                      <w:szCs w:val="21"/>
                    </w:rPr>
                    <w:t>万kW·h</w:t>
                  </w:r>
                </w:p>
              </w:tc>
              <w:tc>
                <w:tcPr>
                  <w:tcW w:w="844" w:type="pct"/>
                  <w:tcBorders>
                    <w:tl2br w:val="nil"/>
                    <w:tr2bl w:val="nil"/>
                  </w:tcBorders>
                  <w:vAlign w:val="center"/>
                </w:tcPr>
                <w:p w14:paraId="224760D1">
                  <w:pPr>
                    <w:jc w:val="center"/>
                    <w:rPr>
                      <w:rFonts w:hint="default" w:eastAsia="宋体"/>
                      <w:szCs w:val="21"/>
                      <w:lang w:val="en-US" w:eastAsia="zh-CN"/>
                    </w:rPr>
                  </w:pPr>
                  <w:r>
                    <w:rPr>
                      <w:rFonts w:hint="eastAsia"/>
                      <w:szCs w:val="21"/>
                      <w:lang w:val="en-US" w:eastAsia="zh-CN"/>
                    </w:rPr>
                    <w:t>75</w:t>
                  </w:r>
                </w:p>
              </w:tc>
              <w:tc>
                <w:tcPr>
                  <w:tcW w:w="898" w:type="pct"/>
                  <w:tcBorders>
                    <w:tl2br w:val="nil"/>
                    <w:tr2bl w:val="nil"/>
                  </w:tcBorders>
                  <w:vAlign w:val="center"/>
                </w:tcPr>
                <w:p w14:paraId="275A06D2">
                  <w:pPr>
                    <w:jc w:val="center"/>
                    <w:rPr>
                      <w:szCs w:val="21"/>
                    </w:rPr>
                  </w:pPr>
                  <w:r>
                    <w:rPr>
                      <w:rFonts w:hint="eastAsia"/>
                      <w:szCs w:val="21"/>
                    </w:rPr>
                    <w:t>/</w:t>
                  </w:r>
                </w:p>
              </w:tc>
              <w:tc>
                <w:tcPr>
                  <w:tcW w:w="797" w:type="pct"/>
                  <w:tcBorders>
                    <w:tl2br w:val="nil"/>
                    <w:tr2bl w:val="nil"/>
                  </w:tcBorders>
                  <w:vAlign w:val="center"/>
                </w:tcPr>
                <w:p w14:paraId="43C47869">
                  <w:pPr>
                    <w:jc w:val="center"/>
                    <w:rPr>
                      <w:szCs w:val="21"/>
                    </w:rPr>
                  </w:pPr>
                  <w:r>
                    <w:rPr>
                      <w:rFonts w:hint="eastAsia"/>
                      <w:szCs w:val="21"/>
                    </w:rPr>
                    <w:t>/</w:t>
                  </w:r>
                </w:p>
              </w:tc>
            </w:tr>
          </w:tbl>
          <w:p w14:paraId="33C9CDEF">
            <w:pPr>
              <w:keepNext w:val="0"/>
              <w:keepLines w:val="0"/>
              <w:pageBreakBefore w:val="0"/>
              <w:kinsoku/>
              <w:wordWrap/>
              <w:overflowPunct/>
              <w:topLinePunct w:val="0"/>
              <w:autoSpaceDE w:val="0"/>
              <w:autoSpaceDN w:val="0"/>
              <w:bidi w:val="0"/>
              <w:adjustRightInd w:val="0"/>
              <w:snapToGrid/>
              <w:spacing w:beforeAutospacing="0" w:line="360" w:lineRule="auto"/>
              <w:ind w:firstLine="480" w:firstLineChars="200"/>
              <w:textAlignment w:val="auto"/>
              <w:rPr>
                <w:kern w:val="24"/>
                <w:sz w:val="24"/>
              </w:rPr>
            </w:pPr>
            <w:r>
              <w:rPr>
                <w:kern w:val="24"/>
                <w:sz w:val="24"/>
              </w:rPr>
              <w:t>主要原辅材料理化性质见下表。</w:t>
            </w:r>
          </w:p>
          <w:p w14:paraId="5FEE0AA3">
            <w:pPr>
              <w:keepNext w:val="0"/>
              <w:keepLines w:val="0"/>
              <w:pageBreakBefore w:val="0"/>
              <w:widowControl/>
              <w:kinsoku/>
              <w:wordWrap/>
              <w:overflowPunct/>
              <w:topLinePunct w:val="0"/>
              <w:bidi w:val="0"/>
              <w:snapToGrid/>
              <w:spacing w:beforeAutospacing="0" w:line="360" w:lineRule="auto"/>
              <w:jc w:val="center"/>
              <w:textAlignment w:val="auto"/>
              <w:rPr>
                <w:b/>
                <w:kern w:val="0"/>
                <w:sz w:val="24"/>
                <w:szCs w:val="20"/>
              </w:rPr>
            </w:pPr>
            <w:r>
              <w:rPr>
                <w:rFonts w:hint="eastAsia"/>
                <w:b/>
                <w:kern w:val="0"/>
                <w:sz w:val="24"/>
                <w:szCs w:val="20"/>
              </w:rPr>
              <w:t>表2-</w:t>
            </w:r>
            <w:r>
              <w:rPr>
                <w:rFonts w:hint="eastAsia"/>
                <w:b/>
                <w:kern w:val="0"/>
                <w:sz w:val="24"/>
                <w:szCs w:val="20"/>
                <w:lang w:val="en-US" w:eastAsia="zh-CN"/>
              </w:rPr>
              <w:t>7</w:t>
            </w:r>
            <w:r>
              <w:rPr>
                <w:b/>
                <w:kern w:val="0"/>
                <w:sz w:val="24"/>
                <w:szCs w:val="20"/>
              </w:rPr>
              <w:t xml:space="preserve">  </w:t>
            </w:r>
            <w:r>
              <w:rPr>
                <w:rFonts w:hint="eastAsia"/>
                <w:b/>
                <w:kern w:val="0"/>
                <w:sz w:val="24"/>
                <w:szCs w:val="20"/>
              </w:rPr>
              <w:t>项目原辅材料主要理化性质一览表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6763"/>
            </w:tblGrid>
            <w:tr w14:paraId="513E1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31" w:type="pct"/>
                  <w:tcBorders>
                    <w:tl2br w:val="nil"/>
                    <w:tr2bl w:val="nil"/>
                  </w:tcBorders>
                  <w:vAlign w:val="center"/>
                </w:tcPr>
                <w:p w14:paraId="4A1AE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原辅料名称</w:t>
                  </w:r>
                </w:p>
              </w:tc>
              <w:tc>
                <w:tcPr>
                  <w:tcW w:w="4069" w:type="pct"/>
                  <w:tcBorders>
                    <w:tl2br w:val="nil"/>
                    <w:tr2bl w:val="nil"/>
                  </w:tcBorders>
                  <w:vAlign w:val="center"/>
                </w:tcPr>
                <w:p w14:paraId="061AE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理化性质</w:t>
                  </w:r>
                </w:p>
              </w:tc>
            </w:tr>
            <w:tr w14:paraId="714DF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31" w:type="pct"/>
                  <w:tcBorders>
                    <w:tl2br w:val="nil"/>
                    <w:tr2bl w:val="nil"/>
                  </w:tcBorders>
                  <w:vAlign w:val="center"/>
                </w:tcPr>
                <w:p w14:paraId="567FD53E">
                  <w:pPr>
                    <w:jc w:val="center"/>
                    <w:rPr>
                      <w:szCs w:val="21"/>
                    </w:rPr>
                  </w:pPr>
                  <w:r>
                    <w:rPr>
                      <w:rFonts w:hint="eastAsia" w:hAnsi="宋体"/>
                      <w:kern w:val="24"/>
                      <w:szCs w:val="21"/>
                    </w:rPr>
                    <w:t>PS塑料</w:t>
                  </w:r>
                </w:p>
              </w:tc>
              <w:tc>
                <w:tcPr>
                  <w:tcW w:w="4069" w:type="pct"/>
                  <w:tcBorders>
                    <w:tl2br w:val="nil"/>
                    <w:tr2bl w:val="nil"/>
                  </w:tcBorders>
                  <w:vAlign w:val="center"/>
                </w:tcPr>
                <w:p w14:paraId="688C1A62">
                  <w:pPr>
                    <w:widowControl/>
                    <w:jc w:val="center"/>
                    <w:rPr>
                      <w:rFonts w:hint="eastAsia"/>
                      <w:szCs w:val="21"/>
                    </w:rPr>
                  </w:pPr>
                  <w:r>
                    <w:rPr>
                      <w:rFonts w:hint="eastAsia"/>
                      <w:szCs w:val="21"/>
                    </w:rPr>
                    <w:t>聚苯乙烯（Polystyrene，缩写PS），密度：1.05 g/cm</w:t>
                  </w:r>
                  <w:r>
                    <w:rPr>
                      <w:rFonts w:hint="eastAsia"/>
                      <w:szCs w:val="21"/>
                      <w:vertAlign w:val="superscript"/>
                    </w:rPr>
                    <w:t>3</w:t>
                  </w:r>
                  <w:r>
                    <w:rPr>
                      <w:rFonts w:hint="eastAsia"/>
                      <w:szCs w:val="21"/>
                    </w:rPr>
                    <w:t>，电导率：10-16 S/m，导热系数：0.08W/</w:t>
                  </w:r>
                  <w:r>
                    <w:rPr>
                      <w:rFonts w:hint="eastAsia"/>
                      <w:szCs w:val="21"/>
                      <w:lang w:eastAsia="zh-CN"/>
                    </w:rPr>
                    <w:t>（</w:t>
                  </w:r>
                  <w:r>
                    <w:rPr>
                      <w:rFonts w:hint="eastAsia"/>
                      <w:szCs w:val="21"/>
                    </w:rPr>
                    <w:t>m·K</w:t>
                  </w:r>
                  <w:r>
                    <w:rPr>
                      <w:rFonts w:hint="eastAsia"/>
                      <w:szCs w:val="21"/>
                      <w:lang w:eastAsia="zh-CN"/>
                    </w:rPr>
                    <w:t>）</w:t>
                  </w:r>
                  <w:r>
                    <w:rPr>
                      <w:rFonts w:hint="eastAsia"/>
                      <w:szCs w:val="21"/>
                    </w:rPr>
                    <w:t>，杨氏模量：3000-3600 MPa，拉伸强度：46–60MPa，伸长长度：3-4%，夏比冲击试验：2—5 kJ/m2，玻璃转化温度：80-100℃，（玻璃化转变温度：无规立构聚苯乙烯为100℃（或105℃），全同立构聚苯乙烯为100℃），热膨胀系数：8×10</w:t>
                  </w:r>
                  <w:r>
                    <w:rPr>
                      <w:rFonts w:hint="eastAsia"/>
                      <w:szCs w:val="21"/>
                      <w:vertAlign w:val="superscript"/>
                    </w:rPr>
                    <w:t>-5</w:t>
                  </w:r>
                  <w:r>
                    <w:rPr>
                      <w:rFonts w:hint="eastAsia"/>
                      <w:szCs w:val="21"/>
                    </w:rPr>
                    <w:t>/K</w:t>
                  </w:r>
                </w:p>
                <w:p w14:paraId="012486A4">
                  <w:pPr>
                    <w:widowControl/>
                    <w:jc w:val="center"/>
                    <w:rPr>
                      <w:szCs w:val="21"/>
                    </w:rPr>
                  </w:pPr>
                  <w:r>
                    <w:rPr>
                      <w:rFonts w:hint="eastAsia"/>
                      <w:szCs w:val="21"/>
                    </w:rPr>
                    <w:t>热容：1.3 kJ/</w:t>
                  </w:r>
                  <w:r>
                    <w:rPr>
                      <w:rFonts w:hint="eastAsia"/>
                      <w:szCs w:val="21"/>
                      <w:lang w:eastAsia="zh-CN"/>
                    </w:rPr>
                    <w:t>（</w:t>
                  </w:r>
                  <w:r>
                    <w:rPr>
                      <w:rFonts w:hint="eastAsia"/>
                      <w:szCs w:val="21"/>
                    </w:rPr>
                    <w:t>kg·K</w:t>
                  </w:r>
                  <w:r>
                    <w:rPr>
                      <w:rFonts w:hint="eastAsia"/>
                      <w:szCs w:val="21"/>
                      <w:lang w:eastAsia="zh-CN"/>
                    </w:rPr>
                    <w:t>）</w:t>
                  </w:r>
                  <w:r>
                    <w:rPr>
                      <w:rFonts w:hint="eastAsia"/>
                      <w:szCs w:val="21"/>
                    </w:rPr>
                    <w:t>，吸水率：0.03–0.1，降解：280℃，聚苯乙烯玻璃化温度80～105℃，非晶态密度1.04～1.06g/cm</w:t>
                  </w:r>
                  <w:r>
                    <w:rPr>
                      <w:rFonts w:hint="eastAsia"/>
                      <w:szCs w:val="21"/>
                      <w:vertAlign w:val="superscript"/>
                    </w:rPr>
                    <w:t>3</w:t>
                  </w:r>
                  <w:r>
                    <w:rPr>
                      <w:rFonts w:hint="eastAsia"/>
                      <w:szCs w:val="21"/>
                    </w:rPr>
                    <w:t>，晶体密度1.11～1.12g/cm</w:t>
                  </w:r>
                  <w:r>
                    <w:rPr>
                      <w:rFonts w:hint="eastAsia"/>
                      <w:szCs w:val="21"/>
                      <w:vertAlign w:val="superscript"/>
                    </w:rPr>
                    <w:t>3</w:t>
                  </w:r>
                  <w:r>
                    <w:rPr>
                      <w:rFonts w:hint="eastAsia"/>
                      <w:szCs w:val="21"/>
                    </w:rPr>
                    <w:t>，熔融温度240℃，电阻率为1020～1022Ω·cm。导热系数30℃时0.116瓦/</w:t>
                  </w:r>
                  <w:r>
                    <w:rPr>
                      <w:rFonts w:hint="eastAsia"/>
                      <w:szCs w:val="21"/>
                      <w:lang w:eastAsia="zh-CN"/>
                    </w:rPr>
                    <w:t>（</w:t>
                  </w:r>
                  <w:r>
                    <w:rPr>
                      <w:rFonts w:hint="eastAsia"/>
                      <w:szCs w:val="21"/>
                    </w:rPr>
                    <w:t>米·开</w:t>
                  </w:r>
                  <w:r>
                    <w:rPr>
                      <w:rFonts w:hint="eastAsia"/>
                      <w:szCs w:val="21"/>
                      <w:lang w:eastAsia="zh-CN"/>
                    </w:rPr>
                    <w:t>）</w:t>
                  </w:r>
                  <w:r>
                    <w:rPr>
                      <w:rFonts w:hint="eastAsia"/>
                      <w:szCs w:val="21"/>
                    </w:rPr>
                    <w:t>。脆化温度—30℃左右、玻璃化温度80～105℃、熔融温度为140～180℃、分解温度300℃以上。</w:t>
                  </w:r>
                </w:p>
              </w:tc>
            </w:tr>
            <w:tr w14:paraId="340554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31" w:type="pct"/>
                  <w:tcBorders>
                    <w:tl2br w:val="nil"/>
                    <w:tr2bl w:val="nil"/>
                  </w:tcBorders>
                  <w:vAlign w:val="center"/>
                </w:tcPr>
                <w:p w14:paraId="30424B0A">
                  <w:pPr>
                    <w:jc w:val="center"/>
                    <w:rPr>
                      <w:rFonts w:hint="eastAsia" w:hAnsi="宋体"/>
                      <w:kern w:val="24"/>
                      <w:szCs w:val="21"/>
                    </w:rPr>
                  </w:pPr>
                  <w:r>
                    <w:rPr>
                      <w:rFonts w:hint="eastAsia" w:hAnsi="宋体"/>
                      <w:kern w:val="24"/>
                      <w:szCs w:val="21"/>
                    </w:rPr>
                    <w:t>PC塑料</w:t>
                  </w:r>
                </w:p>
              </w:tc>
              <w:tc>
                <w:tcPr>
                  <w:tcW w:w="4069" w:type="pct"/>
                  <w:tcBorders>
                    <w:tl2br w:val="nil"/>
                    <w:tr2bl w:val="nil"/>
                  </w:tcBorders>
                  <w:vAlign w:val="center"/>
                </w:tcPr>
                <w:p w14:paraId="7E12D0FD">
                  <w:pPr>
                    <w:widowControl/>
                    <w:jc w:val="center"/>
                    <w:rPr>
                      <w:szCs w:val="21"/>
                    </w:rPr>
                  </w:pPr>
                  <w:r>
                    <w:rPr>
                      <w:rFonts w:hint="eastAsia"/>
                      <w:szCs w:val="21"/>
                    </w:rPr>
                    <w:t>聚碳酸酯，CAS：25037-45-0密度：1.18－1.22g/cm</w:t>
                  </w:r>
                  <w:r>
                    <w:rPr>
                      <w:rFonts w:hint="eastAsia"/>
                      <w:szCs w:val="21"/>
                      <w:vertAlign w:val="superscript"/>
                    </w:rPr>
                    <w:t>3</w:t>
                  </w:r>
                  <w:r>
                    <w:rPr>
                      <w:rFonts w:hint="eastAsia"/>
                      <w:szCs w:val="21"/>
                    </w:rPr>
                    <w:t> 线膨胀率：3.8×10</w:t>
                  </w:r>
                  <w:r>
                    <w:rPr>
                      <w:rFonts w:hint="eastAsia"/>
                      <w:szCs w:val="21"/>
                      <w:vertAlign w:val="superscript"/>
                    </w:rPr>
                    <w:t>-5</w:t>
                  </w:r>
                  <w:r>
                    <w:rPr>
                      <w:rFonts w:hint="eastAsia"/>
                      <w:szCs w:val="21"/>
                    </w:rPr>
                    <w:t> cm/°C 热变形温度：135°C 低温-45°C，热变形变形温度135℃，熔点大于220℃，不溶于水，具有很高的耐热性和耐寒性，分解温度大于340℃，可在60~120℃环境下长期使用。</w:t>
                  </w:r>
                </w:p>
              </w:tc>
            </w:tr>
          </w:tbl>
          <w:p w14:paraId="5606F409">
            <w:pPr>
              <w:spacing w:before="100" w:beforeAutospacing="1" w:line="360" w:lineRule="auto"/>
              <w:ind w:firstLine="482" w:firstLineChars="200"/>
              <w:rPr>
                <w:b/>
                <w:kern w:val="0"/>
                <w:sz w:val="24"/>
              </w:rPr>
            </w:pPr>
            <w:r>
              <w:rPr>
                <w:b/>
                <w:kern w:val="0"/>
                <w:sz w:val="24"/>
              </w:rPr>
              <w:t>6</w:t>
            </w:r>
            <w:r>
              <w:rPr>
                <w:rFonts w:hint="eastAsia"/>
                <w:b/>
                <w:kern w:val="0"/>
                <w:sz w:val="24"/>
              </w:rPr>
              <w:t>、项目平面布局合理性</w:t>
            </w:r>
          </w:p>
          <w:p w14:paraId="63CCDD67">
            <w:pPr>
              <w:autoSpaceDE w:val="0"/>
              <w:autoSpaceDN w:val="0"/>
              <w:adjustRightInd w:val="0"/>
              <w:spacing w:line="360" w:lineRule="auto"/>
              <w:ind w:firstLine="480" w:firstLineChars="200"/>
              <w:rPr>
                <w:color w:val="auto"/>
                <w:kern w:val="24"/>
                <w:sz w:val="24"/>
              </w:rPr>
            </w:pPr>
            <w:r>
              <w:rPr>
                <w:rFonts w:hint="eastAsia"/>
                <w:color w:val="auto"/>
                <w:sz w:val="24"/>
              </w:rPr>
              <w:t>本项目依托</w:t>
            </w:r>
            <w:r>
              <w:rPr>
                <w:rFonts w:hint="eastAsia" w:eastAsiaTheme="minorEastAsia"/>
                <w:color w:val="auto"/>
                <w:sz w:val="24"/>
              </w:rPr>
              <w:t>现有厂房进行生产，原料区、</w:t>
            </w:r>
            <w:r>
              <w:rPr>
                <w:rFonts w:hint="eastAsia" w:eastAsiaTheme="minorEastAsia"/>
                <w:color w:val="auto"/>
                <w:sz w:val="24"/>
                <w:lang w:val="en-US" w:eastAsia="zh-CN"/>
              </w:rPr>
              <w:t>成品区、</w:t>
            </w:r>
            <w:r>
              <w:rPr>
                <w:rFonts w:hint="eastAsia" w:eastAsiaTheme="minorEastAsia"/>
                <w:color w:val="auto"/>
                <w:sz w:val="24"/>
              </w:rPr>
              <w:t>一般固废暂存库和危废暂存库位于车间北侧，办公区位于车间南侧。</w:t>
            </w:r>
            <w:r>
              <w:rPr>
                <w:rFonts w:hint="eastAsia"/>
                <w:color w:val="auto"/>
                <w:kern w:val="24"/>
                <w:sz w:val="24"/>
              </w:rPr>
              <w:t>从项目平面布置可看出，其人流、车流、货运路线清晰，厂区平面布置有利于项目生产运行过程中各部门的生产协作，提高生产效率。总体来说，项目的总平面布置较为合理。</w:t>
            </w:r>
          </w:p>
          <w:p w14:paraId="455693FB">
            <w:pPr>
              <w:spacing w:line="360" w:lineRule="auto"/>
              <w:ind w:left="504" w:leftChars="240"/>
              <w:rPr>
                <w:sz w:val="24"/>
              </w:rPr>
            </w:pPr>
            <w:r>
              <w:rPr>
                <w:b/>
                <w:kern w:val="0"/>
                <w:sz w:val="24"/>
              </w:rPr>
              <w:t>7</w:t>
            </w:r>
            <w:r>
              <w:rPr>
                <w:rFonts w:hint="eastAsia"/>
                <w:b/>
                <w:kern w:val="0"/>
                <w:sz w:val="24"/>
              </w:rPr>
              <w:t>、生产制度和劳动定员</w:t>
            </w:r>
          </w:p>
          <w:p w14:paraId="2577DCAD">
            <w:pPr>
              <w:spacing w:line="360" w:lineRule="auto"/>
              <w:ind w:firstLine="480" w:firstLineChars="200"/>
              <w:rPr>
                <w:sz w:val="24"/>
              </w:rPr>
            </w:pPr>
            <w:r>
              <w:rPr>
                <w:rFonts w:hint="eastAsia"/>
                <w:sz w:val="24"/>
              </w:rPr>
              <w:t>劳动定员：本项目劳动定员</w:t>
            </w:r>
            <w:r>
              <w:rPr>
                <w:rFonts w:hint="eastAsia"/>
                <w:sz w:val="24"/>
                <w:lang w:val="en-US" w:eastAsia="zh-CN"/>
              </w:rPr>
              <w:t>15</w:t>
            </w:r>
            <w:r>
              <w:rPr>
                <w:rFonts w:hint="eastAsia"/>
                <w:sz w:val="24"/>
              </w:rPr>
              <w:t>人，厂区不设食堂和宿舍。</w:t>
            </w:r>
          </w:p>
          <w:p w14:paraId="0259A02F">
            <w:pPr>
              <w:spacing w:line="360" w:lineRule="auto"/>
              <w:ind w:firstLine="480" w:firstLineChars="200"/>
              <w:rPr>
                <w:sz w:val="24"/>
              </w:rPr>
            </w:pPr>
            <w:r>
              <w:rPr>
                <w:rFonts w:hint="eastAsia"/>
                <w:sz w:val="24"/>
              </w:rPr>
              <w:t>生产制度：</w:t>
            </w:r>
            <w:r>
              <w:rPr>
                <w:sz w:val="24"/>
              </w:rPr>
              <w:t>年工作时间3</w:t>
            </w:r>
            <w:r>
              <w:rPr>
                <w:rFonts w:hint="eastAsia"/>
                <w:sz w:val="24"/>
              </w:rPr>
              <w:t>0</w:t>
            </w:r>
            <w:r>
              <w:rPr>
                <w:sz w:val="24"/>
              </w:rPr>
              <w:t>0天，实行</w:t>
            </w:r>
            <w:r>
              <w:rPr>
                <w:rFonts w:hint="eastAsia"/>
                <w:sz w:val="24"/>
                <w:lang w:val="en-US" w:eastAsia="zh-CN"/>
              </w:rPr>
              <w:t>三</w:t>
            </w:r>
            <w:r>
              <w:rPr>
                <w:sz w:val="24"/>
              </w:rPr>
              <w:t>班制</w:t>
            </w:r>
            <w:r>
              <w:rPr>
                <w:rFonts w:hint="eastAsia"/>
                <w:sz w:val="24"/>
              </w:rPr>
              <w:t>，每班</w:t>
            </w:r>
            <w:r>
              <w:rPr>
                <w:rFonts w:hint="eastAsia"/>
                <w:sz w:val="24"/>
                <w:lang w:val="en-US" w:eastAsia="zh-CN"/>
              </w:rPr>
              <w:t>8</w:t>
            </w:r>
            <w:r>
              <w:rPr>
                <w:rFonts w:hint="eastAsia"/>
                <w:sz w:val="24"/>
              </w:rPr>
              <w:t>小时。</w:t>
            </w:r>
          </w:p>
          <w:p w14:paraId="4362DB8E">
            <w:pPr>
              <w:spacing w:line="360" w:lineRule="auto"/>
              <w:ind w:left="504" w:leftChars="240"/>
              <w:rPr>
                <w:b/>
                <w:kern w:val="0"/>
                <w:sz w:val="24"/>
              </w:rPr>
            </w:pPr>
            <w:r>
              <w:rPr>
                <w:b/>
                <w:kern w:val="0"/>
                <w:sz w:val="24"/>
              </w:rPr>
              <w:t>8</w:t>
            </w:r>
            <w:r>
              <w:rPr>
                <w:rFonts w:hint="eastAsia"/>
                <w:b/>
                <w:kern w:val="0"/>
                <w:sz w:val="24"/>
              </w:rPr>
              <w:t>、水平衡</w:t>
            </w:r>
          </w:p>
          <w:p w14:paraId="428D9E12">
            <w:pPr>
              <w:pStyle w:val="168"/>
              <w:widowControl w:val="0"/>
              <w:spacing w:line="360" w:lineRule="auto"/>
              <w:ind w:firstLine="480"/>
              <w:jc w:val="both"/>
              <w:rPr>
                <w:sz w:val="24"/>
                <w:szCs w:val="24"/>
              </w:rPr>
            </w:pPr>
            <w:r>
              <w:rPr>
                <w:rFonts w:hint="eastAsia"/>
                <w:sz w:val="24"/>
                <w:szCs w:val="24"/>
              </w:rPr>
              <w:t>本项目用水主要为</w:t>
            </w:r>
            <w:r>
              <w:rPr>
                <w:rFonts w:hint="eastAsia"/>
                <w:sz w:val="24"/>
                <w:szCs w:val="24"/>
                <w:lang w:val="en-US" w:eastAsia="zh-CN"/>
              </w:rPr>
              <w:t>冷却塔用水</w:t>
            </w:r>
            <w:r>
              <w:rPr>
                <w:rFonts w:hint="eastAsia"/>
                <w:sz w:val="24"/>
                <w:szCs w:val="24"/>
              </w:rPr>
              <w:t>和</w:t>
            </w:r>
            <w:r>
              <w:rPr>
                <w:sz w:val="24"/>
                <w:szCs w:val="24"/>
              </w:rPr>
              <w:t>生活用水，</w:t>
            </w:r>
            <w:r>
              <w:rPr>
                <w:rFonts w:hint="eastAsia"/>
                <w:sz w:val="24"/>
                <w:szCs w:val="24"/>
              </w:rPr>
              <w:t>废水为生活污水。</w:t>
            </w:r>
          </w:p>
          <w:p w14:paraId="5A3C0FA3">
            <w:pPr>
              <w:numPr>
                <w:ilvl w:val="0"/>
                <w:numId w:val="0"/>
              </w:numPr>
              <w:spacing w:line="360" w:lineRule="auto"/>
              <w:ind w:firstLine="480" w:firstLineChars="200"/>
              <w:rPr>
                <w:kern w:val="0"/>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rFonts w:hint="eastAsia"/>
                <w:caps w:val="0"/>
                <w:color w:val="000000" w:themeColor="text1"/>
                <w:sz w:val="24"/>
                <w:highlight w:val="none"/>
                <w:lang w:val="en-US" w:eastAsia="zh-CN"/>
                <w14:textFill>
                  <w14:solidFill>
                    <w14:schemeClr w14:val="tx1"/>
                  </w14:solidFill>
                </w14:textFill>
              </w:rPr>
              <w:t>项目配套1个冷却塔，冷却水循环使用，不外排，水泵总循环水量为5t/h，则冷却塔总循环水量Q为5t/h*24h/d *300d/a*1=36000m</w:t>
            </w:r>
            <w:r>
              <w:rPr>
                <w:rFonts w:hint="eastAsia"/>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/a。冷却塔水蒸发量q=∆t/600*100%*Q（∆t—冷却水进出水温差，国际工况下取∆t=5℃；600：水的蒸发热（kcal/kg），则冷却塔水蒸发量q=300</w:t>
            </w:r>
            <w:r>
              <w:rPr>
                <w:rFonts w:hint="eastAsia"/>
                <w:bCs/>
                <w:caps w:val="0"/>
                <w:color w:val="000000" w:themeColor="text1"/>
                <w:sz w:val="24"/>
                <w:highlight w:val="none"/>
                <w:lang w:val="en-US" w:eastAsia="zh-CN"/>
                <w14:textFill>
                  <w14:solidFill>
                    <w14:schemeClr w14:val="tx1"/>
                  </w14:solidFill>
                </w14:textFill>
              </w:rPr>
              <w:t>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/a，因此冷却塔补水量为300</w:t>
            </w:r>
            <w:r>
              <w:rPr>
                <w:rFonts w:hint="eastAsia"/>
                <w:bCs/>
                <w:caps w:val="0"/>
                <w:color w:val="000000" w:themeColor="text1"/>
                <w:sz w:val="24"/>
                <w:highlight w:val="none"/>
                <w:lang w:val="en-US" w:eastAsia="zh-CN"/>
                <w14:textFill>
                  <w14:solidFill>
                    <w14:schemeClr w14:val="tx1"/>
                  </w14:solidFill>
                </w14:textFill>
              </w:rPr>
              <w:t>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w:t>
            </w:r>
          </w:p>
          <w:p w14:paraId="4DF5EDF5">
            <w:pPr>
              <w:widowControl/>
              <w:autoSpaceDE w:val="0"/>
              <w:autoSpaceDN w:val="0"/>
              <w:adjustRightInd w:val="0"/>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2 \* GB3</w:instrText>
            </w:r>
            <w:r>
              <w:rPr>
                <w:kern w:val="0"/>
                <w:sz w:val="24"/>
              </w:rPr>
              <w:instrText xml:space="preserve"> </w:instrText>
            </w:r>
            <w:r>
              <w:rPr>
                <w:kern w:val="0"/>
                <w:sz w:val="24"/>
              </w:rPr>
              <w:fldChar w:fldCharType="separate"/>
            </w:r>
            <w:r>
              <w:rPr>
                <w:rFonts w:hint="eastAsia"/>
                <w:kern w:val="0"/>
                <w:sz w:val="24"/>
              </w:rPr>
              <w:t>②</w:t>
            </w:r>
            <w:r>
              <w:rPr>
                <w:kern w:val="0"/>
                <w:sz w:val="24"/>
              </w:rPr>
              <w:fldChar w:fldCharType="end"/>
            </w:r>
            <w:r>
              <w:rPr>
                <w:kern w:val="0"/>
                <w:sz w:val="24"/>
              </w:rPr>
              <w:t>生活用水：</w:t>
            </w:r>
            <w:r>
              <w:rPr>
                <w:rFonts w:hint="eastAsia"/>
                <w:kern w:val="0"/>
                <w:sz w:val="24"/>
              </w:rPr>
              <w:t>项目劳动定员15人，根据《安徽省行业用水定额》（DB34/T 679-2019），员工生活用水以</w:t>
            </w:r>
            <w:r>
              <w:rPr>
                <w:rFonts w:hint="eastAsia"/>
                <w:kern w:val="0"/>
                <w:sz w:val="24"/>
                <w:lang w:val="en-US" w:eastAsia="zh-CN"/>
              </w:rPr>
              <w:t>5</w:t>
            </w:r>
            <w:r>
              <w:rPr>
                <w:rFonts w:hint="eastAsia"/>
                <w:kern w:val="0"/>
                <w:sz w:val="24"/>
              </w:rPr>
              <w:t>0L/人·d计，则职工生活用水量为</w:t>
            </w:r>
            <w:r>
              <w:rPr>
                <w:rFonts w:hint="eastAsia"/>
                <w:kern w:val="0"/>
                <w:sz w:val="24"/>
                <w:lang w:val="en-US" w:eastAsia="zh-CN"/>
              </w:rPr>
              <w:t>0.75</w:t>
            </w:r>
            <w:r>
              <w:rPr>
                <w:rFonts w:hint="eastAsia"/>
                <w:kern w:val="0"/>
                <w:sz w:val="24"/>
              </w:rPr>
              <w:t>m</w:t>
            </w:r>
            <w:r>
              <w:rPr>
                <w:rFonts w:hint="eastAsia"/>
                <w:kern w:val="0"/>
                <w:sz w:val="24"/>
                <w:vertAlign w:val="superscript"/>
              </w:rPr>
              <w:t>3</w:t>
            </w:r>
            <w:r>
              <w:rPr>
                <w:rFonts w:hint="eastAsia"/>
                <w:kern w:val="0"/>
                <w:sz w:val="24"/>
              </w:rPr>
              <w:t>/d（</w:t>
            </w:r>
            <w:r>
              <w:rPr>
                <w:rFonts w:hint="eastAsia"/>
                <w:kern w:val="0"/>
                <w:sz w:val="24"/>
                <w:lang w:val="en-US" w:eastAsia="zh-CN"/>
              </w:rPr>
              <w:t>225</w:t>
            </w:r>
            <w:r>
              <w:rPr>
                <w:rFonts w:hint="eastAsia"/>
                <w:kern w:val="0"/>
                <w:sz w:val="24"/>
              </w:rPr>
              <w:t>m</w:t>
            </w:r>
            <w:r>
              <w:rPr>
                <w:rFonts w:hint="eastAsia"/>
                <w:kern w:val="0"/>
                <w:sz w:val="24"/>
                <w:vertAlign w:val="superscript"/>
              </w:rPr>
              <w:t>3</w:t>
            </w:r>
            <w:r>
              <w:rPr>
                <w:rFonts w:hint="eastAsia"/>
                <w:kern w:val="0"/>
                <w:sz w:val="24"/>
              </w:rPr>
              <w:t>/a）。生活污水产生系数以0.8计，则本项目生活污水排放量为</w:t>
            </w:r>
            <w:r>
              <w:rPr>
                <w:rFonts w:hint="eastAsia"/>
                <w:kern w:val="0"/>
                <w:sz w:val="24"/>
                <w:lang w:val="en-US" w:eastAsia="zh-CN"/>
              </w:rPr>
              <w:t>0.6</w:t>
            </w:r>
            <w:r>
              <w:rPr>
                <w:rFonts w:hint="eastAsia"/>
                <w:kern w:val="0"/>
                <w:sz w:val="24"/>
              </w:rPr>
              <w:t>m</w:t>
            </w:r>
            <w:r>
              <w:rPr>
                <w:rFonts w:hint="eastAsia"/>
                <w:kern w:val="0"/>
                <w:sz w:val="24"/>
                <w:vertAlign w:val="superscript"/>
              </w:rPr>
              <w:t>3</w:t>
            </w:r>
            <w:r>
              <w:rPr>
                <w:rFonts w:hint="eastAsia"/>
                <w:kern w:val="0"/>
                <w:sz w:val="24"/>
              </w:rPr>
              <w:t>/d（</w:t>
            </w:r>
            <w:r>
              <w:rPr>
                <w:rFonts w:hint="eastAsia"/>
                <w:kern w:val="0"/>
                <w:sz w:val="24"/>
                <w:lang w:val="en-US" w:eastAsia="zh-CN"/>
              </w:rPr>
              <w:t>18</w:t>
            </w:r>
            <w:r>
              <w:rPr>
                <w:rFonts w:hint="eastAsia"/>
                <w:kern w:val="0"/>
                <w:sz w:val="24"/>
              </w:rPr>
              <w:t>0m</w:t>
            </w:r>
            <w:r>
              <w:rPr>
                <w:rFonts w:hint="eastAsia"/>
                <w:kern w:val="0"/>
                <w:sz w:val="24"/>
                <w:vertAlign w:val="superscript"/>
              </w:rPr>
              <w:t>3</w:t>
            </w:r>
            <w:r>
              <w:rPr>
                <w:rFonts w:hint="eastAsia"/>
                <w:kern w:val="0"/>
                <w:sz w:val="24"/>
              </w:rPr>
              <w:t>/a）。生活污水中主要污染物浓度为COD（350mg/L）、BOD</w:t>
            </w:r>
            <w:r>
              <w:rPr>
                <w:rFonts w:hint="eastAsia"/>
                <w:kern w:val="0"/>
                <w:sz w:val="24"/>
                <w:vertAlign w:val="subscript"/>
              </w:rPr>
              <w:t>5</w:t>
            </w:r>
            <w:r>
              <w:rPr>
                <w:rFonts w:hint="eastAsia"/>
                <w:kern w:val="0"/>
                <w:sz w:val="24"/>
              </w:rPr>
              <w:t>（250mg/L）氨氮（35mg/L）、SS（300mg/L），生活污水经厂区化粪池处理后废水排放入市政污水管网，进入天门山污水处理厂进一步处理，最终排入长江芜湖段</w:t>
            </w:r>
            <w:r>
              <w:rPr>
                <w:kern w:val="0"/>
                <w:sz w:val="24"/>
              </w:rPr>
              <w:t>。</w:t>
            </w:r>
          </w:p>
          <w:p w14:paraId="6EB6AC8A">
            <w:pPr>
              <w:spacing w:line="360" w:lineRule="auto"/>
              <w:ind w:left="504" w:leftChars="240"/>
              <w:rPr>
                <w:kern w:val="0"/>
                <w:sz w:val="24"/>
              </w:rPr>
            </w:pPr>
            <w:r>
              <w:rPr>
                <w:kern w:val="0"/>
                <w:sz w:val="24"/>
              </w:rPr>
              <w:t>本项目水平衡见下图。</w:t>
            </w:r>
          </w:p>
          <w:p w14:paraId="7106107B">
            <w:pPr>
              <w:spacing w:line="360" w:lineRule="auto"/>
              <w:jc w:val="center"/>
              <w:rPr>
                <w:kern w:val="0"/>
                <w:sz w:val="24"/>
              </w:rPr>
            </w:pPr>
            <w:r>
              <w:drawing>
                <wp:inline distT="0" distB="0" distL="114300" distR="114300">
                  <wp:extent cx="4780915" cy="2216150"/>
                  <wp:effectExtent l="0" t="0" r="635" b="1270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1"/>
                          <a:stretch>
                            <a:fillRect/>
                          </a:stretch>
                        </pic:blipFill>
                        <pic:spPr>
                          <a:xfrm>
                            <a:off x="0" y="0"/>
                            <a:ext cx="4780915" cy="2216150"/>
                          </a:xfrm>
                          <a:prstGeom prst="rect">
                            <a:avLst/>
                          </a:prstGeom>
                          <a:noFill/>
                          <a:ln>
                            <a:noFill/>
                          </a:ln>
                        </pic:spPr>
                      </pic:pic>
                    </a:graphicData>
                  </a:graphic>
                </wp:inline>
              </w:drawing>
            </w:r>
          </w:p>
          <w:p w14:paraId="10B343AF">
            <w:pPr>
              <w:jc w:val="center"/>
              <w:rPr>
                <w:rFonts w:cs="宋体"/>
                <w:kern w:val="0"/>
                <w:sz w:val="24"/>
              </w:rPr>
            </w:pPr>
            <w:r>
              <w:rPr>
                <w:b/>
                <w:kern w:val="0"/>
                <w:sz w:val="24"/>
              </w:rPr>
              <w:t>图</w:t>
            </w:r>
            <w:r>
              <w:rPr>
                <w:rFonts w:hint="eastAsia"/>
                <w:b/>
                <w:kern w:val="0"/>
                <w:sz w:val="24"/>
              </w:rPr>
              <w:t>2</w:t>
            </w:r>
            <w:r>
              <w:rPr>
                <w:b/>
                <w:kern w:val="0"/>
                <w:sz w:val="24"/>
              </w:rPr>
              <w:t>-1  本项目水平衡图</w:t>
            </w:r>
            <w:r>
              <w:rPr>
                <w:rFonts w:hint="eastAsia"/>
                <w:b/>
                <w:kern w:val="0"/>
                <w:sz w:val="24"/>
              </w:rPr>
              <w:t xml:space="preserve"> </w:t>
            </w:r>
            <w:r>
              <w:rPr>
                <w:b/>
                <w:kern w:val="0"/>
                <w:sz w:val="24"/>
              </w:rPr>
              <w:t xml:space="preserve"> 单位：t/d</w:t>
            </w:r>
          </w:p>
        </w:tc>
      </w:tr>
      <w:tr w14:paraId="4E182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31" w:hRule="atLeast"/>
          <w:jc w:val="center"/>
        </w:trPr>
        <w:tc>
          <w:tcPr>
            <w:tcW w:w="534" w:type="dxa"/>
            <w:vAlign w:val="center"/>
          </w:tcPr>
          <w:p w14:paraId="33F8DCFA">
            <w:pPr>
              <w:autoSpaceDE w:val="0"/>
              <w:autoSpaceDN w:val="0"/>
              <w:adjustRightInd w:val="0"/>
              <w:snapToGrid w:val="0"/>
              <w:jc w:val="center"/>
              <w:rPr>
                <w:rFonts w:cs="宋体"/>
                <w:kern w:val="0"/>
                <w:sz w:val="24"/>
              </w:rPr>
            </w:pPr>
            <w:r>
              <w:rPr>
                <w:rFonts w:hint="eastAsia" w:cs="宋体"/>
                <w:kern w:val="0"/>
                <w:sz w:val="24"/>
              </w:rPr>
              <w:t>工艺流程和产排污环节</w:t>
            </w:r>
          </w:p>
        </w:tc>
        <w:tc>
          <w:tcPr>
            <w:tcW w:w="8526" w:type="dxa"/>
            <w:vAlign w:val="center"/>
          </w:tcPr>
          <w:p w14:paraId="6D4244E6">
            <w:pPr>
              <w:autoSpaceDE w:val="0"/>
              <w:autoSpaceDN w:val="0"/>
              <w:adjustRightInd w:val="0"/>
              <w:snapToGrid w:val="0"/>
              <w:spacing w:line="360" w:lineRule="auto"/>
              <w:ind w:firstLine="482" w:firstLineChars="200"/>
              <w:rPr>
                <w:b/>
                <w:kern w:val="0"/>
                <w:sz w:val="24"/>
                <w:szCs w:val="20"/>
              </w:rPr>
            </w:pPr>
            <w:r>
              <w:rPr>
                <w:b/>
                <w:kern w:val="0"/>
                <w:sz w:val="24"/>
                <w:szCs w:val="20"/>
              </w:rPr>
              <w:t>1</w:t>
            </w:r>
            <w:r>
              <w:rPr>
                <w:rFonts w:hint="eastAsia"/>
                <w:b/>
                <w:kern w:val="0"/>
                <w:sz w:val="24"/>
                <w:szCs w:val="20"/>
              </w:rPr>
              <w:t>、生产工艺流程</w:t>
            </w:r>
          </w:p>
          <w:p w14:paraId="225A22D8">
            <w:pPr>
              <w:spacing w:line="360" w:lineRule="auto"/>
              <w:ind w:firstLine="480" w:firstLineChars="200"/>
              <w:jc w:val="left"/>
              <w:rPr>
                <w:bCs/>
                <w:iCs/>
                <w:kern w:val="0"/>
                <w:sz w:val="24"/>
              </w:rPr>
            </w:pPr>
            <w:r>
              <w:rPr>
                <w:bCs/>
                <w:iCs/>
                <w:kern w:val="0"/>
                <w:sz w:val="24"/>
              </w:rPr>
              <w:t>本项目生产工艺流程如下。</w:t>
            </w:r>
          </w:p>
          <w:p w14:paraId="76F77289">
            <w:pPr>
              <w:spacing w:line="360" w:lineRule="auto"/>
              <w:jc w:val="center"/>
              <w:rPr>
                <w:bCs/>
                <w:kern w:val="0"/>
                <w:sz w:val="24"/>
                <w:szCs w:val="20"/>
              </w:rPr>
            </w:pPr>
            <w:r>
              <w:drawing>
                <wp:inline distT="0" distB="0" distL="114300" distR="114300">
                  <wp:extent cx="2117725" cy="4581525"/>
                  <wp:effectExtent l="0" t="0" r="15875" b="952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2"/>
                          <a:stretch>
                            <a:fillRect/>
                          </a:stretch>
                        </pic:blipFill>
                        <pic:spPr>
                          <a:xfrm>
                            <a:off x="0" y="0"/>
                            <a:ext cx="2117725" cy="4581525"/>
                          </a:xfrm>
                          <a:prstGeom prst="rect">
                            <a:avLst/>
                          </a:prstGeom>
                          <a:noFill/>
                          <a:ln>
                            <a:noFill/>
                          </a:ln>
                        </pic:spPr>
                      </pic:pic>
                    </a:graphicData>
                  </a:graphic>
                </wp:inline>
              </w:drawing>
            </w:r>
            <w:r>
              <w:drawing>
                <wp:inline distT="0" distB="0" distL="114300" distR="114300">
                  <wp:extent cx="2428875" cy="4570730"/>
                  <wp:effectExtent l="0" t="0" r="9525" b="127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3"/>
                          <a:stretch>
                            <a:fillRect/>
                          </a:stretch>
                        </pic:blipFill>
                        <pic:spPr>
                          <a:xfrm>
                            <a:off x="0" y="0"/>
                            <a:ext cx="2428875" cy="4570730"/>
                          </a:xfrm>
                          <a:prstGeom prst="rect">
                            <a:avLst/>
                          </a:prstGeom>
                          <a:noFill/>
                          <a:ln>
                            <a:noFill/>
                          </a:ln>
                        </pic:spPr>
                      </pic:pic>
                    </a:graphicData>
                  </a:graphic>
                </wp:inline>
              </w:drawing>
            </w:r>
          </w:p>
          <w:p w14:paraId="0DF1E935">
            <w:pPr>
              <w:spacing w:line="360" w:lineRule="auto"/>
              <w:jc w:val="center"/>
              <w:rPr>
                <w:b/>
                <w:bCs/>
                <w:kern w:val="0"/>
                <w:sz w:val="24"/>
                <w:szCs w:val="20"/>
              </w:rPr>
            </w:pPr>
            <w:r>
              <w:rPr>
                <w:rFonts w:hint="eastAsia"/>
                <w:b/>
                <w:bCs/>
                <w:kern w:val="0"/>
                <w:sz w:val="24"/>
                <w:szCs w:val="20"/>
              </w:rPr>
              <w:t>图</w:t>
            </w:r>
            <w:r>
              <w:rPr>
                <w:b/>
                <w:bCs/>
                <w:kern w:val="0"/>
                <w:sz w:val="24"/>
                <w:szCs w:val="20"/>
              </w:rPr>
              <w:t>2</w:t>
            </w:r>
            <w:r>
              <w:rPr>
                <w:rFonts w:hint="eastAsia"/>
                <w:b/>
                <w:bCs/>
                <w:kern w:val="0"/>
                <w:sz w:val="24"/>
                <w:szCs w:val="20"/>
              </w:rPr>
              <w:t>-</w:t>
            </w:r>
            <w:r>
              <w:rPr>
                <w:b/>
                <w:bCs/>
                <w:kern w:val="0"/>
                <w:sz w:val="24"/>
                <w:szCs w:val="20"/>
              </w:rPr>
              <w:t>3  本项目</w:t>
            </w:r>
            <w:r>
              <w:rPr>
                <w:rFonts w:hint="eastAsia"/>
                <w:b/>
                <w:bCs/>
                <w:kern w:val="0"/>
                <w:sz w:val="24"/>
                <w:szCs w:val="20"/>
              </w:rPr>
              <w:t>生产工艺及产污节点图</w:t>
            </w:r>
          </w:p>
          <w:p w14:paraId="1074D3DE">
            <w:pPr>
              <w:tabs>
                <w:tab w:val="left" w:pos="6765"/>
              </w:tabs>
              <w:spacing w:line="360" w:lineRule="auto"/>
              <w:ind w:firstLine="482" w:firstLineChars="200"/>
              <w:jc w:val="left"/>
              <w:rPr>
                <w:rFonts w:hint="eastAsia"/>
                <w:b/>
                <w:bCs/>
                <w:sz w:val="24"/>
              </w:rPr>
            </w:pPr>
            <w:r>
              <w:rPr>
                <w:rFonts w:hint="eastAsia"/>
                <w:b/>
                <w:bCs/>
                <w:sz w:val="24"/>
              </w:rPr>
              <w:t>盖带：</w:t>
            </w:r>
          </w:p>
          <w:p w14:paraId="264BD65C">
            <w:pPr>
              <w:tabs>
                <w:tab w:val="left" w:pos="6765"/>
              </w:tabs>
              <w:spacing w:line="360" w:lineRule="auto"/>
              <w:ind w:firstLine="480" w:firstLineChars="200"/>
              <w:jc w:val="left"/>
              <w:rPr>
                <w:rFonts w:hint="eastAsia"/>
                <w:b/>
                <w:kern w:val="0"/>
                <w:sz w:val="24"/>
                <w:szCs w:val="20"/>
              </w:rPr>
            </w:pPr>
            <w:r>
              <w:rPr>
                <w:rFonts w:hint="eastAsia"/>
                <w:sz w:val="24"/>
              </w:rPr>
              <w:t>外购盖带成品，将外购宽盖带分切成一定规格的细盖带，仅简单分切，基本不产生污染。</w:t>
            </w:r>
          </w:p>
          <w:p w14:paraId="148C5E6A">
            <w:pPr>
              <w:autoSpaceDE w:val="0"/>
              <w:autoSpaceDN w:val="0"/>
              <w:adjustRightInd w:val="0"/>
              <w:snapToGrid w:val="0"/>
              <w:spacing w:line="360" w:lineRule="auto"/>
              <w:rPr>
                <w:b/>
                <w:kern w:val="0"/>
                <w:sz w:val="24"/>
                <w:szCs w:val="20"/>
              </w:rPr>
            </w:pPr>
            <w:r>
              <w:rPr>
                <w:rFonts w:hint="eastAsia"/>
                <w:b/>
                <w:kern w:val="0"/>
                <w:sz w:val="24"/>
                <w:szCs w:val="20"/>
              </w:rPr>
              <w:t>生产工艺流程简述：</w:t>
            </w:r>
          </w:p>
          <w:p w14:paraId="412EFE1E">
            <w:pPr>
              <w:tabs>
                <w:tab w:val="left" w:pos="6765"/>
              </w:tabs>
              <w:spacing w:line="360" w:lineRule="auto"/>
              <w:ind w:firstLine="482" w:firstLineChars="200"/>
              <w:jc w:val="left"/>
              <w:rPr>
                <w:rFonts w:hint="eastAsia"/>
                <w:b/>
                <w:bCs/>
                <w:sz w:val="24"/>
              </w:rPr>
            </w:pPr>
            <w:r>
              <w:rPr>
                <w:rFonts w:hint="eastAsia"/>
                <w:b/>
                <w:bCs/>
                <w:sz w:val="24"/>
              </w:rPr>
              <w:t>PS皮料:</w:t>
            </w:r>
          </w:p>
          <w:p w14:paraId="466E4C20">
            <w:pPr>
              <w:tabs>
                <w:tab w:val="left" w:pos="6765"/>
              </w:tabs>
              <w:spacing w:line="360" w:lineRule="auto"/>
              <w:ind w:firstLine="480" w:firstLineChars="200"/>
              <w:jc w:val="left"/>
              <w:rPr>
                <w:rFonts w:hint="eastAsia"/>
                <w:sz w:val="24"/>
              </w:rPr>
            </w:pPr>
            <w:r>
              <w:rPr>
                <w:rFonts w:hint="eastAsia"/>
                <w:sz w:val="24"/>
              </w:rPr>
              <w:t>分条：采用分条机、薄膜分切缠绕机，将宽幅较大的PS皮料、PET薄膜分条并缠绕成卷；</w:t>
            </w:r>
          </w:p>
          <w:p w14:paraId="5327B979">
            <w:pPr>
              <w:tabs>
                <w:tab w:val="left" w:pos="6765"/>
              </w:tabs>
              <w:spacing w:line="360" w:lineRule="auto"/>
              <w:ind w:firstLine="480" w:firstLineChars="200"/>
              <w:jc w:val="left"/>
              <w:rPr>
                <w:rFonts w:hint="eastAsia"/>
                <w:sz w:val="24"/>
              </w:rPr>
            </w:pPr>
            <w:r>
              <w:rPr>
                <w:rFonts w:hint="eastAsia"/>
                <w:sz w:val="24"/>
              </w:rPr>
              <w:t>上料、加热成型：将分条后的PS皮料、PET薄膜，通过自动载带成型机上料后，加热成型（采用电加热，温度约200℃），该过程会有少量有机废气G1产生及噪声N；</w:t>
            </w:r>
          </w:p>
          <w:p w14:paraId="22DA6976">
            <w:pPr>
              <w:tabs>
                <w:tab w:val="left" w:pos="6765"/>
              </w:tabs>
              <w:spacing w:line="360" w:lineRule="auto"/>
              <w:ind w:firstLine="480" w:firstLineChars="200"/>
              <w:jc w:val="left"/>
              <w:rPr>
                <w:rFonts w:hint="eastAsia"/>
                <w:sz w:val="24"/>
              </w:rPr>
            </w:pPr>
            <w:r>
              <w:rPr>
                <w:rFonts w:hint="eastAsia"/>
                <w:sz w:val="24"/>
              </w:rPr>
              <w:t>冷却：挤出成型过程使用冷却水进行冷却，冷却水通过冷却水塔循环使用，此过程会产生W1循环冷却水；</w:t>
            </w:r>
          </w:p>
          <w:p w14:paraId="2B39A447">
            <w:pPr>
              <w:tabs>
                <w:tab w:val="left" w:pos="6765"/>
              </w:tabs>
              <w:spacing w:line="360" w:lineRule="auto"/>
              <w:ind w:firstLine="480" w:firstLineChars="200"/>
              <w:jc w:val="left"/>
              <w:rPr>
                <w:rFonts w:hint="eastAsia"/>
                <w:sz w:val="24"/>
              </w:rPr>
            </w:pPr>
            <w:r>
              <w:rPr>
                <w:rFonts w:hint="eastAsia"/>
                <w:sz w:val="24"/>
              </w:rPr>
              <w:t>检验：人工采用游标卡尺、放大镜等工具抽检成品尺寸，该过程会产生S1不合格品，不合格品回用于生产；</w:t>
            </w:r>
          </w:p>
          <w:p w14:paraId="2589EDE9">
            <w:pPr>
              <w:tabs>
                <w:tab w:val="left" w:pos="6765"/>
              </w:tabs>
              <w:spacing w:line="360" w:lineRule="auto"/>
              <w:ind w:firstLine="480" w:firstLineChars="200"/>
              <w:jc w:val="left"/>
              <w:rPr>
                <w:rFonts w:hint="eastAsia"/>
                <w:sz w:val="24"/>
              </w:rPr>
            </w:pPr>
            <w:r>
              <w:rPr>
                <w:rFonts w:hint="eastAsia"/>
                <w:sz w:val="24"/>
              </w:rPr>
              <w:t>分切：将检验后的合格品用分切机分切至要求规格，该过程会产生S2废边角料，废边角料回用于生产；</w:t>
            </w:r>
          </w:p>
          <w:p w14:paraId="6717E48D">
            <w:pPr>
              <w:tabs>
                <w:tab w:val="left" w:pos="6765"/>
              </w:tabs>
              <w:spacing w:line="360" w:lineRule="auto"/>
              <w:ind w:firstLine="480" w:firstLineChars="200"/>
              <w:jc w:val="left"/>
              <w:rPr>
                <w:rFonts w:hint="eastAsia"/>
                <w:sz w:val="24"/>
              </w:rPr>
            </w:pPr>
            <w:r>
              <w:rPr>
                <w:rFonts w:hint="eastAsia"/>
                <w:sz w:val="24"/>
              </w:rPr>
              <w:t>包装入库：分切后的产品包装入库。</w:t>
            </w:r>
          </w:p>
          <w:p w14:paraId="32560AC6">
            <w:pPr>
              <w:tabs>
                <w:tab w:val="left" w:pos="6765"/>
              </w:tabs>
              <w:spacing w:line="360" w:lineRule="auto"/>
              <w:ind w:firstLine="480" w:firstLineChars="200"/>
              <w:jc w:val="left"/>
              <w:rPr>
                <w:rFonts w:hint="eastAsia"/>
                <w:sz w:val="24"/>
              </w:rPr>
            </w:pPr>
            <w:r>
              <w:rPr>
                <w:rFonts w:hint="eastAsia"/>
                <w:sz w:val="24"/>
              </w:rPr>
              <w:t>PC粒子：</w:t>
            </w:r>
          </w:p>
          <w:p w14:paraId="376119A4">
            <w:pPr>
              <w:tabs>
                <w:tab w:val="left" w:pos="6765"/>
              </w:tabs>
              <w:spacing w:line="360" w:lineRule="auto"/>
              <w:ind w:firstLine="480" w:firstLineChars="200"/>
              <w:jc w:val="left"/>
              <w:rPr>
                <w:rFonts w:hint="eastAsia" w:eastAsia="宋体"/>
                <w:sz w:val="24"/>
                <w:lang w:val="en-US" w:eastAsia="zh-CN"/>
              </w:rPr>
            </w:pPr>
            <w:r>
              <w:rPr>
                <w:rFonts w:hint="eastAsia"/>
                <w:sz w:val="24"/>
              </w:rPr>
              <w:t>上料、加热成型：将外购入的PC粒子，通过自动载带编织成型机上料后（本项目外购的塑料粒子粒径较大且纯度较高，基本无杂质，上料过程基本无颗粒产生），加热成型（采用电加热，温度约200℃），该过程会有少量有机废气G</w:t>
            </w:r>
            <w:r>
              <w:rPr>
                <w:rFonts w:hint="eastAsia"/>
                <w:sz w:val="24"/>
                <w:lang w:val="en-US" w:eastAsia="zh-CN"/>
              </w:rPr>
              <w:t>1</w:t>
            </w:r>
            <w:r>
              <w:rPr>
                <w:rFonts w:hint="eastAsia"/>
                <w:sz w:val="24"/>
              </w:rPr>
              <w:t>产生；</w:t>
            </w:r>
          </w:p>
          <w:p w14:paraId="3F468DF4">
            <w:pPr>
              <w:tabs>
                <w:tab w:val="left" w:pos="6765"/>
              </w:tabs>
              <w:spacing w:line="360" w:lineRule="auto"/>
              <w:ind w:firstLine="480" w:firstLineChars="200"/>
              <w:jc w:val="left"/>
              <w:rPr>
                <w:rFonts w:hint="eastAsia"/>
                <w:sz w:val="24"/>
              </w:rPr>
            </w:pPr>
            <w:r>
              <w:rPr>
                <w:rFonts w:hint="eastAsia"/>
                <w:sz w:val="24"/>
              </w:rPr>
              <w:t>冷却：挤出成型过程使用冷却水进行冷却，冷却水通过冷却水塔循环使用，此过程会产生W1循环冷却水；</w:t>
            </w:r>
          </w:p>
          <w:p w14:paraId="7550A483">
            <w:pPr>
              <w:tabs>
                <w:tab w:val="left" w:pos="6765"/>
              </w:tabs>
              <w:spacing w:line="360" w:lineRule="auto"/>
              <w:ind w:firstLine="480" w:firstLineChars="200"/>
              <w:jc w:val="left"/>
              <w:rPr>
                <w:rFonts w:hint="eastAsia"/>
                <w:sz w:val="24"/>
              </w:rPr>
            </w:pPr>
            <w:r>
              <w:rPr>
                <w:rFonts w:hint="eastAsia"/>
                <w:sz w:val="24"/>
              </w:rPr>
              <w:t>检验：人工采用游标卡尺、放大镜等工具抽检成品尺寸，该过程会产生S1不合格品，不合格品回用于生产；</w:t>
            </w:r>
          </w:p>
          <w:p w14:paraId="22570F97">
            <w:pPr>
              <w:tabs>
                <w:tab w:val="left" w:pos="6765"/>
              </w:tabs>
              <w:spacing w:line="360" w:lineRule="auto"/>
              <w:ind w:firstLine="480" w:firstLineChars="200"/>
              <w:jc w:val="left"/>
              <w:rPr>
                <w:rFonts w:hint="eastAsia"/>
                <w:sz w:val="24"/>
              </w:rPr>
            </w:pPr>
            <w:r>
              <w:rPr>
                <w:rFonts w:hint="eastAsia"/>
                <w:sz w:val="24"/>
              </w:rPr>
              <w:t>分切：将检验后的合格品用分切机分切至要求规格，该过程会产生S2废边角料，废边角料回用于生产；</w:t>
            </w:r>
          </w:p>
          <w:p w14:paraId="487F42F0">
            <w:pPr>
              <w:tabs>
                <w:tab w:val="left" w:pos="6765"/>
              </w:tabs>
              <w:spacing w:line="360" w:lineRule="auto"/>
              <w:ind w:firstLine="480" w:firstLineChars="200"/>
              <w:jc w:val="left"/>
              <w:rPr>
                <w:rFonts w:hint="eastAsia"/>
                <w:sz w:val="24"/>
              </w:rPr>
            </w:pPr>
            <w:r>
              <w:rPr>
                <w:rFonts w:hint="eastAsia"/>
                <w:sz w:val="24"/>
              </w:rPr>
              <w:t>包装入库：分切后的产品包装入库。</w:t>
            </w:r>
          </w:p>
          <w:p w14:paraId="2DF73602">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2" w:firstLineChars="200"/>
              <w:jc w:val="left"/>
              <w:textAlignment w:val="auto"/>
              <w:rPr>
                <w:b/>
                <w:kern w:val="0"/>
                <w:sz w:val="24"/>
              </w:rPr>
            </w:pPr>
            <w:r>
              <w:rPr>
                <w:b/>
                <w:kern w:val="0"/>
                <w:sz w:val="24"/>
              </w:rPr>
              <w:t>4、项目运营期主要污染工序及污染因子</w:t>
            </w:r>
          </w:p>
          <w:p w14:paraId="7FDFC769">
            <w:pPr>
              <w:keepNext w:val="0"/>
              <w:keepLines w:val="0"/>
              <w:pageBreakBefore w:val="0"/>
              <w:kinsoku/>
              <w:wordWrap/>
              <w:overflowPunct/>
              <w:topLinePunct w:val="0"/>
              <w:bidi w:val="0"/>
              <w:adjustRightInd/>
              <w:spacing w:beforeAutospacing="0" w:line="360" w:lineRule="auto"/>
              <w:ind w:right="0" w:firstLine="360" w:firstLineChars="150"/>
              <w:jc w:val="left"/>
              <w:textAlignment w:val="auto"/>
              <w:rPr>
                <w:kern w:val="0"/>
                <w:sz w:val="24"/>
                <w:szCs w:val="20"/>
              </w:rPr>
            </w:pPr>
            <w:r>
              <w:rPr>
                <w:kern w:val="0"/>
                <w:sz w:val="24"/>
                <w:szCs w:val="20"/>
              </w:rPr>
              <w:t>项目运营期主要污染工序及污染因子见下表。</w:t>
            </w:r>
          </w:p>
          <w:p w14:paraId="7C9A1818">
            <w:pPr>
              <w:keepNext w:val="0"/>
              <w:keepLines w:val="0"/>
              <w:pageBreakBefore w:val="0"/>
              <w:kinsoku/>
              <w:wordWrap/>
              <w:overflowPunct/>
              <w:topLinePunct w:val="0"/>
              <w:bidi w:val="0"/>
              <w:adjustRightInd/>
              <w:spacing w:beforeAutospacing="0" w:line="360" w:lineRule="auto"/>
              <w:ind w:right="0"/>
              <w:jc w:val="center"/>
              <w:textAlignment w:val="auto"/>
              <w:rPr>
                <w:b/>
                <w:sz w:val="24"/>
              </w:rPr>
            </w:pPr>
            <w:r>
              <w:rPr>
                <w:b/>
                <w:sz w:val="24"/>
              </w:rPr>
              <w:t>表</w:t>
            </w:r>
            <w:r>
              <w:rPr>
                <w:rFonts w:hint="eastAsia"/>
                <w:b/>
                <w:sz w:val="24"/>
              </w:rPr>
              <w:t>2</w:t>
            </w:r>
            <w:r>
              <w:rPr>
                <w:b/>
                <w:sz w:val="24"/>
              </w:rPr>
              <w:t>-</w:t>
            </w:r>
            <w:r>
              <w:rPr>
                <w:rFonts w:hint="eastAsia"/>
                <w:b/>
                <w:sz w:val="24"/>
                <w:lang w:val="en-US" w:eastAsia="zh-CN"/>
              </w:rPr>
              <w:t>7</w:t>
            </w:r>
            <w:r>
              <w:rPr>
                <w:b/>
                <w:sz w:val="24"/>
              </w:rPr>
              <w:t xml:space="preserve">  运营期主要污染工序一览表</w:t>
            </w:r>
          </w:p>
          <w:tbl>
            <w:tblPr>
              <w:tblStyle w:val="58"/>
              <w:tblW w:w="49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340"/>
              <w:gridCol w:w="1457"/>
              <w:gridCol w:w="1663"/>
              <w:gridCol w:w="3042"/>
            </w:tblGrid>
            <w:tr w14:paraId="1D2F2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6" w:type="pct"/>
                  <w:tcBorders>
                    <w:tl2br w:val="nil"/>
                    <w:tr2bl w:val="nil"/>
                  </w:tcBorders>
                  <w:vAlign w:val="center"/>
                </w:tcPr>
                <w:p w14:paraId="2A8F71CE">
                  <w:pPr>
                    <w:jc w:val="center"/>
                    <w:rPr>
                      <w:b/>
                      <w:szCs w:val="21"/>
                    </w:rPr>
                  </w:pPr>
                  <w:r>
                    <w:rPr>
                      <w:b/>
                      <w:szCs w:val="21"/>
                    </w:rPr>
                    <w:t>类别</w:t>
                  </w:r>
                </w:p>
              </w:tc>
              <w:tc>
                <w:tcPr>
                  <w:tcW w:w="813" w:type="pct"/>
                  <w:tcBorders>
                    <w:tl2br w:val="nil"/>
                    <w:tr2bl w:val="nil"/>
                  </w:tcBorders>
                  <w:vAlign w:val="center"/>
                </w:tcPr>
                <w:p w14:paraId="6D83F1EB">
                  <w:pPr>
                    <w:jc w:val="center"/>
                    <w:rPr>
                      <w:rFonts w:hint="default" w:eastAsia="宋体"/>
                      <w:b/>
                      <w:szCs w:val="21"/>
                      <w:lang w:val="en-US" w:eastAsia="zh-CN"/>
                    </w:rPr>
                  </w:pPr>
                  <w:r>
                    <w:rPr>
                      <w:rFonts w:hint="eastAsia"/>
                      <w:b/>
                      <w:szCs w:val="21"/>
                      <w:lang w:val="en-US" w:eastAsia="zh-CN"/>
                    </w:rPr>
                    <w:t>污染源编号</w:t>
                  </w:r>
                </w:p>
              </w:tc>
              <w:tc>
                <w:tcPr>
                  <w:tcW w:w="884" w:type="pct"/>
                  <w:tcBorders>
                    <w:tl2br w:val="nil"/>
                    <w:tr2bl w:val="nil"/>
                  </w:tcBorders>
                  <w:vAlign w:val="center"/>
                </w:tcPr>
                <w:p w14:paraId="09120CBE">
                  <w:pPr>
                    <w:jc w:val="center"/>
                    <w:rPr>
                      <w:b/>
                      <w:szCs w:val="21"/>
                    </w:rPr>
                  </w:pPr>
                  <w:r>
                    <w:rPr>
                      <w:rFonts w:hint="eastAsia"/>
                      <w:b/>
                      <w:szCs w:val="21"/>
                      <w:lang w:val="en-US" w:eastAsia="zh-CN"/>
                    </w:rPr>
                    <w:t>产污</w:t>
                  </w:r>
                  <w:r>
                    <w:rPr>
                      <w:b/>
                      <w:szCs w:val="21"/>
                    </w:rPr>
                    <w:t>环节</w:t>
                  </w:r>
                </w:p>
              </w:tc>
              <w:tc>
                <w:tcPr>
                  <w:tcW w:w="1009" w:type="pct"/>
                  <w:tcBorders>
                    <w:tl2br w:val="nil"/>
                    <w:tr2bl w:val="nil"/>
                  </w:tcBorders>
                  <w:vAlign w:val="center"/>
                </w:tcPr>
                <w:p w14:paraId="4DF7C81B">
                  <w:pPr>
                    <w:jc w:val="center"/>
                    <w:rPr>
                      <w:b/>
                      <w:szCs w:val="21"/>
                    </w:rPr>
                  </w:pPr>
                  <w:r>
                    <w:rPr>
                      <w:b/>
                      <w:szCs w:val="21"/>
                    </w:rPr>
                    <w:t>主要污染物</w:t>
                  </w:r>
                </w:p>
              </w:tc>
              <w:tc>
                <w:tcPr>
                  <w:tcW w:w="1846" w:type="pct"/>
                  <w:tcBorders>
                    <w:tl2br w:val="nil"/>
                    <w:tr2bl w:val="nil"/>
                  </w:tcBorders>
                  <w:vAlign w:val="center"/>
                </w:tcPr>
                <w:p w14:paraId="35B0D32E">
                  <w:pPr>
                    <w:jc w:val="center"/>
                    <w:rPr>
                      <w:b/>
                      <w:szCs w:val="21"/>
                    </w:rPr>
                  </w:pPr>
                  <w:r>
                    <w:rPr>
                      <w:b/>
                      <w:szCs w:val="21"/>
                    </w:rPr>
                    <w:t>措施及去向</w:t>
                  </w:r>
                </w:p>
              </w:tc>
            </w:tr>
            <w:tr w14:paraId="526B8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446" w:type="pct"/>
                  <w:tcBorders>
                    <w:tl2br w:val="nil"/>
                    <w:tr2bl w:val="nil"/>
                  </w:tcBorders>
                  <w:vAlign w:val="center"/>
                </w:tcPr>
                <w:p w14:paraId="028A4228">
                  <w:pPr>
                    <w:jc w:val="center"/>
                    <w:rPr>
                      <w:szCs w:val="21"/>
                    </w:rPr>
                  </w:pPr>
                  <w:r>
                    <w:rPr>
                      <w:szCs w:val="21"/>
                    </w:rPr>
                    <w:t>废气</w:t>
                  </w:r>
                </w:p>
              </w:tc>
              <w:tc>
                <w:tcPr>
                  <w:tcW w:w="813" w:type="pct"/>
                  <w:tcBorders>
                    <w:tl2br w:val="nil"/>
                    <w:tr2bl w:val="nil"/>
                  </w:tcBorders>
                  <w:vAlign w:val="center"/>
                </w:tcPr>
                <w:p w14:paraId="7C7C7385">
                  <w:pPr>
                    <w:jc w:val="center"/>
                    <w:rPr>
                      <w:rFonts w:hint="default" w:eastAsia="宋体"/>
                      <w:szCs w:val="21"/>
                      <w:lang w:val="en-US" w:eastAsia="zh-CN"/>
                    </w:rPr>
                  </w:pPr>
                  <w:r>
                    <w:rPr>
                      <w:rFonts w:hint="eastAsia"/>
                      <w:szCs w:val="21"/>
                      <w:lang w:val="en-US" w:eastAsia="zh-CN"/>
                    </w:rPr>
                    <w:t>G1</w:t>
                  </w:r>
                </w:p>
              </w:tc>
              <w:tc>
                <w:tcPr>
                  <w:tcW w:w="884" w:type="pct"/>
                  <w:tcBorders>
                    <w:tl2br w:val="nil"/>
                    <w:tr2bl w:val="nil"/>
                  </w:tcBorders>
                  <w:vAlign w:val="center"/>
                </w:tcPr>
                <w:p w14:paraId="4B074D4E">
                  <w:pPr>
                    <w:jc w:val="center"/>
                    <w:rPr>
                      <w:rFonts w:hint="default" w:eastAsia="宋体"/>
                      <w:szCs w:val="21"/>
                      <w:lang w:val="en-US" w:eastAsia="zh-CN"/>
                    </w:rPr>
                  </w:pPr>
                  <w:r>
                    <w:rPr>
                      <w:rFonts w:hint="eastAsia"/>
                      <w:szCs w:val="21"/>
                      <w:lang w:val="en-US" w:eastAsia="zh-CN"/>
                    </w:rPr>
                    <w:t>加热成型</w:t>
                  </w:r>
                </w:p>
              </w:tc>
              <w:tc>
                <w:tcPr>
                  <w:tcW w:w="1009" w:type="pct"/>
                  <w:tcBorders>
                    <w:tl2br w:val="nil"/>
                    <w:tr2bl w:val="nil"/>
                  </w:tcBorders>
                  <w:vAlign w:val="center"/>
                </w:tcPr>
                <w:p w14:paraId="36C9BC2C">
                  <w:pPr>
                    <w:jc w:val="center"/>
                    <w:rPr>
                      <w:rFonts w:hint="default"/>
                      <w:szCs w:val="21"/>
                      <w:lang w:val="en-US" w:eastAsia="zh-CN"/>
                    </w:rPr>
                  </w:pPr>
                  <w:r>
                    <w:rPr>
                      <w:rFonts w:hint="eastAsia"/>
                      <w:szCs w:val="21"/>
                      <w:lang w:val="en-US" w:eastAsia="zh-CN"/>
                    </w:rPr>
                    <w:t>非甲烷总烃、酚类、氯苯类、甲苯、乙苯、苯乙烯、二氯甲烷</w:t>
                  </w:r>
                </w:p>
              </w:tc>
              <w:tc>
                <w:tcPr>
                  <w:tcW w:w="1846" w:type="pct"/>
                  <w:tcBorders>
                    <w:tl2br w:val="nil"/>
                    <w:tr2bl w:val="nil"/>
                  </w:tcBorders>
                  <w:vAlign w:val="center"/>
                </w:tcPr>
                <w:p w14:paraId="01E2C26C">
                  <w:pPr>
                    <w:jc w:val="center"/>
                    <w:rPr>
                      <w:szCs w:val="21"/>
                    </w:rPr>
                  </w:pPr>
                  <w:r>
                    <w:rPr>
                      <w:rFonts w:hint="eastAsia"/>
                      <w:szCs w:val="21"/>
                      <w:lang w:val="en-US" w:eastAsia="zh-CN"/>
                    </w:rPr>
                    <w:t>集气罩</w:t>
                  </w:r>
                  <w:r>
                    <w:rPr>
                      <w:rFonts w:hint="eastAsia"/>
                      <w:szCs w:val="21"/>
                    </w:rPr>
                    <w:t>收集后</w:t>
                  </w:r>
                  <w:r>
                    <w:rPr>
                      <w:rFonts w:hint="eastAsia"/>
                      <w:szCs w:val="21"/>
                      <w:lang w:val="en-US" w:eastAsia="zh-CN"/>
                    </w:rPr>
                    <w:t>经二级活性炭吸附装置</w:t>
                  </w:r>
                  <w:r>
                    <w:rPr>
                      <w:rFonts w:hint="eastAsia"/>
                      <w:szCs w:val="21"/>
                    </w:rPr>
                    <w:t>处理后于1根</w:t>
                  </w:r>
                  <w:r>
                    <w:rPr>
                      <w:rFonts w:hint="eastAsia"/>
                      <w:szCs w:val="21"/>
                      <w:lang w:val="en-US" w:eastAsia="zh-CN"/>
                    </w:rPr>
                    <w:t>20</w:t>
                  </w:r>
                  <w:r>
                    <w:rPr>
                      <w:rFonts w:hint="eastAsia"/>
                      <w:szCs w:val="21"/>
                    </w:rPr>
                    <w:t>m高排气筒排放（D</w:t>
                  </w:r>
                  <w:r>
                    <w:rPr>
                      <w:szCs w:val="21"/>
                    </w:rPr>
                    <w:t>A001</w:t>
                  </w:r>
                  <w:r>
                    <w:rPr>
                      <w:rFonts w:hint="eastAsia"/>
                      <w:szCs w:val="21"/>
                    </w:rPr>
                    <w:t>）</w:t>
                  </w:r>
                </w:p>
              </w:tc>
            </w:tr>
            <w:tr w14:paraId="61D99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46" w:type="pct"/>
                  <w:vMerge w:val="restart"/>
                  <w:tcBorders>
                    <w:tl2br w:val="nil"/>
                    <w:tr2bl w:val="nil"/>
                  </w:tcBorders>
                  <w:vAlign w:val="center"/>
                </w:tcPr>
                <w:p w14:paraId="614EF1D3">
                  <w:pPr>
                    <w:jc w:val="center"/>
                    <w:rPr>
                      <w:szCs w:val="21"/>
                    </w:rPr>
                  </w:pPr>
                  <w:r>
                    <w:rPr>
                      <w:szCs w:val="21"/>
                    </w:rPr>
                    <w:t>废水</w:t>
                  </w:r>
                </w:p>
              </w:tc>
              <w:tc>
                <w:tcPr>
                  <w:tcW w:w="813" w:type="pct"/>
                  <w:tcBorders>
                    <w:tl2br w:val="nil"/>
                    <w:tr2bl w:val="nil"/>
                  </w:tcBorders>
                  <w:vAlign w:val="center"/>
                </w:tcPr>
                <w:p w14:paraId="2F070E9D">
                  <w:pPr>
                    <w:jc w:val="center"/>
                    <w:rPr>
                      <w:rFonts w:hint="default" w:eastAsia="宋体"/>
                      <w:szCs w:val="21"/>
                      <w:lang w:val="en-US" w:eastAsia="zh-CN"/>
                    </w:rPr>
                  </w:pPr>
                  <w:r>
                    <w:rPr>
                      <w:rFonts w:hint="eastAsia"/>
                      <w:szCs w:val="21"/>
                      <w:lang w:val="en-US" w:eastAsia="zh-CN"/>
                    </w:rPr>
                    <w:t>W1</w:t>
                  </w:r>
                </w:p>
              </w:tc>
              <w:tc>
                <w:tcPr>
                  <w:tcW w:w="884" w:type="pct"/>
                  <w:tcBorders>
                    <w:tl2br w:val="nil"/>
                    <w:tr2bl w:val="nil"/>
                  </w:tcBorders>
                  <w:vAlign w:val="center"/>
                </w:tcPr>
                <w:p w14:paraId="420CAE0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szCs w:val="21"/>
                      <w:lang w:val="en-US" w:eastAsia="zh-CN"/>
                    </w:rPr>
                  </w:pPr>
                  <w:r>
                    <w:rPr>
                      <w:rFonts w:hint="eastAsia"/>
                      <w:szCs w:val="21"/>
                      <w:lang w:val="en-US" w:eastAsia="zh-CN"/>
                    </w:rPr>
                    <w:t>冷却</w:t>
                  </w:r>
                </w:p>
              </w:tc>
              <w:tc>
                <w:tcPr>
                  <w:tcW w:w="1009" w:type="pct"/>
                  <w:tcBorders>
                    <w:tl2br w:val="nil"/>
                    <w:tr2bl w:val="nil"/>
                  </w:tcBorders>
                  <w:vAlign w:val="center"/>
                </w:tcPr>
                <w:p w14:paraId="1863411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pH、COD、SS、NH</w:t>
                  </w:r>
                  <w:r>
                    <w:rPr>
                      <w:rFonts w:hint="eastAsia" w:ascii="Times New Roman" w:hAnsi="Times New Roman" w:eastAsia="宋体"/>
                      <w:bCs/>
                      <w:caps w:val="0"/>
                      <w:color w:val="auto"/>
                      <w:szCs w:val="21"/>
                      <w:highlight w:val="none"/>
                      <w:vertAlign w:val="subscript"/>
                      <w:lang w:val="en-US" w:eastAsia="zh-CN"/>
                    </w:rPr>
                    <w:t>3</w:t>
                  </w:r>
                  <w:r>
                    <w:rPr>
                      <w:rFonts w:hint="eastAsia" w:ascii="Times New Roman" w:hAnsi="Times New Roman" w:eastAsia="宋体"/>
                      <w:bCs/>
                      <w:caps w:val="0"/>
                      <w:color w:val="auto"/>
                      <w:szCs w:val="21"/>
                      <w:highlight w:val="none"/>
                      <w:lang w:val="en-US" w:eastAsia="zh-CN"/>
                    </w:rPr>
                    <w:t>-N</w:t>
                  </w:r>
                </w:p>
              </w:tc>
              <w:tc>
                <w:tcPr>
                  <w:tcW w:w="1846" w:type="pct"/>
                  <w:tcBorders>
                    <w:tl2br w:val="nil"/>
                    <w:tr2bl w:val="nil"/>
                  </w:tcBorders>
                  <w:vAlign w:val="center"/>
                </w:tcPr>
                <w:p w14:paraId="4BF5DB4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szCs w:val="21"/>
                    </w:rPr>
                  </w:pPr>
                  <w:r>
                    <w:rPr>
                      <w:rFonts w:hint="eastAsia"/>
                      <w:bCs/>
                      <w:caps w:val="0"/>
                      <w:color w:val="auto"/>
                      <w:szCs w:val="21"/>
                      <w:highlight w:val="none"/>
                      <w:lang w:val="en-US" w:eastAsia="zh-CN"/>
                    </w:rPr>
                    <w:t>循环使用</w:t>
                  </w:r>
                  <w:r>
                    <w:rPr>
                      <w:rFonts w:hint="eastAsia"/>
                      <w:color w:val="auto"/>
                      <w:lang w:eastAsia="zh-CN"/>
                    </w:rPr>
                    <w:t>，</w:t>
                  </w:r>
                  <w:r>
                    <w:rPr>
                      <w:rFonts w:hint="eastAsia"/>
                      <w:color w:val="auto"/>
                      <w:lang w:val="en-US" w:eastAsia="zh-CN"/>
                    </w:rPr>
                    <w:t>不外排</w:t>
                  </w:r>
                </w:p>
              </w:tc>
            </w:tr>
            <w:tr w14:paraId="04BB36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446" w:type="pct"/>
                  <w:vMerge w:val="continue"/>
                  <w:tcBorders>
                    <w:tl2br w:val="nil"/>
                    <w:tr2bl w:val="nil"/>
                  </w:tcBorders>
                  <w:vAlign w:val="center"/>
                </w:tcPr>
                <w:p w14:paraId="0699A05E">
                  <w:pPr>
                    <w:jc w:val="center"/>
                    <w:rPr>
                      <w:szCs w:val="21"/>
                    </w:rPr>
                  </w:pPr>
                </w:p>
              </w:tc>
              <w:tc>
                <w:tcPr>
                  <w:tcW w:w="813" w:type="pct"/>
                  <w:tcBorders>
                    <w:tl2br w:val="nil"/>
                    <w:tr2bl w:val="nil"/>
                  </w:tcBorders>
                  <w:vAlign w:val="center"/>
                </w:tcPr>
                <w:p w14:paraId="199FF862">
                  <w:pPr>
                    <w:jc w:val="center"/>
                    <w:rPr>
                      <w:rFonts w:hint="default" w:eastAsia="宋体"/>
                      <w:szCs w:val="21"/>
                      <w:lang w:val="en-US" w:eastAsia="zh-CN"/>
                    </w:rPr>
                  </w:pPr>
                  <w:r>
                    <w:rPr>
                      <w:rFonts w:hint="eastAsia"/>
                      <w:szCs w:val="21"/>
                      <w:lang w:val="en-US" w:eastAsia="zh-CN"/>
                    </w:rPr>
                    <w:t>W2</w:t>
                  </w:r>
                </w:p>
              </w:tc>
              <w:tc>
                <w:tcPr>
                  <w:tcW w:w="884" w:type="pct"/>
                  <w:tcBorders>
                    <w:tl2br w:val="nil"/>
                    <w:tr2bl w:val="nil"/>
                  </w:tcBorders>
                  <w:vAlign w:val="center"/>
                </w:tcPr>
                <w:p w14:paraId="394FBCC2">
                  <w:pPr>
                    <w:jc w:val="center"/>
                    <w:rPr>
                      <w:szCs w:val="21"/>
                    </w:rPr>
                  </w:pPr>
                  <w:r>
                    <w:rPr>
                      <w:szCs w:val="21"/>
                    </w:rPr>
                    <w:t>办公、生活</w:t>
                  </w:r>
                </w:p>
              </w:tc>
              <w:tc>
                <w:tcPr>
                  <w:tcW w:w="1009" w:type="pct"/>
                  <w:tcBorders>
                    <w:tl2br w:val="nil"/>
                    <w:tr2bl w:val="nil"/>
                  </w:tcBorders>
                  <w:vAlign w:val="center"/>
                </w:tcPr>
                <w:p w14:paraId="611F2861">
                  <w:pPr>
                    <w:jc w:val="center"/>
                    <w:rPr>
                      <w:szCs w:val="21"/>
                    </w:rPr>
                  </w:pPr>
                  <w:r>
                    <w:rPr>
                      <w:szCs w:val="21"/>
                    </w:rPr>
                    <w:t>pH、COD、BOD</w:t>
                  </w:r>
                  <w:r>
                    <w:rPr>
                      <w:szCs w:val="21"/>
                      <w:vertAlign w:val="subscript"/>
                    </w:rPr>
                    <w:t>5</w:t>
                  </w:r>
                  <w:r>
                    <w:rPr>
                      <w:szCs w:val="21"/>
                    </w:rPr>
                    <w:t>、SS、氨氮</w:t>
                  </w:r>
                </w:p>
              </w:tc>
              <w:tc>
                <w:tcPr>
                  <w:tcW w:w="1846" w:type="pct"/>
                  <w:tcBorders>
                    <w:tl2br w:val="nil"/>
                    <w:tr2bl w:val="nil"/>
                  </w:tcBorders>
                  <w:vAlign w:val="center"/>
                </w:tcPr>
                <w:p w14:paraId="1F3A7A7D">
                  <w:pPr>
                    <w:jc w:val="center"/>
                    <w:rPr>
                      <w:szCs w:val="21"/>
                    </w:rPr>
                  </w:pPr>
                  <w:r>
                    <w:rPr>
                      <w:rFonts w:hint="eastAsia"/>
                      <w:szCs w:val="21"/>
                    </w:rPr>
                    <w:t>经</w:t>
                  </w:r>
                  <w:r>
                    <w:rPr>
                      <w:szCs w:val="21"/>
                    </w:rPr>
                    <w:t>化粪池处理后排</w:t>
                  </w:r>
                  <w:r>
                    <w:rPr>
                      <w:rFonts w:hint="eastAsia"/>
                      <w:szCs w:val="21"/>
                    </w:rPr>
                    <w:t>入天门山污水处理厂</w:t>
                  </w:r>
                </w:p>
              </w:tc>
            </w:tr>
            <w:tr w14:paraId="458A0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446" w:type="pct"/>
                  <w:tcBorders>
                    <w:tl2br w:val="nil"/>
                    <w:tr2bl w:val="nil"/>
                  </w:tcBorders>
                  <w:vAlign w:val="center"/>
                </w:tcPr>
                <w:p w14:paraId="64846C04">
                  <w:pPr>
                    <w:jc w:val="center"/>
                    <w:rPr>
                      <w:szCs w:val="21"/>
                    </w:rPr>
                  </w:pPr>
                  <w:r>
                    <w:rPr>
                      <w:szCs w:val="21"/>
                    </w:rPr>
                    <w:t>噪声</w:t>
                  </w:r>
                </w:p>
              </w:tc>
              <w:tc>
                <w:tcPr>
                  <w:tcW w:w="813" w:type="pct"/>
                  <w:tcBorders>
                    <w:tl2br w:val="nil"/>
                    <w:tr2bl w:val="nil"/>
                  </w:tcBorders>
                  <w:vAlign w:val="center"/>
                </w:tcPr>
                <w:p w14:paraId="56D74B5B">
                  <w:pPr>
                    <w:jc w:val="center"/>
                    <w:rPr>
                      <w:rFonts w:hint="eastAsia" w:eastAsia="宋体"/>
                      <w:szCs w:val="21"/>
                      <w:lang w:val="en-US" w:eastAsia="zh-CN"/>
                    </w:rPr>
                  </w:pPr>
                  <w:r>
                    <w:rPr>
                      <w:rFonts w:hint="eastAsia"/>
                      <w:szCs w:val="21"/>
                      <w:lang w:val="en-US" w:eastAsia="zh-CN"/>
                    </w:rPr>
                    <w:t>N</w:t>
                  </w:r>
                </w:p>
              </w:tc>
              <w:tc>
                <w:tcPr>
                  <w:tcW w:w="884" w:type="pct"/>
                  <w:tcBorders>
                    <w:tl2br w:val="nil"/>
                    <w:tr2bl w:val="nil"/>
                  </w:tcBorders>
                  <w:vAlign w:val="center"/>
                </w:tcPr>
                <w:p w14:paraId="604C287D">
                  <w:pPr>
                    <w:jc w:val="center"/>
                    <w:rPr>
                      <w:szCs w:val="21"/>
                    </w:rPr>
                  </w:pPr>
                  <w:r>
                    <w:rPr>
                      <w:rFonts w:hint="eastAsia"/>
                      <w:szCs w:val="21"/>
                      <w:lang w:val="en-US" w:eastAsia="zh-CN"/>
                    </w:rPr>
                    <w:t>上料、加热成型</w:t>
                  </w:r>
                  <w:r>
                    <w:rPr>
                      <w:rFonts w:hint="eastAsia"/>
                      <w:szCs w:val="21"/>
                    </w:rPr>
                    <w:t>等</w:t>
                  </w:r>
                </w:p>
              </w:tc>
              <w:tc>
                <w:tcPr>
                  <w:tcW w:w="1009" w:type="pct"/>
                  <w:tcBorders>
                    <w:tl2br w:val="nil"/>
                    <w:tr2bl w:val="nil"/>
                  </w:tcBorders>
                  <w:vAlign w:val="center"/>
                </w:tcPr>
                <w:p w14:paraId="38EAD05F">
                  <w:pPr>
                    <w:jc w:val="center"/>
                    <w:rPr>
                      <w:szCs w:val="21"/>
                    </w:rPr>
                  </w:pPr>
                  <w:r>
                    <w:rPr>
                      <w:szCs w:val="21"/>
                    </w:rPr>
                    <w:t>噪</w:t>
                  </w:r>
                  <w:r>
                    <w:rPr>
                      <w:rFonts w:hint="eastAsia"/>
                      <w:szCs w:val="21"/>
                    </w:rPr>
                    <w:t>声</w:t>
                  </w:r>
                </w:p>
              </w:tc>
              <w:tc>
                <w:tcPr>
                  <w:tcW w:w="1846" w:type="pct"/>
                  <w:tcBorders>
                    <w:tl2br w:val="nil"/>
                    <w:tr2bl w:val="nil"/>
                  </w:tcBorders>
                  <w:vAlign w:val="center"/>
                </w:tcPr>
                <w:p w14:paraId="053FDF28">
                  <w:pPr>
                    <w:jc w:val="center"/>
                    <w:rPr>
                      <w:szCs w:val="21"/>
                    </w:rPr>
                  </w:pPr>
                  <w:r>
                    <w:rPr>
                      <w:szCs w:val="21"/>
                    </w:rPr>
                    <w:t>隔声、减振等</w:t>
                  </w:r>
                </w:p>
              </w:tc>
            </w:tr>
            <w:tr w14:paraId="07C65C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46" w:type="pct"/>
                  <w:vMerge w:val="restart"/>
                  <w:tcBorders>
                    <w:tl2br w:val="nil"/>
                    <w:tr2bl w:val="nil"/>
                  </w:tcBorders>
                  <w:vAlign w:val="center"/>
                </w:tcPr>
                <w:p w14:paraId="4D32D89F">
                  <w:pPr>
                    <w:jc w:val="center"/>
                    <w:rPr>
                      <w:szCs w:val="21"/>
                    </w:rPr>
                  </w:pPr>
                  <w:r>
                    <w:rPr>
                      <w:szCs w:val="21"/>
                    </w:rPr>
                    <w:t>固废</w:t>
                  </w:r>
                </w:p>
              </w:tc>
              <w:tc>
                <w:tcPr>
                  <w:tcW w:w="813" w:type="pct"/>
                  <w:tcBorders>
                    <w:tl2br w:val="nil"/>
                    <w:tr2bl w:val="nil"/>
                  </w:tcBorders>
                  <w:vAlign w:val="center"/>
                </w:tcPr>
                <w:p w14:paraId="4FC03E10">
                  <w:pPr>
                    <w:jc w:val="center"/>
                    <w:rPr>
                      <w:rFonts w:hint="default" w:eastAsia="宋体"/>
                      <w:szCs w:val="21"/>
                      <w:lang w:val="en-US" w:eastAsia="zh-CN"/>
                    </w:rPr>
                  </w:pPr>
                  <w:r>
                    <w:rPr>
                      <w:rFonts w:hint="eastAsia"/>
                      <w:szCs w:val="21"/>
                      <w:lang w:val="en-US" w:eastAsia="zh-CN"/>
                    </w:rPr>
                    <w:t>S1</w:t>
                  </w:r>
                </w:p>
              </w:tc>
              <w:tc>
                <w:tcPr>
                  <w:tcW w:w="884" w:type="pct"/>
                  <w:tcBorders>
                    <w:tl2br w:val="nil"/>
                    <w:tr2bl w:val="nil"/>
                  </w:tcBorders>
                  <w:vAlign w:val="center"/>
                </w:tcPr>
                <w:p w14:paraId="3C0F1947">
                  <w:pPr>
                    <w:jc w:val="center"/>
                    <w:rPr>
                      <w:szCs w:val="21"/>
                    </w:rPr>
                  </w:pPr>
                  <w:r>
                    <w:rPr>
                      <w:rFonts w:hint="eastAsia"/>
                      <w:szCs w:val="21"/>
                      <w:lang w:val="en-US" w:eastAsia="zh-CN"/>
                    </w:rPr>
                    <w:t>检验</w:t>
                  </w:r>
                </w:p>
              </w:tc>
              <w:tc>
                <w:tcPr>
                  <w:tcW w:w="1009" w:type="pct"/>
                  <w:tcBorders>
                    <w:tl2br w:val="nil"/>
                    <w:tr2bl w:val="nil"/>
                  </w:tcBorders>
                  <w:vAlign w:val="center"/>
                </w:tcPr>
                <w:p w14:paraId="6FEEE2EF">
                  <w:pPr>
                    <w:jc w:val="center"/>
                    <w:rPr>
                      <w:szCs w:val="21"/>
                    </w:rPr>
                  </w:pPr>
                  <w:r>
                    <w:rPr>
                      <w:rFonts w:hint="eastAsia"/>
                      <w:szCs w:val="21"/>
                      <w:lang w:val="en-US" w:eastAsia="zh-CN"/>
                    </w:rPr>
                    <w:t>不合格品</w:t>
                  </w:r>
                </w:p>
              </w:tc>
              <w:tc>
                <w:tcPr>
                  <w:tcW w:w="1846" w:type="pct"/>
                  <w:tcBorders>
                    <w:tl2br w:val="nil"/>
                    <w:tr2bl w:val="nil"/>
                  </w:tcBorders>
                  <w:vAlign w:val="center"/>
                </w:tcPr>
                <w:p w14:paraId="093CCE66">
                  <w:pPr>
                    <w:jc w:val="center"/>
                    <w:rPr>
                      <w:szCs w:val="21"/>
                    </w:rPr>
                  </w:pPr>
                  <w:r>
                    <w:rPr>
                      <w:rFonts w:hint="eastAsia"/>
                      <w:szCs w:val="21"/>
                      <w:lang w:val="en-US" w:eastAsia="zh-CN"/>
                    </w:rPr>
                    <w:t>收集后回用于生产</w:t>
                  </w:r>
                </w:p>
              </w:tc>
            </w:tr>
            <w:tr w14:paraId="7FB9D7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446" w:type="pct"/>
                  <w:vMerge w:val="continue"/>
                  <w:tcBorders>
                    <w:tl2br w:val="nil"/>
                    <w:tr2bl w:val="nil"/>
                  </w:tcBorders>
                  <w:vAlign w:val="center"/>
                </w:tcPr>
                <w:p w14:paraId="750191EC">
                  <w:pPr>
                    <w:jc w:val="center"/>
                    <w:rPr>
                      <w:szCs w:val="21"/>
                    </w:rPr>
                  </w:pPr>
                </w:p>
              </w:tc>
              <w:tc>
                <w:tcPr>
                  <w:tcW w:w="813" w:type="pct"/>
                  <w:tcBorders>
                    <w:tl2br w:val="nil"/>
                    <w:tr2bl w:val="nil"/>
                  </w:tcBorders>
                  <w:vAlign w:val="center"/>
                </w:tcPr>
                <w:p w14:paraId="3FABD830">
                  <w:pPr>
                    <w:jc w:val="center"/>
                    <w:rPr>
                      <w:rFonts w:hint="default" w:eastAsia="宋体"/>
                      <w:szCs w:val="21"/>
                      <w:lang w:val="en-US" w:eastAsia="zh-CN"/>
                    </w:rPr>
                  </w:pPr>
                  <w:r>
                    <w:rPr>
                      <w:rFonts w:hint="eastAsia"/>
                      <w:szCs w:val="21"/>
                      <w:lang w:val="en-US" w:eastAsia="zh-CN"/>
                    </w:rPr>
                    <w:t>S2</w:t>
                  </w:r>
                </w:p>
              </w:tc>
              <w:tc>
                <w:tcPr>
                  <w:tcW w:w="884" w:type="pct"/>
                  <w:tcBorders>
                    <w:tl2br w:val="nil"/>
                    <w:tr2bl w:val="nil"/>
                  </w:tcBorders>
                  <w:vAlign w:val="center"/>
                </w:tcPr>
                <w:p w14:paraId="6B96E75A">
                  <w:pPr>
                    <w:jc w:val="center"/>
                    <w:rPr>
                      <w:rFonts w:hint="default" w:eastAsia="宋体"/>
                      <w:szCs w:val="21"/>
                      <w:lang w:val="en-US" w:eastAsia="zh-CN"/>
                    </w:rPr>
                  </w:pPr>
                  <w:r>
                    <w:rPr>
                      <w:rFonts w:hint="eastAsia"/>
                      <w:szCs w:val="21"/>
                      <w:lang w:val="en-US" w:eastAsia="zh-CN"/>
                    </w:rPr>
                    <w:t>分切</w:t>
                  </w:r>
                </w:p>
              </w:tc>
              <w:tc>
                <w:tcPr>
                  <w:tcW w:w="1009" w:type="pct"/>
                  <w:tcBorders>
                    <w:tl2br w:val="nil"/>
                    <w:tr2bl w:val="nil"/>
                  </w:tcBorders>
                  <w:vAlign w:val="center"/>
                </w:tcPr>
                <w:p w14:paraId="3114FC6A">
                  <w:pPr>
                    <w:jc w:val="center"/>
                    <w:rPr>
                      <w:rFonts w:hint="eastAsia"/>
                      <w:szCs w:val="21"/>
                      <w:lang w:val="en-US" w:eastAsia="zh-CN"/>
                    </w:rPr>
                  </w:pPr>
                  <w:r>
                    <w:rPr>
                      <w:rFonts w:hint="eastAsia"/>
                      <w:szCs w:val="21"/>
                      <w:lang w:val="en-US" w:eastAsia="zh-CN"/>
                    </w:rPr>
                    <w:t>废边角料</w:t>
                  </w:r>
                </w:p>
              </w:tc>
              <w:tc>
                <w:tcPr>
                  <w:tcW w:w="1846" w:type="pct"/>
                  <w:tcBorders>
                    <w:tl2br w:val="nil"/>
                    <w:tr2bl w:val="nil"/>
                  </w:tcBorders>
                  <w:vAlign w:val="center"/>
                </w:tcPr>
                <w:p w14:paraId="116E24A3">
                  <w:pPr>
                    <w:jc w:val="center"/>
                    <w:rPr>
                      <w:rFonts w:hint="default" w:eastAsia="宋体"/>
                      <w:szCs w:val="21"/>
                      <w:lang w:val="en-US" w:eastAsia="zh-CN"/>
                    </w:rPr>
                  </w:pPr>
                  <w:r>
                    <w:rPr>
                      <w:rFonts w:hint="eastAsia"/>
                      <w:szCs w:val="21"/>
                      <w:lang w:val="en-US" w:eastAsia="zh-CN"/>
                    </w:rPr>
                    <w:t>收集后回用于生产</w:t>
                  </w:r>
                </w:p>
              </w:tc>
            </w:tr>
            <w:tr w14:paraId="548BB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46" w:type="pct"/>
                  <w:vMerge w:val="continue"/>
                  <w:tcBorders>
                    <w:tl2br w:val="nil"/>
                    <w:tr2bl w:val="nil"/>
                  </w:tcBorders>
                  <w:vAlign w:val="center"/>
                </w:tcPr>
                <w:p w14:paraId="14C4D070">
                  <w:pPr>
                    <w:jc w:val="center"/>
                    <w:rPr>
                      <w:szCs w:val="21"/>
                    </w:rPr>
                  </w:pPr>
                </w:p>
              </w:tc>
              <w:tc>
                <w:tcPr>
                  <w:tcW w:w="813" w:type="pct"/>
                  <w:tcBorders>
                    <w:tl2br w:val="nil"/>
                    <w:tr2bl w:val="nil"/>
                  </w:tcBorders>
                  <w:vAlign w:val="center"/>
                </w:tcPr>
                <w:p w14:paraId="0F7F2A3E">
                  <w:pPr>
                    <w:jc w:val="center"/>
                    <w:rPr>
                      <w:rFonts w:hint="default" w:eastAsia="宋体"/>
                      <w:szCs w:val="21"/>
                      <w:lang w:val="en-US" w:eastAsia="zh-CN"/>
                    </w:rPr>
                  </w:pPr>
                  <w:r>
                    <w:rPr>
                      <w:rFonts w:hint="eastAsia"/>
                      <w:szCs w:val="21"/>
                      <w:lang w:val="en-US" w:eastAsia="zh-CN"/>
                    </w:rPr>
                    <w:t>S3</w:t>
                  </w:r>
                </w:p>
              </w:tc>
              <w:tc>
                <w:tcPr>
                  <w:tcW w:w="884" w:type="pct"/>
                  <w:tcBorders>
                    <w:tl2br w:val="nil"/>
                    <w:tr2bl w:val="nil"/>
                  </w:tcBorders>
                  <w:vAlign w:val="center"/>
                </w:tcPr>
                <w:p w14:paraId="2546A83B">
                  <w:pPr>
                    <w:jc w:val="center"/>
                    <w:rPr>
                      <w:rFonts w:hint="default" w:eastAsia="宋体"/>
                      <w:szCs w:val="21"/>
                      <w:lang w:val="en-US" w:eastAsia="zh-CN"/>
                    </w:rPr>
                  </w:pPr>
                  <w:r>
                    <w:rPr>
                      <w:szCs w:val="21"/>
                    </w:rPr>
                    <w:t>废气处理</w:t>
                  </w:r>
                </w:p>
              </w:tc>
              <w:tc>
                <w:tcPr>
                  <w:tcW w:w="1009" w:type="pct"/>
                  <w:tcBorders>
                    <w:tl2br w:val="nil"/>
                    <w:tr2bl w:val="nil"/>
                  </w:tcBorders>
                  <w:vAlign w:val="center"/>
                </w:tcPr>
                <w:p w14:paraId="03338B87">
                  <w:pPr>
                    <w:jc w:val="center"/>
                    <w:rPr>
                      <w:rFonts w:hint="eastAsia"/>
                      <w:szCs w:val="21"/>
                      <w:lang w:val="en-US" w:eastAsia="zh-CN"/>
                    </w:rPr>
                  </w:pPr>
                  <w:r>
                    <w:rPr>
                      <w:szCs w:val="21"/>
                    </w:rPr>
                    <w:t>废活性炭</w:t>
                  </w:r>
                </w:p>
              </w:tc>
              <w:tc>
                <w:tcPr>
                  <w:tcW w:w="1846" w:type="pct"/>
                  <w:tcBorders>
                    <w:tl2br w:val="nil"/>
                    <w:tr2bl w:val="nil"/>
                  </w:tcBorders>
                  <w:vAlign w:val="center"/>
                </w:tcPr>
                <w:p w14:paraId="0255F8E2">
                  <w:pPr>
                    <w:jc w:val="center"/>
                    <w:rPr>
                      <w:rFonts w:hint="default" w:eastAsia="宋体"/>
                      <w:szCs w:val="21"/>
                      <w:lang w:val="en-US" w:eastAsia="zh-CN"/>
                    </w:rPr>
                  </w:pPr>
                  <w:r>
                    <w:rPr>
                      <w:szCs w:val="21"/>
                    </w:rPr>
                    <w:t>交有资质单位处置</w:t>
                  </w:r>
                </w:p>
              </w:tc>
            </w:tr>
            <w:tr w14:paraId="189C5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446" w:type="pct"/>
                  <w:vMerge w:val="continue"/>
                  <w:tcBorders>
                    <w:tl2br w:val="nil"/>
                    <w:tr2bl w:val="nil"/>
                  </w:tcBorders>
                  <w:vAlign w:val="center"/>
                </w:tcPr>
                <w:p w14:paraId="308F59ED">
                  <w:pPr>
                    <w:jc w:val="center"/>
                    <w:rPr>
                      <w:szCs w:val="21"/>
                    </w:rPr>
                  </w:pPr>
                </w:p>
              </w:tc>
              <w:tc>
                <w:tcPr>
                  <w:tcW w:w="813" w:type="pct"/>
                  <w:tcBorders>
                    <w:tl2br w:val="nil"/>
                    <w:tr2bl w:val="nil"/>
                  </w:tcBorders>
                  <w:vAlign w:val="center"/>
                </w:tcPr>
                <w:p w14:paraId="3B6AC415">
                  <w:pPr>
                    <w:jc w:val="center"/>
                    <w:rPr>
                      <w:rFonts w:hint="default" w:eastAsia="宋体"/>
                      <w:szCs w:val="21"/>
                      <w:lang w:val="en-US" w:eastAsia="zh-CN"/>
                    </w:rPr>
                  </w:pPr>
                  <w:r>
                    <w:rPr>
                      <w:rFonts w:hint="eastAsia"/>
                      <w:szCs w:val="21"/>
                      <w:lang w:val="en-US" w:eastAsia="zh-CN"/>
                    </w:rPr>
                    <w:t>S4</w:t>
                  </w:r>
                </w:p>
              </w:tc>
              <w:tc>
                <w:tcPr>
                  <w:tcW w:w="884" w:type="pct"/>
                  <w:tcBorders>
                    <w:tl2br w:val="nil"/>
                    <w:tr2bl w:val="nil"/>
                  </w:tcBorders>
                  <w:vAlign w:val="center"/>
                </w:tcPr>
                <w:p w14:paraId="0284F784">
                  <w:pPr>
                    <w:jc w:val="center"/>
                    <w:rPr>
                      <w:szCs w:val="21"/>
                    </w:rPr>
                  </w:pPr>
                  <w:r>
                    <w:rPr>
                      <w:rFonts w:hint="eastAsia"/>
                      <w:szCs w:val="21"/>
                    </w:rPr>
                    <w:t>设备维护</w:t>
                  </w:r>
                </w:p>
              </w:tc>
              <w:tc>
                <w:tcPr>
                  <w:tcW w:w="1009" w:type="pct"/>
                  <w:tcBorders>
                    <w:tl2br w:val="nil"/>
                    <w:tr2bl w:val="nil"/>
                  </w:tcBorders>
                  <w:vAlign w:val="center"/>
                </w:tcPr>
                <w:p w14:paraId="628D6A9D">
                  <w:pPr>
                    <w:jc w:val="center"/>
                    <w:rPr>
                      <w:szCs w:val="21"/>
                    </w:rPr>
                  </w:pPr>
                  <w:r>
                    <w:rPr>
                      <w:szCs w:val="21"/>
                    </w:rPr>
                    <w:t>废润滑油</w:t>
                  </w:r>
                </w:p>
              </w:tc>
              <w:tc>
                <w:tcPr>
                  <w:tcW w:w="1846" w:type="pct"/>
                  <w:tcBorders>
                    <w:tl2br w:val="nil"/>
                    <w:tr2bl w:val="nil"/>
                  </w:tcBorders>
                  <w:vAlign w:val="center"/>
                </w:tcPr>
                <w:p w14:paraId="61989050">
                  <w:pPr>
                    <w:jc w:val="center"/>
                    <w:rPr>
                      <w:szCs w:val="21"/>
                    </w:rPr>
                  </w:pPr>
                  <w:r>
                    <w:rPr>
                      <w:szCs w:val="21"/>
                    </w:rPr>
                    <w:t>交有资质单位处置</w:t>
                  </w:r>
                </w:p>
              </w:tc>
            </w:tr>
            <w:tr w14:paraId="6CCE5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446" w:type="pct"/>
                  <w:vMerge w:val="continue"/>
                  <w:tcBorders>
                    <w:tl2br w:val="nil"/>
                    <w:tr2bl w:val="nil"/>
                  </w:tcBorders>
                  <w:vAlign w:val="center"/>
                </w:tcPr>
                <w:p w14:paraId="250CA855">
                  <w:pPr>
                    <w:jc w:val="center"/>
                    <w:rPr>
                      <w:szCs w:val="21"/>
                    </w:rPr>
                  </w:pPr>
                </w:p>
              </w:tc>
              <w:tc>
                <w:tcPr>
                  <w:tcW w:w="813" w:type="pct"/>
                  <w:tcBorders>
                    <w:tl2br w:val="nil"/>
                    <w:tr2bl w:val="nil"/>
                  </w:tcBorders>
                  <w:vAlign w:val="center"/>
                </w:tcPr>
                <w:p w14:paraId="6F2AA921">
                  <w:pPr>
                    <w:jc w:val="center"/>
                    <w:rPr>
                      <w:rFonts w:hint="default" w:eastAsia="宋体"/>
                      <w:szCs w:val="21"/>
                      <w:lang w:val="en-US" w:eastAsia="zh-CN"/>
                    </w:rPr>
                  </w:pPr>
                  <w:r>
                    <w:rPr>
                      <w:rFonts w:hint="eastAsia"/>
                      <w:szCs w:val="21"/>
                      <w:lang w:val="en-US" w:eastAsia="zh-CN"/>
                    </w:rPr>
                    <w:t>S5</w:t>
                  </w:r>
                </w:p>
              </w:tc>
              <w:tc>
                <w:tcPr>
                  <w:tcW w:w="884" w:type="pct"/>
                  <w:tcBorders>
                    <w:tl2br w:val="nil"/>
                    <w:tr2bl w:val="nil"/>
                  </w:tcBorders>
                  <w:vAlign w:val="center"/>
                </w:tcPr>
                <w:p w14:paraId="55659BF2">
                  <w:pPr>
                    <w:jc w:val="center"/>
                    <w:rPr>
                      <w:szCs w:val="21"/>
                    </w:rPr>
                  </w:pPr>
                  <w:r>
                    <w:rPr>
                      <w:rFonts w:hint="eastAsia"/>
                      <w:szCs w:val="21"/>
                    </w:rPr>
                    <w:t>润滑油使用</w:t>
                  </w:r>
                </w:p>
              </w:tc>
              <w:tc>
                <w:tcPr>
                  <w:tcW w:w="1009" w:type="pct"/>
                  <w:tcBorders>
                    <w:tl2br w:val="nil"/>
                    <w:tr2bl w:val="nil"/>
                  </w:tcBorders>
                  <w:vAlign w:val="center"/>
                </w:tcPr>
                <w:p w14:paraId="6917417F">
                  <w:pPr>
                    <w:jc w:val="center"/>
                    <w:rPr>
                      <w:szCs w:val="21"/>
                    </w:rPr>
                  </w:pPr>
                  <w:r>
                    <w:rPr>
                      <w:szCs w:val="21"/>
                    </w:rPr>
                    <w:t>废油桶</w:t>
                  </w:r>
                </w:p>
              </w:tc>
              <w:tc>
                <w:tcPr>
                  <w:tcW w:w="1846" w:type="pct"/>
                  <w:tcBorders>
                    <w:tl2br w:val="nil"/>
                    <w:tr2bl w:val="nil"/>
                  </w:tcBorders>
                  <w:vAlign w:val="center"/>
                </w:tcPr>
                <w:p w14:paraId="3F893CBB">
                  <w:pPr>
                    <w:jc w:val="center"/>
                    <w:rPr>
                      <w:szCs w:val="21"/>
                    </w:rPr>
                  </w:pPr>
                  <w:r>
                    <w:rPr>
                      <w:szCs w:val="21"/>
                    </w:rPr>
                    <w:t>交有资质单位处置</w:t>
                  </w:r>
                </w:p>
              </w:tc>
            </w:tr>
            <w:tr w14:paraId="1F404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446" w:type="pct"/>
                  <w:vMerge w:val="continue"/>
                  <w:tcBorders>
                    <w:tl2br w:val="nil"/>
                    <w:tr2bl w:val="nil"/>
                  </w:tcBorders>
                  <w:vAlign w:val="center"/>
                </w:tcPr>
                <w:p w14:paraId="03EA1098">
                  <w:pPr>
                    <w:jc w:val="center"/>
                    <w:rPr>
                      <w:szCs w:val="21"/>
                    </w:rPr>
                  </w:pPr>
                </w:p>
              </w:tc>
              <w:tc>
                <w:tcPr>
                  <w:tcW w:w="813" w:type="pct"/>
                  <w:tcBorders>
                    <w:tl2br w:val="nil"/>
                    <w:tr2bl w:val="nil"/>
                  </w:tcBorders>
                  <w:vAlign w:val="center"/>
                </w:tcPr>
                <w:p w14:paraId="52F16B36">
                  <w:pPr>
                    <w:jc w:val="center"/>
                    <w:rPr>
                      <w:rFonts w:hint="default" w:eastAsia="宋体"/>
                      <w:szCs w:val="21"/>
                      <w:lang w:val="en-US" w:eastAsia="zh-CN"/>
                    </w:rPr>
                  </w:pPr>
                  <w:r>
                    <w:rPr>
                      <w:rFonts w:hint="eastAsia"/>
                      <w:szCs w:val="21"/>
                      <w:lang w:val="en-US" w:eastAsia="zh-CN"/>
                    </w:rPr>
                    <w:t>S6</w:t>
                  </w:r>
                </w:p>
              </w:tc>
              <w:tc>
                <w:tcPr>
                  <w:tcW w:w="884" w:type="pct"/>
                  <w:tcBorders>
                    <w:tl2br w:val="nil"/>
                    <w:tr2bl w:val="nil"/>
                  </w:tcBorders>
                  <w:vAlign w:val="center"/>
                </w:tcPr>
                <w:p w14:paraId="1565A28D">
                  <w:pPr>
                    <w:jc w:val="center"/>
                    <w:rPr>
                      <w:szCs w:val="21"/>
                    </w:rPr>
                  </w:pPr>
                  <w:r>
                    <w:rPr>
                      <w:szCs w:val="21"/>
                    </w:rPr>
                    <w:t>生活办公</w:t>
                  </w:r>
                </w:p>
              </w:tc>
              <w:tc>
                <w:tcPr>
                  <w:tcW w:w="1009" w:type="pct"/>
                  <w:tcBorders>
                    <w:tl2br w:val="nil"/>
                    <w:tr2bl w:val="nil"/>
                  </w:tcBorders>
                  <w:vAlign w:val="center"/>
                </w:tcPr>
                <w:p w14:paraId="0E8711E5">
                  <w:pPr>
                    <w:jc w:val="center"/>
                    <w:rPr>
                      <w:szCs w:val="21"/>
                    </w:rPr>
                  </w:pPr>
                  <w:r>
                    <w:rPr>
                      <w:szCs w:val="21"/>
                    </w:rPr>
                    <w:t>生活垃圾</w:t>
                  </w:r>
                </w:p>
              </w:tc>
              <w:tc>
                <w:tcPr>
                  <w:tcW w:w="1846" w:type="pct"/>
                  <w:tcBorders>
                    <w:tl2br w:val="nil"/>
                    <w:tr2bl w:val="nil"/>
                  </w:tcBorders>
                  <w:vAlign w:val="center"/>
                </w:tcPr>
                <w:p w14:paraId="1DB572D2">
                  <w:pPr>
                    <w:jc w:val="center"/>
                    <w:rPr>
                      <w:szCs w:val="21"/>
                    </w:rPr>
                  </w:pPr>
                  <w:r>
                    <w:rPr>
                      <w:rFonts w:hint="eastAsia"/>
                      <w:szCs w:val="21"/>
                    </w:rPr>
                    <w:t>交由</w:t>
                  </w:r>
                  <w:r>
                    <w:rPr>
                      <w:szCs w:val="21"/>
                    </w:rPr>
                    <w:t>环卫部门</w:t>
                  </w:r>
                  <w:r>
                    <w:rPr>
                      <w:rFonts w:hint="eastAsia"/>
                      <w:szCs w:val="21"/>
                    </w:rPr>
                    <w:t>统一清运</w:t>
                  </w:r>
                </w:p>
              </w:tc>
            </w:tr>
          </w:tbl>
          <w:p w14:paraId="511687B6">
            <w:pPr>
              <w:autoSpaceDE w:val="0"/>
              <w:autoSpaceDN w:val="0"/>
              <w:adjustRightInd w:val="0"/>
              <w:snapToGrid w:val="0"/>
              <w:spacing w:line="360" w:lineRule="auto"/>
              <w:ind w:firstLine="480" w:firstLineChars="200"/>
              <w:jc w:val="left"/>
              <w:rPr>
                <w:rFonts w:cs="宋体"/>
                <w:kern w:val="0"/>
                <w:sz w:val="24"/>
              </w:rPr>
            </w:pPr>
          </w:p>
          <w:p w14:paraId="749D3571">
            <w:pPr>
              <w:autoSpaceDE w:val="0"/>
              <w:autoSpaceDN w:val="0"/>
              <w:adjustRightInd w:val="0"/>
              <w:snapToGrid w:val="0"/>
              <w:spacing w:line="360" w:lineRule="auto"/>
              <w:ind w:firstLine="480" w:firstLineChars="200"/>
              <w:jc w:val="left"/>
              <w:rPr>
                <w:rFonts w:cs="宋体"/>
                <w:kern w:val="0"/>
                <w:sz w:val="24"/>
              </w:rPr>
            </w:pPr>
          </w:p>
        </w:tc>
      </w:tr>
      <w:tr w14:paraId="7A594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73" w:hRule="atLeast"/>
          <w:jc w:val="center"/>
        </w:trPr>
        <w:tc>
          <w:tcPr>
            <w:tcW w:w="534" w:type="dxa"/>
            <w:vAlign w:val="center"/>
          </w:tcPr>
          <w:p w14:paraId="101A09B6">
            <w:pPr>
              <w:autoSpaceDE w:val="0"/>
              <w:autoSpaceDN w:val="0"/>
              <w:adjustRightInd w:val="0"/>
              <w:snapToGrid w:val="0"/>
              <w:jc w:val="center"/>
              <w:rPr>
                <w:rFonts w:cs="宋体"/>
                <w:kern w:val="0"/>
                <w:sz w:val="24"/>
              </w:rPr>
            </w:pPr>
            <w:r>
              <w:rPr>
                <w:rFonts w:hint="eastAsia" w:cs="宋体"/>
                <w:kern w:val="0"/>
                <w:sz w:val="24"/>
              </w:rPr>
              <w:t>与项目有关的原有环境污染问题</w:t>
            </w:r>
          </w:p>
        </w:tc>
        <w:tc>
          <w:tcPr>
            <w:tcW w:w="8526" w:type="dxa"/>
            <w:vAlign w:val="center"/>
          </w:tcPr>
          <w:p w14:paraId="51F33587">
            <w:pPr>
              <w:autoSpaceDE w:val="0"/>
              <w:autoSpaceDN w:val="0"/>
              <w:adjustRightInd w:val="0"/>
              <w:snapToGrid w:val="0"/>
              <w:spacing w:line="360" w:lineRule="auto"/>
              <w:ind w:firstLine="480" w:firstLineChars="200"/>
              <w:rPr>
                <w:b/>
                <w:kern w:val="0"/>
                <w:sz w:val="24"/>
                <w:szCs w:val="20"/>
              </w:rPr>
            </w:pPr>
            <w:r>
              <w:rPr>
                <w:color w:val="auto"/>
                <w:sz w:val="24"/>
              </w:rPr>
              <w:t>本项目租赁</w:t>
            </w:r>
            <w:r>
              <w:rPr>
                <w:rFonts w:hint="eastAsia" w:eastAsiaTheme="minorEastAsia"/>
                <w:color w:val="auto"/>
                <w:sz w:val="24"/>
                <w:lang w:val="en-US" w:eastAsia="zh-CN"/>
              </w:rPr>
              <w:t>安徽三合智能设备有限公司</w:t>
            </w:r>
            <w:r>
              <w:rPr>
                <w:rFonts w:hint="eastAsia" w:eastAsiaTheme="minorEastAsia"/>
                <w:color w:val="auto"/>
                <w:sz w:val="24"/>
              </w:rPr>
              <w:t>现有厂房进行生产。</w:t>
            </w:r>
            <w:r>
              <w:rPr>
                <w:rFonts w:hint="eastAsia" w:eastAsiaTheme="minorEastAsia"/>
                <w:color w:val="auto"/>
                <w:sz w:val="24"/>
                <w:lang w:val="en-US" w:eastAsia="zh-CN"/>
              </w:rPr>
              <w:t>项目地现状为空厂房</w:t>
            </w:r>
            <w:r>
              <w:rPr>
                <w:rFonts w:hint="eastAsia" w:eastAsiaTheme="minorEastAsia"/>
                <w:color w:val="auto"/>
                <w:sz w:val="24"/>
              </w:rPr>
              <w:t>。安徽三合智能设备有限公司</w:t>
            </w:r>
            <w:r>
              <w:rPr>
                <w:color w:val="auto"/>
                <w:sz w:val="24"/>
              </w:rPr>
              <w:t>该栋厂房自建成以来，未发生过任何环境事件，也未将厂房出租给医药、化工等大型污染企业，无土壤残留等污染问题</w:t>
            </w:r>
            <w:r>
              <w:rPr>
                <w:sz w:val="24"/>
              </w:rPr>
              <w:t>。</w:t>
            </w:r>
          </w:p>
        </w:tc>
      </w:tr>
    </w:tbl>
    <w:p w14:paraId="506000A4">
      <w:pPr>
        <w:tabs>
          <w:tab w:val="left" w:pos="2235"/>
        </w:tabs>
        <w:rPr>
          <w:rFonts w:cs="宋体"/>
          <w:sz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10A4C09">
      <w:pPr>
        <w:pStyle w:val="53"/>
        <w:tabs>
          <w:tab w:val="left" w:pos="270"/>
          <w:tab w:val="center" w:pos="4422"/>
        </w:tabs>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三、区域环境质量现状、环境保护目标及评价标准</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527"/>
      </w:tblGrid>
      <w:tr w14:paraId="4F634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534" w:type="dxa"/>
            <w:vAlign w:val="center"/>
          </w:tcPr>
          <w:p w14:paraId="2313C525">
            <w:pPr>
              <w:autoSpaceDE w:val="0"/>
              <w:autoSpaceDN w:val="0"/>
              <w:adjustRightInd w:val="0"/>
              <w:snapToGrid w:val="0"/>
              <w:jc w:val="center"/>
              <w:rPr>
                <w:rFonts w:cs="宋体"/>
                <w:kern w:val="0"/>
                <w:sz w:val="24"/>
              </w:rPr>
            </w:pPr>
            <w:r>
              <w:rPr>
                <w:rFonts w:hint="eastAsia" w:cs="宋体"/>
                <w:kern w:val="0"/>
                <w:sz w:val="24"/>
              </w:rPr>
              <w:t>区域</w:t>
            </w:r>
          </w:p>
          <w:p w14:paraId="487EE80B">
            <w:pPr>
              <w:autoSpaceDE w:val="0"/>
              <w:autoSpaceDN w:val="0"/>
              <w:adjustRightInd w:val="0"/>
              <w:snapToGrid w:val="0"/>
              <w:jc w:val="center"/>
              <w:rPr>
                <w:rFonts w:cs="宋体"/>
                <w:kern w:val="0"/>
                <w:sz w:val="24"/>
              </w:rPr>
            </w:pPr>
            <w:r>
              <w:rPr>
                <w:rFonts w:hint="eastAsia" w:cs="宋体"/>
                <w:kern w:val="0"/>
                <w:sz w:val="24"/>
              </w:rPr>
              <w:t>环境</w:t>
            </w:r>
          </w:p>
          <w:p w14:paraId="4798D266">
            <w:pPr>
              <w:autoSpaceDE w:val="0"/>
              <w:autoSpaceDN w:val="0"/>
              <w:adjustRightInd w:val="0"/>
              <w:snapToGrid w:val="0"/>
              <w:jc w:val="center"/>
              <w:rPr>
                <w:rFonts w:cs="宋体"/>
                <w:kern w:val="0"/>
                <w:sz w:val="24"/>
              </w:rPr>
            </w:pPr>
            <w:r>
              <w:rPr>
                <w:rFonts w:hint="eastAsia" w:cs="宋体"/>
                <w:kern w:val="0"/>
                <w:sz w:val="24"/>
              </w:rPr>
              <w:t>质量</w:t>
            </w:r>
          </w:p>
          <w:p w14:paraId="4CCC7C2E">
            <w:pPr>
              <w:autoSpaceDE w:val="0"/>
              <w:autoSpaceDN w:val="0"/>
              <w:adjustRightInd w:val="0"/>
              <w:snapToGrid w:val="0"/>
              <w:jc w:val="center"/>
              <w:rPr>
                <w:rFonts w:cs="宋体"/>
                <w:kern w:val="0"/>
                <w:sz w:val="24"/>
              </w:rPr>
            </w:pPr>
            <w:r>
              <w:rPr>
                <w:rFonts w:hint="eastAsia" w:cs="宋体"/>
                <w:kern w:val="0"/>
                <w:sz w:val="24"/>
              </w:rPr>
              <w:t>现状</w:t>
            </w:r>
          </w:p>
        </w:tc>
        <w:tc>
          <w:tcPr>
            <w:tcW w:w="8527" w:type="dxa"/>
            <w:vAlign w:val="center"/>
          </w:tcPr>
          <w:p w14:paraId="5BC4C47B">
            <w:pPr>
              <w:widowControl/>
              <w:tabs>
                <w:tab w:val="left" w:pos="1418"/>
              </w:tabs>
              <w:spacing w:before="100" w:beforeAutospacing="1" w:line="360" w:lineRule="auto"/>
              <w:ind w:firstLine="482" w:firstLineChars="200"/>
              <w:jc w:val="left"/>
              <w:rPr>
                <w:b/>
                <w:bCs/>
                <w:sz w:val="24"/>
              </w:rPr>
            </w:pPr>
            <w:r>
              <w:rPr>
                <w:b/>
                <w:kern w:val="0"/>
                <w:sz w:val="24"/>
              </w:rPr>
              <w:t>1</w:t>
            </w:r>
            <w:r>
              <w:rPr>
                <w:rFonts w:hint="eastAsia"/>
                <w:b/>
                <w:kern w:val="0"/>
                <w:sz w:val="24"/>
              </w:rPr>
              <w:t>、</w:t>
            </w:r>
            <w:r>
              <w:rPr>
                <w:b/>
                <w:bCs/>
                <w:sz w:val="24"/>
              </w:rPr>
              <w:t>环境</w:t>
            </w:r>
            <w:r>
              <w:rPr>
                <w:rFonts w:hint="eastAsia"/>
                <w:b/>
                <w:bCs/>
                <w:sz w:val="24"/>
              </w:rPr>
              <w:t>空气质量</w:t>
            </w:r>
          </w:p>
          <w:p w14:paraId="26B27F5F">
            <w:pPr>
              <w:widowControl/>
              <w:tabs>
                <w:tab w:val="left" w:pos="1418"/>
              </w:tabs>
              <w:spacing w:line="360" w:lineRule="auto"/>
              <w:ind w:firstLine="426" w:firstLineChars="177"/>
              <w:jc w:val="left"/>
              <w:rPr>
                <w:b/>
                <w:bCs/>
                <w:sz w:val="24"/>
              </w:rPr>
            </w:pPr>
            <w:r>
              <w:rPr>
                <w:rFonts w:hint="eastAsia"/>
                <w:b/>
                <w:sz w:val="24"/>
              </w:rPr>
              <w:t>（1）</w:t>
            </w:r>
            <w:r>
              <w:rPr>
                <w:b/>
                <w:bCs/>
                <w:sz w:val="24"/>
              </w:rPr>
              <w:t>区域环境</w:t>
            </w:r>
            <w:r>
              <w:rPr>
                <w:rFonts w:hint="eastAsia"/>
                <w:b/>
                <w:bCs/>
                <w:sz w:val="24"/>
              </w:rPr>
              <w:t>空气达标情况</w:t>
            </w:r>
          </w:p>
          <w:p w14:paraId="4FCFE9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根据《建设项目环境影响报告表编制技术指南（污染影响类）（试行）》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340BFB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本次评价选取202</w:t>
            </w:r>
            <w:r>
              <w:rPr>
                <w:rFonts w:hint="default" w:ascii="Times New Roman" w:hAnsi="Times New Roman" w:eastAsia="宋体" w:cs="Times New Roman"/>
                <w:b w:val="0"/>
                <w:bCs/>
                <w:caps w:val="0"/>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年作为评价基准年，根据《202</w:t>
            </w:r>
            <w:r>
              <w:rPr>
                <w:rFonts w:hint="default" w:ascii="Times New Roman" w:hAnsi="Times New Roman" w:eastAsia="宋体" w:cs="Times New Roman"/>
                <w:b w:val="0"/>
                <w:bCs/>
                <w:caps w:val="0"/>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年芜湖市生态环境状况公报》，以下为首要污染物浓度汇总表。</w:t>
            </w:r>
          </w:p>
          <w:p w14:paraId="0D42F7F2">
            <w:pPr>
              <w:adjustRightInd w:val="0"/>
              <w:snapToGrid w:val="0"/>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表3-1  区域空气质量现状评价表</w:t>
            </w:r>
          </w:p>
          <w:tbl>
            <w:tblPr>
              <w:tblStyle w:val="58"/>
              <w:tblW w:w="83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49"/>
              <w:gridCol w:w="1173"/>
              <w:gridCol w:w="995"/>
              <w:gridCol w:w="1092"/>
              <w:gridCol w:w="1052"/>
              <w:gridCol w:w="1019"/>
              <w:gridCol w:w="1017"/>
            </w:tblGrid>
            <w:tr w14:paraId="16E97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8" w:hRule="atLeast"/>
                <w:jc w:val="center"/>
              </w:trPr>
              <w:tc>
                <w:tcPr>
                  <w:tcW w:w="2049" w:type="dxa"/>
                  <w:tcBorders>
                    <w:tl2br w:val="nil"/>
                    <w:tr2bl w:val="nil"/>
                  </w:tcBorders>
                  <w:noWrap w:val="0"/>
                  <w:tcMar>
                    <w:top w:w="15" w:type="dxa"/>
                    <w:left w:w="15" w:type="dxa"/>
                    <w:bottom w:w="0" w:type="dxa"/>
                    <w:right w:w="15" w:type="dxa"/>
                  </w:tcMar>
                  <w:vAlign w:val="center"/>
                </w:tcPr>
                <w:p w14:paraId="1C19456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所在区域</w:t>
                  </w:r>
                </w:p>
              </w:tc>
              <w:tc>
                <w:tcPr>
                  <w:tcW w:w="1173" w:type="dxa"/>
                  <w:tcBorders>
                    <w:tl2br w:val="nil"/>
                    <w:tr2bl w:val="nil"/>
                  </w:tcBorders>
                  <w:noWrap w:val="0"/>
                  <w:tcMar>
                    <w:top w:w="15" w:type="dxa"/>
                    <w:left w:w="15" w:type="dxa"/>
                    <w:bottom w:w="0" w:type="dxa"/>
                    <w:right w:w="15" w:type="dxa"/>
                  </w:tcMar>
                  <w:vAlign w:val="center"/>
                </w:tcPr>
                <w:p w14:paraId="5B88835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SO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775A0CF7">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995" w:type="dxa"/>
                  <w:tcBorders>
                    <w:tl2br w:val="nil"/>
                    <w:tr2bl w:val="nil"/>
                  </w:tcBorders>
                  <w:noWrap w:val="0"/>
                  <w:tcMar>
                    <w:top w:w="15" w:type="dxa"/>
                    <w:left w:w="15" w:type="dxa"/>
                    <w:bottom w:w="0" w:type="dxa"/>
                    <w:right w:w="15" w:type="dxa"/>
                  </w:tcMar>
                  <w:vAlign w:val="center"/>
                </w:tcPr>
                <w:p w14:paraId="4012EE13">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NO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367FA86B">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92" w:type="dxa"/>
                  <w:tcBorders>
                    <w:tl2br w:val="nil"/>
                    <w:tr2bl w:val="nil"/>
                  </w:tcBorders>
                  <w:noWrap w:val="0"/>
                  <w:tcMar>
                    <w:top w:w="15" w:type="dxa"/>
                    <w:left w:w="15" w:type="dxa"/>
                    <w:bottom w:w="0" w:type="dxa"/>
                    <w:right w:w="15" w:type="dxa"/>
                  </w:tcMar>
                  <w:vAlign w:val="center"/>
                </w:tcPr>
                <w:p w14:paraId="0CD93F7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8h</w:t>
                  </w:r>
                </w:p>
                <w:p w14:paraId="5A5F9991">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52" w:type="dxa"/>
                  <w:tcBorders>
                    <w:tl2br w:val="nil"/>
                    <w:tr2bl w:val="nil"/>
                  </w:tcBorders>
                  <w:noWrap w:val="0"/>
                  <w:tcMar>
                    <w:top w:w="15" w:type="dxa"/>
                    <w:left w:w="15" w:type="dxa"/>
                    <w:bottom w:w="0" w:type="dxa"/>
                    <w:right w:w="15" w:type="dxa"/>
                  </w:tcMar>
                  <w:vAlign w:val="center"/>
                </w:tcPr>
                <w:p w14:paraId="2405E67B">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CO</w:t>
                  </w:r>
                </w:p>
                <w:p w14:paraId="294E592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mg/m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19" w:type="dxa"/>
                  <w:tcBorders>
                    <w:tl2br w:val="nil"/>
                    <w:tr2bl w:val="nil"/>
                  </w:tcBorders>
                  <w:noWrap w:val="0"/>
                  <w:tcMar>
                    <w:top w:w="15" w:type="dxa"/>
                    <w:left w:w="15" w:type="dxa"/>
                    <w:bottom w:w="0" w:type="dxa"/>
                    <w:right w:w="15" w:type="dxa"/>
                  </w:tcMar>
                  <w:vAlign w:val="center"/>
                </w:tcPr>
                <w:p w14:paraId="1A3B72B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10</w:t>
                  </w:r>
                </w:p>
                <w:p w14:paraId="22348DD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17" w:type="dxa"/>
                  <w:tcBorders>
                    <w:tl2br w:val="nil"/>
                    <w:tr2bl w:val="nil"/>
                  </w:tcBorders>
                  <w:noWrap w:val="0"/>
                  <w:tcMar>
                    <w:top w:w="15" w:type="dxa"/>
                    <w:left w:w="15" w:type="dxa"/>
                    <w:bottom w:w="0" w:type="dxa"/>
                    <w:right w:w="15" w:type="dxa"/>
                  </w:tcMar>
                  <w:vAlign w:val="center"/>
                </w:tcPr>
                <w:p w14:paraId="73911575">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2.5</w:t>
                  </w:r>
                </w:p>
                <w:p w14:paraId="13394A0D">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r>
            <w:tr w14:paraId="2CF28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2049" w:type="dxa"/>
                  <w:tcBorders>
                    <w:tl2br w:val="nil"/>
                    <w:tr2bl w:val="nil"/>
                  </w:tcBorders>
                  <w:noWrap w:val="0"/>
                  <w:tcMar>
                    <w:top w:w="15" w:type="dxa"/>
                    <w:left w:w="15" w:type="dxa"/>
                    <w:bottom w:w="0" w:type="dxa"/>
                    <w:right w:w="15" w:type="dxa"/>
                  </w:tcMar>
                  <w:vAlign w:val="center"/>
                </w:tcPr>
                <w:p w14:paraId="4ED1B98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芜湖市</w:t>
                  </w:r>
                </w:p>
              </w:tc>
              <w:tc>
                <w:tcPr>
                  <w:tcW w:w="1173" w:type="dxa"/>
                  <w:tcBorders>
                    <w:tl2br w:val="nil"/>
                    <w:tr2bl w:val="nil"/>
                  </w:tcBorders>
                  <w:noWrap w:val="0"/>
                  <w:tcMar>
                    <w:top w:w="15" w:type="dxa"/>
                    <w:left w:w="15" w:type="dxa"/>
                    <w:bottom w:w="0" w:type="dxa"/>
                    <w:right w:w="15" w:type="dxa"/>
                  </w:tcMar>
                  <w:vAlign w:val="center"/>
                </w:tcPr>
                <w:p w14:paraId="1C10DDF4">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8</w:t>
                  </w:r>
                </w:p>
              </w:tc>
              <w:tc>
                <w:tcPr>
                  <w:tcW w:w="995" w:type="dxa"/>
                  <w:tcBorders>
                    <w:tl2br w:val="nil"/>
                    <w:tr2bl w:val="nil"/>
                  </w:tcBorders>
                  <w:noWrap w:val="0"/>
                  <w:tcMar>
                    <w:top w:w="15" w:type="dxa"/>
                    <w:left w:w="15" w:type="dxa"/>
                    <w:bottom w:w="0" w:type="dxa"/>
                    <w:right w:w="15" w:type="dxa"/>
                  </w:tcMar>
                  <w:vAlign w:val="center"/>
                </w:tcPr>
                <w:p w14:paraId="04DF9CA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33</w:t>
                  </w:r>
                </w:p>
              </w:tc>
              <w:tc>
                <w:tcPr>
                  <w:tcW w:w="1092" w:type="dxa"/>
                  <w:tcBorders>
                    <w:tl2br w:val="nil"/>
                    <w:tr2bl w:val="nil"/>
                  </w:tcBorders>
                  <w:noWrap w:val="0"/>
                  <w:tcMar>
                    <w:top w:w="15" w:type="dxa"/>
                    <w:left w:w="15" w:type="dxa"/>
                    <w:bottom w:w="0" w:type="dxa"/>
                    <w:right w:w="15" w:type="dxa"/>
                  </w:tcMar>
                  <w:vAlign w:val="center"/>
                </w:tcPr>
                <w:p w14:paraId="61F9D407">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159</w:t>
                  </w:r>
                </w:p>
              </w:tc>
              <w:tc>
                <w:tcPr>
                  <w:tcW w:w="1052" w:type="dxa"/>
                  <w:tcBorders>
                    <w:tl2br w:val="nil"/>
                    <w:tr2bl w:val="nil"/>
                  </w:tcBorders>
                  <w:noWrap w:val="0"/>
                  <w:tcMar>
                    <w:top w:w="15" w:type="dxa"/>
                    <w:left w:w="15" w:type="dxa"/>
                    <w:bottom w:w="0" w:type="dxa"/>
                    <w:right w:w="15" w:type="dxa"/>
                  </w:tcMar>
                  <w:vAlign w:val="center"/>
                </w:tcPr>
                <w:p w14:paraId="1444A70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1.1</w:t>
                  </w:r>
                </w:p>
              </w:tc>
              <w:tc>
                <w:tcPr>
                  <w:tcW w:w="1019" w:type="dxa"/>
                  <w:tcBorders>
                    <w:tl2br w:val="nil"/>
                    <w:tr2bl w:val="nil"/>
                  </w:tcBorders>
                  <w:noWrap w:val="0"/>
                  <w:tcMar>
                    <w:top w:w="15" w:type="dxa"/>
                    <w:left w:w="15" w:type="dxa"/>
                    <w:bottom w:w="0" w:type="dxa"/>
                    <w:right w:w="15" w:type="dxa"/>
                  </w:tcMar>
                  <w:vAlign w:val="center"/>
                </w:tcPr>
                <w:p w14:paraId="64F9546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57</w:t>
                  </w:r>
                </w:p>
              </w:tc>
              <w:tc>
                <w:tcPr>
                  <w:tcW w:w="1017" w:type="dxa"/>
                  <w:tcBorders>
                    <w:tl2br w:val="nil"/>
                    <w:tr2bl w:val="nil"/>
                  </w:tcBorders>
                  <w:noWrap w:val="0"/>
                  <w:tcMar>
                    <w:top w:w="15" w:type="dxa"/>
                    <w:left w:w="15" w:type="dxa"/>
                    <w:bottom w:w="0" w:type="dxa"/>
                    <w:right w:w="15" w:type="dxa"/>
                  </w:tcMar>
                  <w:vAlign w:val="center"/>
                </w:tcPr>
                <w:p w14:paraId="72BC0BCD">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34</w:t>
                  </w:r>
                </w:p>
              </w:tc>
            </w:tr>
            <w:tr w14:paraId="5FC56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2049" w:type="dxa"/>
                  <w:tcBorders>
                    <w:tl2br w:val="nil"/>
                    <w:tr2bl w:val="nil"/>
                  </w:tcBorders>
                  <w:noWrap w:val="0"/>
                  <w:tcMar>
                    <w:top w:w="15" w:type="dxa"/>
                    <w:left w:w="15" w:type="dxa"/>
                    <w:bottom w:w="0" w:type="dxa"/>
                    <w:right w:w="15" w:type="dxa"/>
                  </w:tcMar>
                  <w:vAlign w:val="center"/>
                </w:tcPr>
                <w:p w14:paraId="31336854">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标准值</w:t>
                  </w:r>
                </w:p>
              </w:tc>
              <w:tc>
                <w:tcPr>
                  <w:tcW w:w="1173" w:type="dxa"/>
                  <w:tcBorders>
                    <w:tl2br w:val="nil"/>
                    <w:tr2bl w:val="nil"/>
                  </w:tcBorders>
                  <w:noWrap w:val="0"/>
                  <w:tcMar>
                    <w:top w:w="15" w:type="dxa"/>
                    <w:left w:w="15" w:type="dxa"/>
                    <w:bottom w:w="0" w:type="dxa"/>
                    <w:right w:w="15" w:type="dxa"/>
                  </w:tcMar>
                  <w:vAlign w:val="center"/>
                </w:tcPr>
                <w:p w14:paraId="2938F6C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60</w:t>
                  </w:r>
                </w:p>
              </w:tc>
              <w:tc>
                <w:tcPr>
                  <w:tcW w:w="995" w:type="dxa"/>
                  <w:tcBorders>
                    <w:tl2br w:val="nil"/>
                    <w:tr2bl w:val="nil"/>
                  </w:tcBorders>
                  <w:noWrap w:val="0"/>
                  <w:tcMar>
                    <w:top w:w="15" w:type="dxa"/>
                    <w:left w:w="15" w:type="dxa"/>
                    <w:bottom w:w="0" w:type="dxa"/>
                    <w:right w:w="15" w:type="dxa"/>
                  </w:tcMar>
                  <w:vAlign w:val="center"/>
                </w:tcPr>
                <w:p w14:paraId="62CE9C0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92" w:type="dxa"/>
                  <w:tcBorders>
                    <w:tl2br w:val="nil"/>
                    <w:tr2bl w:val="nil"/>
                  </w:tcBorders>
                  <w:noWrap w:val="0"/>
                  <w:tcMar>
                    <w:top w:w="15" w:type="dxa"/>
                    <w:left w:w="15" w:type="dxa"/>
                    <w:bottom w:w="0" w:type="dxa"/>
                    <w:right w:w="15" w:type="dxa"/>
                  </w:tcMar>
                  <w:vAlign w:val="center"/>
                </w:tcPr>
                <w:p w14:paraId="5A8C4DB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160</w:t>
                  </w:r>
                </w:p>
              </w:tc>
              <w:tc>
                <w:tcPr>
                  <w:tcW w:w="1052" w:type="dxa"/>
                  <w:tcBorders>
                    <w:tl2br w:val="nil"/>
                    <w:tr2bl w:val="nil"/>
                  </w:tcBorders>
                  <w:noWrap w:val="0"/>
                  <w:tcMar>
                    <w:top w:w="15" w:type="dxa"/>
                    <w:left w:w="15" w:type="dxa"/>
                    <w:bottom w:w="0" w:type="dxa"/>
                    <w:right w:w="15" w:type="dxa"/>
                  </w:tcMar>
                  <w:vAlign w:val="center"/>
                </w:tcPr>
                <w:p w14:paraId="0DFEAF56">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19" w:type="dxa"/>
                  <w:tcBorders>
                    <w:tl2br w:val="nil"/>
                    <w:tr2bl w:val="nil"/>
                  </w:tcBorders>
                  <w:noWrap w:val="0"/>
                  <w:tcMar>
                    <w:top w:w="15" w:type="dxa"/>
                    <w:left w:w="15" w:type="dxa"/>
                    <w:bottom w:w="0" w:type="dxa"/>
                    <w:right w:w="15" w:type="dxa"/>
                  </w:tcMar>
                  <w:vAlign w:val="center"/>
                </w:tcPr>
                <w:p w14:paraId="473BA6E2">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70</w:t>
                  </w:r>
                </w:p>
              </w:tc>
              <w:tc>
                <w:tcPr>
                  <w:tcW w:w="1017" w:type="dxa"/>
                  <w:tcBorders>
                    <w:tl2br w:val="nil"/>
                    <w:tr2bl w:val="nil"/>
                  </w:tcBorders>
                  <w:noWrap w:val="0"/>
                  <w:tcMar>
                    <w:top w:w="15" w:type="dxa"/>
                    <w:left w:w="15" w:type="dxa"/>
                    <w:bottom w:w="0" w:type="dxa"/>
                    <w:right w:w="15" w:type="dxa"/>
                  </w:tcMar>
                  <w:vAlign w:val="center"/>
                </w:tcPr>
                <w:p w14:paraId="35081809">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35</w:t>
                  </w:r>
                </w:p>
              </w:tc>
            </w:tr>
            <w:tr w14:paraId="5AC42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8" w:hRule="atLeast"/>
                <w:jc w:val="center"/>
              </w:trPr>
              <w:tc>
                <w:tcPr>
                  <w:tcW w:w="2049" w:type="dxa"/>
                  <w:tcBorders>
                    <w:tl2br w:val="nil"/>
                    <w:tr2bl w:val="nil"/>
                  </w:tcBorders>
                  <w:noWrap w:val="0"/>
                  <w:tcMar>
                    <w:top w:w="15" w:type="dxa"/>
                    <w:left w:w="15" w:type="dxa"/>
                    <w:bottom w:w="0" w:type="dxa"/>
                    <w:right w:w="15" w:type="dxa"/>
                  </w:tcMar>
                  <w:vAlign w:val="center"/>
                </w:tcPr>
                <w:p w14:paraId="21C492D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达标情况</w:t>
                  </w:r>
                </w:p>
              </w:tc>
              <w:tc>
                <w:tcPr>
                  <w:tcW w:w="1173" w:type="dxa"/>
                  <w:tcBorders>
                    <w:tl2br w:val="nil"/>
                    <w:tr2bl w:val="nil"/>
                  </w:tcBorders>
                  <w:noWrap w:val="0"/>
                  <w:tcMar>
                    <w:top w:w="15" w:type="dxa"/>
                    <w:left w:w="15" w:type="dxa"/>
                    <w:bottom w:w="0" w:type="dxa"/>
                    <w:right w:w="15" w:type="dxa"/>
                  </w:tcMar>
                  <w:vAlign w:val="center"/>
                </w:tcPr>
                <w:p w14:paraId="5867397D">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995" w:type="dxa"/>
                  <w:tcBorders>
                    <w:tl2br w:val="nil"/>
                    <w:tr2bl w:val="nil"/>
                  </w:tcBorders>
                  <w:noWrap w:val="0"/>
                  <w:tcMar>
                    <w:top w:w="15" w:type="dxa"/>
                    <w:left w:w="15" w:type="dxa"/>
                    <w:bottom w:w="0" w:type="dxa"/>
                    <w:right w:w="15" w:type="dxa"/>
                  </w:tcMar>
                  <w:vAlign w:val="center"/>
                </w:tcPr>
                <w:p w14:paraId="0D32814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92" w:type="dxa"/>
                  <w:tcBorders>
                    <w:tl2br w:val="nil"/>
                    <w:tr2bl w:val="nil"/>
                  </w:tcBorders>
                  <w:noWrap w:val="0"/>
                  <w:tcMar>
                    <w:top w:w="15" w:type="dxa"/>
                    <w:left w:w="15" w:type="dxa"/>
                    <w:bottom w:w="0" w:type="dxa"/>
                    <w:right w:w="15" w:type="dxa"/>
                  </w:tcMar>
                  <w:vAlign w:val="center"/>
                </w:tcPr>
                <w:p w14:paraId="2F28DE78">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52" w:type="dxa"/>
                  <w:tcBorders>
                    <w:tl2br w:val="nil"/>
                    <w:tr2bl w:val="nil"/>
                  </w:tcBorders>
                  <w:noWrap w:val="0"/>
                  <w:tcMar>
                    <w:top w:w="15" w:type="dxa"/>
                    <w:left w:w="15" w:type="dxa"/>
                    <w:bottom w:w="0" w:type="dxa"/>
                    <w:right w:w="15" w:type="dxa"/>
                  </w:tcMar>
                  <w:vAlign w:val="center"/>
                </w:tcPr>
                <w:p w14:paraId="1A4D54C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19" w:type="dxa"/>
                  <w:tcBorders>
                    <w:tl2br w:val="nil"/>
                    <w:tr2bl w:val="nil"/>
                  </w:tcBorders>
                  <w:noWrap w:val="0"/>
                  <w:tcMar>
                    <w:top w:w="15" w:type="dxa"/>
                    <w:left w:w="15" w:type="dxa"/>
                    <w:bottom w:w="0" w:type="dxa"/>
                    <w:right w:w="15" w:type="dxa"/>
                  </w:tcMar>
                  <w:vAlign w:val="center"/>
                </w:tcPr>
                <w:p w14:paraId="40BB009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17" w:type="dxa"/>
                  <w:tcBorders>
                    <w:tl2br w:val="nil"/>
                    <w:tr2bl w:val="nil"/>
                  </w:tcBorders>
                  <w:noWrap w:val="0"/>
                  <w:tcMar>
                    <w:top w:w="15" w:type="dxa"/>
                    <w:left w:w="15" w:type="dxa"/>
                    <w:bottom w:w="0" w:type="dxa"/>
                    <w:right w:w="15" w:type="dxa"/>
                  </w:tcMar>
                  <w:vAlign w:val="center"/>
                </w:tcPr>
                <w:p w14:paraId="3CE9ED5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r>
          </w:tbl>
          <w:p w14:paraId="6C94EBEA">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由上表监测数据判定，芜湖市区域环境空气执行《环境空气质量标准》（GB3095-2012）中二类区标准，芜湖市为环境空气为“达标区”。根据该监测数据判定，项目所在区域为环境空气质量达标区域。</w:t>
            </w:r>
          </w:p>
          <w:p w14:paraId="0D18DA9B">
            <w:pPr>
              <w:widowControl/>
              <w:tabs>
                <w:tab w:val="left" w:pos="1418"/>
              </w:tabs>
              <w:spacing w:line="360" w:lineRule="auto"/>
              <w:ind w:firstLine="480" w:firstLineChars="200"/>
              <w:jc w:val="left"/>
              <w:rPr>
                <w:b/>
                <w:kern w:val="0"/>
                <w:sz w:val="24"/>
                <w:szCs w:val="20"/>
              </w:rPr>
            </w:pPr>
            <w:r>
              <w:rPr>
                <w:rFonts w:hint="eastAsia"/>
                <w:b w:val="0"/>
                <w:bCs/>
                <w:kern w:val="0"/>
                <w:sz w:val="24"/>
                <w:szCs w:val="20"/>
              </w:rPr>
              <w:t>本项目大气环境影响评价等级为三级，根据《环境影响评价技术导则大气环境(HI2.2-2018)规定，三级评价项目只调查项目所在区域环境质量达标情况，故本项目不再调查其他污染物环境质量现状。</w:t>
            </w:r>
          </w:p>
          <w:p w14:paraId="739786AD">
            <w:pPr>
              <w:widowControl/>
              <w:tabs>
                <w:tab w:val="left" w:pos="1418"/>
              </w:tabs>
              <w:spacing w:line="360" w:lineRule="auto"/>
              <w:ind w:firstLine="482" w:firstLineChars="200"/>
              <w:jc w:val="left"/>
              <w:rPr>
                <w:b/>
                <w:kern w:val="0"/>
                <w:sz w:val="24"/>
                <w:szCs w:val="20"/>
              </w:rPr>
            </w:pPr>
            <w:r>
              <w:rPr>
                <w:b/>
                <w:kern w:val="0"/>
                <w:sz w:val="24"/>
                <w:szCs w:val="20"/>
              </w:rPr>
              <w:t>2、地表水环境质量状况</w:t>
            </w:r>
          </w:p>
          <w:p w14:paraId="7927B2E1">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芜湖市2023年环境状况公报》所示，列入国家水质考核的10个地表水断面中，长江东西梁山、青弋江宝塔根、漳河澛港桥、黄浒河荻港、裕溪河裕溪口、青山河查湾、裕溪河三汊河、青山河三里埂、七星河乔木等9个断面水质年均值符合《地表水环境质量标准》（GB3838-2002）Ⅱ类标准，西河入裕溪河口断面水质年均值符合Ⅲ类标准，优良比例、达标率100%，区域地表水水质状况良好。</w:t>
            </w:r>
          </w:p>
          <w:p w14:paraId="5949F344">
            <w:pPr>
              <w:spacing w:line="360" w:lineRule="auto"/>
              <w:ind w:firstLine="480" w:firstLineChars="200"/>
              <w:rPr>
                <w:sz w:val="24"/>
              </w:rPr>
            </w:pPr>
            <w:r>
              <w:rPr>
                <w:rFonts w:hint="eastAsia"/>
                <w:sz w:val="24"/>
              </w:rPr>
              <w:t>本项目地所在区域污水由天门山处理厂收集处理后执行《城镇污水处理厂污染物排放标准》（GB18918-2002）表1中一级A标准排入长江芜湖段。根据上述资料，长江芜湖段水质现状符合国家《地表水环境质量标准》（GB3838-2002）III 类标准，地表水质量较好，水质达标。</w:t>
            </w:r>
          </w:p>
          <w:p w14:paraId="05064CFA">
            <w:pPr>
              <w:widowControl/>
              <w:tabs>
                <w:tab w:val="left" w:pos="1418"/>
              </w:tabs>
              <w:spacing w:line="360" w:lineRule="auto"/>
              <w:ind w:firstLine="602" w:firstLineChars="250"/>
              <w:jc w:val="left"/>
              <w:rPr>
                <w:b/>
                <w:kern w:val="0"/>
                <w:sz w:val="24"/>
              </w:rPr>
            </w:pPr>
            <w:r>
              <w:rPr>
                <w:b/>
                <w:kern w:val="0"/>
                <w:sz w:val="24"/>
              </w:rPr>
              <w:t>3</w:t>
            </w:r>
            <w:r>
              <w:rPr>
                <w:rFonts w:hint="eastAsia"/>
                <w:b/>
                <w:kern w:val="0"/>
                <w:sz w:val="24"/>
              </w:rPr>
              <w:t>、区域声环境状况</w:t>
            </w:r>
          </w:p>
          <w:p w14:paraId="5DC3BB0E">
            <w:pPr>
              <w:adjustRightInd w:val="0"/>
              <w:spacing w:line="360" w:lineRule="auto"/>
              <w:ind w:firstLine="480" w:firstLineChars="200"/>
              <w:textAlignment w:val="baseline"/>
              <w:rPr>
                <w:rFonts w:eastAsiaTheme="minorEastAsia"/>
                <w:bCs/>
                <w:sz w:val="24"/>
                <w:szCs w:val="21"/>
              </w:rPr>
            </w:pPr>
            <w:r>
              <w:rPr>
                <w:rFonts w:eastAsiaTheme="minorEastAsia"/>
                <w:bCs/>
                <w:sz w:val="24"/>
                <w:szCs w:val="21"/>
              </w:rPr>
              <w:t>根据《建设项目环境影响报告表编制技术指南（污染影响类）（试行）》中</w:t>
            </w:r>
            <w:r>
              <w:rPr>
                <w:rFonts w:ascii="宋体" w:hAnsi="宋体"/>
                <w:bCs/>
                <w:sz w:val="24"/>
                <w:szCs w:val="21"/>
              </w:rPr>
              <w:t>“</w:t>
            </w:r>
            <w:r>
              <w:rPr>
                <w:rFonts w:eastAsiaTheme="minorEastAsia"/>
                <w:bCs/>
                <w:sz w:val="24"/>
                <w:szCs w:val="21"/>
              </w:rPr>
              <w:t>区域环境质量</w:t>
            </w:r>
            <w:r>
              <w:rPr>
                <w:rFonts w:ascii="宋体" w:hAnsi="宋体"/>
                <w:bCs/>
                <w:sz w:val="24"/>
                <w:szCs w:val="21"/>
              </w:rPr>
              <w:t>”</w:t>
            </w:r>
            <w:r>
              <w:rPr>
                <w:rFonts w:eastAsiaTheme="minorEastAsia"/>
                <w:bCs/>
                <w:sz w:val="24"/>
                <w:szCs w:val="21"/>
              </w:rPr>
              <w:t>的</w:t>
            </w:r>
            <w:r>
              <w:rPr>
                <w:rFonts w:ascii="宋体" w:hAnsi="宋体"/>
                <w:bCs/>
                <w:sz w:val="24"/>
                <w:szCs w:val="21"/>
              </w:rPr>
              <w:t>“</w:t>
            </w:r>
            <w:r>
              <w:rPr>
                <w:rFonts w:eastAsiaTheme="minorEastAsia"/>
                <w:bCs/>
                <w:sz w:val="24"/>
                <w:szCs w:val="21"/>
              </w:rPr>
              <w:t>3、声环境—厂界外周边50米范围内存在声环境保护目标的建设项目，应监测保护目标声环境质量现状并评价达标情况。各点位应监测昼夜间噪声，监测时间不少于1天，项目夜间不生产则仅监测昼间噪声。</w:t>
            </w:r>
            <w:r>
              <w:rPr>
                <w:rFonts w:ascii="宋体" w:hAnsi="宋体"/>
                <w:bCs/>
                <w:sz w:val="24"/>
                <w:szCs w:val="21"/>
              </w:rPr>
              <w:t>”</w:t>
            </w:r>
            <w:r>
              <w:rPr>
                <w:rFonts w:eastAsiaTheme="minorEastAsia"/>
                <w:bCs/>
                <w:sz w:val="24"/>
                <w:szCs w:val="21"/>
              </w:rPr>
              <w:t>。</w:t>
            </w:r>
          </w:p>
          <w:p w14:paraId="38EBF6AE">
            <w:pPr>
              <w:adjustRightInd w:val="0"/>
              <w:spacing w:line="360" w:lineRule="auto"/>
              <w:ind w:firstLine="480" w:firstLineChars="200"/>
              <w:textAlignment w:val="baseline"/>
              <w:rPr>
                <w:rFonts w:eastAsiaTheme="minorEastAsia"/>
                <w:bCs/>
                <w:sz w:val="24"/>
                <w:szCs w:val="21"/>
              </w:rPr>
            </w:pPr>
            <w:r>
              <w:rPr>
                <w:rFonts w:eastAsiaTheme="minorEastAsia"/>
                <w:bCs/>
                <w:sz w:val="24"/>
                <w:szCs w:val="21"/>
              </w:rPr>
              <w:t>本项目厂界外周边50米范围内不存在声环境保护目标，故无需进行声现状监测。</w:t>
            </w:r>
          </w:p>
          <w:p w14:paraId="6449FA27">
            <w:pPr>
              <w:adjustRightInd w:val="0"/>
              <w:spacing w:line="360" w:lineRule="auto"/>
              <w:ind w:firstLine="482" w:firstLineChars="200"/>
              <w:textAlignment w:val="baseline"/>
              <w:rPr>
                <w:rFonts w:hint="eastAsia" w:eastAsiaTheme="minorEastAsia"/>
                <w:b/>
                <w:bCs w:val="0"/>
                <w:sz w:val="24"/>
                <w:szCs w:val="21"/>
              </w:rPr>
            </w:pPr>
            <w:r>
              <w:rPr>
                <w:rFonts w:hint="eastAsia" w:eastAsiaTheme="minorEastAsia"/>
                <w:b/>
                <w:bCs w:val="0"/>
                <w:sz w:val="24"/>
                <w:szCs w:val="21"/>
              </w:rPr>
              <w:t>4、生态环境质量</w:t>
            </w:r>
          </w:p>
          <w:p w14:paraId="5AA3852C">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本项目</w:t>
            </w:r>
            <w:r>
              <w:rPr>
                <w:rFonts w:hint="eastAsia" w:eastAsiaTheme="minorEastAsia"/>
                <w:bCs/>
                <w:sz w:val="24"/>
                <w:szCs w:val="21"/>
                <w:lang w:val="en-US" w:eastAsia="zh-CN"/>
              </w:rPr>
              <w:t>位于</w:t>
            </w:r>
            <w:r>
              <w:rPr>
                <w:rFonts w:hint="eastAsia" w:eastAsiaTheme="minorEastAsia"/>
                <w:bCs/>
                <w:sz w:val="24"/>
                <w:szCs w:val="21"/>
                <w:lang w:eastAsia="zh-CN"/>
              </w:rPr>
              <w:t>芜湖经济技术开发区龙山街道大桥镇红星路 41号综合楼一楼1号</w:t>
            </w:r>
            <w:r>
              <w:rPr>
                <w:rFonts w:hint="eastAsia" w:eastAsiaTheme="minorEastAsia"/>
                <w:bCs/>
                <w:sz w:val="24"/>
                <w:szCs w:val="21"/>
              </w:rPr>
              <w:t>，用地范围内无生态环境保护目标，故</w:t>
            </w:r>
            <w:r>
              <w:rPr>
                <w:rFonts w:hint="eastAsia" w:eastAsiaTheme="minorEastAsia"/>
                <w:bCs/>
                <w:sz w:val="24"/>
                <w:szCs w:val="21"/>
                <w:lang w:val="en-US" w:eastAsia="zh-CN"/>
              </w:rPr>
              <w:t>无</w:t>
            </w:r>
            <w:r>
              <w:rPr>
                <w:rFonts w:hint="eastAsia" w:eastAsiaTheme="minorEastAsia"/>
                <w:bCs/>
                <w:sz w:val="24"/>
                <w:szCs w:val="21"/>
              </w:rPr>
              <w:t>需进行生态现状调查。</w:t>
            </w:r>
          </w:p>
          <w:p w14:paraId="60B9850A">
            <w:pPr>
              <w:adjustRightInd w:val="0"/>
              <w:spacing w:line="360" w:lineRule="auto"/>
              <w:ind w:firstLine="482" w:firstLineChars="200"/>
              <w:textAlignment w:val="baseline"/>
              <w:rPr>
                <w:rFonts w:hint="eastAsia" w:eastAsiaTheme="minorEastAsia"/>
                <w:bCs/>
                <w:sz w:val="24"/>
                <w:szCs w:val="21"/>
              </w:rPr>
            </w:pPr>
            <w:r>
              <w:rPr>
                <w:rFonts w:hint="eastAsia" w:eastAsiaTheme="minorEastAsia"/>
                <w:b/>
                <w:bCs w:val="0"/>
                <w:sz w:val="24"/>
                <w:szCs w:val="21"/>
              </w:rPr>
              <w:t>5、电磁辐射环境质量</w:t>
            </w:r>
          </w:p>
          <w:p w14:paraId="1A5D1A76">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本项目属于[C2929]塑料零件及其他塑料制品制造，不属于广播电台、差转台、电视塔台、卫星地球上行站、雷达等电磁辐射类项目，无需开展电磁辐射现状监测与评价。</w:t>
            </w:r>
          </w:p>
          <w:p w14:paraId="0350FE42">
            <w:pPr>
              <w:adjustRightInd w:val="0"/>
              <w:spacing w:line="360" w:lineRule="auto"/>
              <w:ind w:firstLine="482" w:firstLineChars="200"/>
              <w:textAlignment w:val="baseline"/>
              <w:rPr>
                <w:rFonts w:hint="eastAsia" w:eastAsiaTheme="minorEastAsia"/>
                <w:b/>
                <w:bCs w:val="0"/>
                <w:sz w:val="24"/>
                <w:szCs w:val="21"/>
              </w:rPr>
            </w:pPr>
            <w:r>
              <w:rPr>
                <w:rFonts w:hint="eastAsia" w:eastAsiaTheme="minorEastAsia"/>
                <w:b/>
                <w:bCs w:val="0"/>
                <w:sz w:val="24"/>
                <w:szCs w:val="21"/>
              </w:rPr>
              <w:t>6、地下水、土壤环境质量</w:t>
            </w:r>
          </w:p>
          <w:p w14:paraId="33200FE3">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本项目位于芜湖经济技术开发区龙山街道大桥镇红星路 41号综合楼一楼1号，为工业用地，项目厂界外500米范围内无地下水集中式饮用水水源和热水、矿泉水、温泉等特殊地下水资源，无地下水环境保护目标。</w:t>
            </w:r>
          </w:p>
        </w:tc>
      </w:tr>
      <w:tr w14:paraId="3CACC0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534" w:type="dxa"/>
            <w:vAlign w:val="center"/>
          </w:tcPr>
          <w:p w14:paraId="2FD87CAC">
            <w:pPr>
              <w:autoSpaceDE w:val="0"/>
              <w:autoSpaceDN w:val="0"/>
              <w:adjustRightInd w:val="0"/>
              <w:snapToGrid w:val="0"/>
              <w:jc w:val="center"/>
              <w:rPr>
                <w:rFonts w:cs="宋体"/>
                <w:kern w:val="0"/>
                <w:sz w:val="24"/>
              </w:rPr>
            </w:pPr>
            <w:r>
              <w:rPr>
                <w:rFonts w:hint="eastAsia" w:cs="宋体"/>
                <w:kern w:val="0"/>
                <w:sz w:val="24"/>
              </w:rPr>
              <w:t>环境</w:t>
            </w:r>
          </w:p>
          <w:p w14:paraId="1F339566">
            <w:pPr>
              <w:autoSpaceDE w:val="0"/>
              <w:autoSpaceDN w:val="0"/>
              <w:adjustRightInd w:val="0"/>
              <w:snapToGrid w:val="0"/>
              <w:jc w:val="center"/>
              <w:rPr>
                <w:rFonts w:cs="宋体"/>
                <w:kern w:val="0"/>
                <w:sz w:val="24"/>
              </w:rPr>
            </w:pPr>
            <w:r>
              <w:rPr>
                <w:rFonts w:hint="eastAsia" w:cs="宋体"/>
                <w:kern w:val="0"/>
                <w:sz w:val="24"/>
              </w:rPr>
              <w:t>保护</w:t>
            </w:r>
          </w:p>
          <w:p w14:paraId="18F72567">
            <w:pPr>
              <w:autoSpaceDE w:val="0"/>
              <w:autoSpaceDN w:val="0"/>
              <w:adjustRightInd w:val="0"/>
              <w:snapToGrid w:val="0"/>
              <w:jc w:val="center"/>
              <w:rPr>
                <w:rFonts w:cs="宋体"/>
                <w:kern w:val="0"/>
                <w:sz w:val="24"/>
              </w:rPr>
            </w:pPr>
            <w:r>
              <w:rPr>
                <w:rFonts w:hint="eastAsia" w:cs="宋体"/>
                <w:kern w:val="0"/>
                <w:sz w:val="24"/>
              </w:rPr>
              <w:t>目标</w:t>
            </w:r>
          </w:p>
        </w:tc>
        <w:tc>
          <w:tcPr>
            <w:tcW w:w="8527" w:type="dxa"/>
            <w:vAlign w:val="center"/>
          </w:tcPr>
          <w:p w14:paraId="5C628E7F">
            <w:pPr>
              <w:keepNext w:val="0"/>
              <w:keepLines w:val="0"/>
              <w:pageBreakBefore w:val="0"/>
              <w:widowControl/>
              <w:kinsoku/>
              <w:wordWrap/>
              <w:overflowPunct/>
              <w:topLinePunct w:val="0"/>
              <w:autoSpaceDE/>
              <w:autoSpaceDN/>
              <w:bidi w:val="0"/>
              <w:adjustRightInd/>
              <w:snapToGrid/>
              <w:spacing w:line="360" w:lineRule="auto"/>
              <w:ind w:firstLine="472" w:firstLineChars="197"/>
              <w:jc w:val="left"/>
              <w:textAlignment w:val="auto"/>
              <w:rPr>
                <w:snapToGrid w:val="0"/>
                <w:kern w:val="0"/>
                <w:sz w:val="24"/>
                <w:szCs w:val="20"/>
              </w:rPr>
            </w:pPr>
            <w:r>
              <w:rPr>
                <w:rFonts w:hint="eastAsia"/>
                <w:snapToGrid w:val="0"/>
                <w:kern w:val="0"/>
                <w:sz w:val="24"/>
                <w:szCs w:val="20"/>
              </w:rPr>
              <w:t>环境空气：项目厂界外500米范围内</w:t>
            </w:r>
            <w:r>
              <w:rPr>
                <w:rFonts w:hint="eastAsia"/>
                <w:snapToGrid w:val="0"/>
                <w:kern w:val="0"/>
                <w:sz w:val="24"/>
                <w:szCs w:val="20"/>
                <w:lang w:val="en-US" w:eastAsia="zh-CN"/>
              </w:rPr>
              <w:t>具体</w:t>
            </w:r>
            <w:r>
              <w:rPr>
                <w:rFonts w:hint="eastAsia"/>
                <w:snapToGrid w:val="0"/>
                <w:kern w:val="0"/>
                <w:sz w:val="24"/>
                <w:szCs w:val="20"/>
              </w:rPr>
              <w:t>环境空气保护目标</w:t>
            </w:r>
            <w:r>
              <w:rPr>
                <w:rFonts w:hint="eastAsia"/>
                <w:snapToGrid w:val="0"/>
                <w:kern w:val="0"/>
                <w:sz w:val="24"/>
                <w:szCs w:val="20"/>
                <w:lang w:val="en-US" w:eastAsia="zh-CN"/>
              </w:rPr>
              <w:t>见下表</w:t>
            </w:r>
            <w:r>
              <w:rPr>
                <w:rFonts w:hint="eastAsia"/>
                <w:snapToGrid w:val="0"/>
                <w:kern w:val="0"/>
                <w:sz w:val="24"/>
                <w:szCs w:val="20"/>
              </w:rPr>
              <w:t>。</w:t>
            </w:r>
          </w:p>
          <w:p w14:paraId="4C01932D">
            <w:pPr>
              <w:keepNext w:val="0"/>
              <w:keepLines w:val="0"/>
              <w:pageBreakBefore w:val="0"/>
              <w:widowControl/>
              <w:kinsoku/>
              <w:wordWrap/>
              <w:overflowPunct/>
              <w:topLinePunct w:val="0"/>
              <w:autoSpaceDE/>
              <w:autoSpaceDN/>
              <w:bidi w:val="0"/>
              <w:adjustRightInd/>
              <w:snapToGrid/>
              <w:spacing w:line="360" w:lineRule="auto"/>
              <w:ind w:firstLine="472" w:firstLineChars="197"/>
              <w:jc w:val="left"/>
              <w:textAlignment w:val="auto"/>
              <w:rPr>
                <w:snapToGrid w:val="0"/>
                <w:kern w:val="0"/>
                <w:sz w:val="24"/>
                <w:szCs w:val="20"/>
              </w:rPr>
            </w:pPr>
            <w:r>
              <w:rPr>
                <w:snapToGrid w:val="0"/>
                <w:kern w:val="0"/>
                <w:sz w:val="24"/>
                <w:szCs w:val="20"/>
              </w:rPr>
              <w:t>地下水环境：项目厂界外500米范围内无地下水集中式饮用水水源和热水、矿泉水、温泉等特殊地表下水资源的存在情况。</w:t>
            </w:r>
          </w:p>
          <w:p w14:paraId="7377F48B">
            <w:pPr>
              <w:keepNext w:val="0"/>
              <w:keepLines w:val="0"/>
              <w:pageBreakBefore w:val="0"/>
              <w:widowControl/>
              <w:kinsoku/>
              <w:wordWrap/>
              <w:overflowPunct/>
              <w:topLinePunct w:val="0"/>
              <w:autoSpaceDE/>
              <w:autoSpaceDN/>
              <w:bidi w:val="0"/>
              <w:adjustRightInd/>
              <w:snapToGrid/>
              <w:spacing w:line="360" w:lineRule="auto"/>
              <w:ind w:firstLine="472" w:firstLineChars="197"/>
              <w:jc w:val="left"/>
              <w:textAlignment w:val="auto"/>
              <w:rPr>
                <w:snapToGrid w:val="0"/>
                <w:kern w:val="0"/>
                <w:sz w:val="24"/>
                <w:szCs w:val="20"/>
              </w:rPr>
            </w:pPr>
            <w:r>
              <w:rPr>
                <w:rFonts w:hint="eastAsia"/>
                <w:snapToGrid w:val="0"/>
                <w:kern w:val="0"/>
                <w:sz w:val="24"/>
                <w:szCs w:val="20"/>
              </w:rPr>
              <w:t>声环境：厂界外50米范围内无声环境保护目标。</w:t>
            </w:r>
          </w:p>
          <w:p w14:paraId="1896D8D3">
            <w:pPr>
              <w:wordWrap w:val="0"/>
              <w:topLinePunct/>
              <w:adjustRightInd w:val="0"/>
              <w:snapToGrid w:val="0"/>
              <w:spacing w:line="360" w:lineRule="auto"/>
              <w:ind w:firstLine="480" w:firstLineChars="200"/>
            </w:pPr>
            <w:r>
              <w:rPr>
                <w:rFonts w:hint="eastAsia"/>
                <w:b w:val="0"/>
                <w:bCs/>
                <w:kern w:val="0"/>
                <w:sz w:val="24"/>
                <w:lang w:val="en-US" w:eastAsia="zh-CN"/>
              </w:rPr>
              <w:t>生态环境：</w:t>
            </w:r>
            <w:r>
              <w:rPr>
                <w:kern w:val="0"/>
                <w:sz w:val="24"/>
              </w:rPr>
              <w:t>本项目在</w:t>
            </w:r>
            <w:r>
              <w:rPr>
                <w:rFonts w:hint="eastAsia"/>
                <w:kern w:val="0"/>
                <w:sz w:val="24"/>
                <w:lang w:eastAsia="zh-CN"/>
              </w:rPr>
              <w:t>芜湖经济技术开发区龙山街道大桥镇红星路 41号综合楼一楼1号</w:t>
            </w:r>
            <w:r>
              <w:rPr>
                <w:kern w:val="0"/>
                <w:sz w:val="24"/>
              </w:rPr>
              <w:t>，用地范围内无生态环境保护目标，不涉及生态环境保护目标。</w:t>
            </w:r>
          </w:p>
          <w:p w14:paraId="5BED7879">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rFonts w:hint="eastAsia"/>
                <w:b/>
                <w:kern w:val="0"/>
                <w:sz w:val="24"/>
              </w:rPr>
              <w:t>表3-</w:t>
            </w:r>
            <w:r>
              <w:rPr>
                <w:rFonts w:hint="eastAsia"/>
                <w:b/>
                <w:kern w:val="0"/>
                <w:sz w:val="24"/>
                <w:lang w:val="en-US" w:eastAsia="zh-CN"/>
              </w:rPr>
              <w:t>2</w:t>
            </w:r>
            <w:r>
              <w:rPr>
                <w:b/>
                <w:kern w:val="0"/>
                <w:sz w:val="24"/>
              </w:rPr>
              <w:t xml:space="preserve">  </w:t>
            </w:r>
            <w:r>
              <w:rPr>
                <w:rFonts w:hint="eastAsia"/>
                <w:b/>
                <w:kern w:val="0"/>
                <w:sz w:val="24"/>
              </w:rPr>
              <w:t>主要环境保护目标</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76"/>
              <w:gridCol w:w="1622"/>
              <w:gridCol w:w="652"/>
              <w:gridCol w:w="753"/>
              <w:gridCol w:w="1264"/>
              <w:gridCol w:w="818"/>
              <w:gridCol w:w="1138"/>
              <w:gridCol w:w="1188"/>
            </w:tblGrid>
            <w:tr w14:paraId="68175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2" w:hRule="atLeast"/>
              </w:trPr>
              <w:tc>
                <w:tcPr>
                  <w:tcW w:w="527" w:type="pct"/>
                  <w:vMerge w:val="restart"/>
                  <w:tcBorders>
                    <w:tl2br w:val="nil"/>
                    <w:tr2bl w:val="nil"/>
                  </w:tcBorders>
                  <w:vAlign w:val="center"/>
                </w:tcPr>
                <w:p w14:paraId="40339D16">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环境</w:t>
                  </w:r>
                </w:p>
                <w:p w14:paraId="171E3ABF">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要素</w:t>
                  </w:r>
                </w:p>
              </w:tc>
              <w:tc>
                <w:tcPr>
                  <w:tcW w:w="975" w:type="pct"/>
                  <w:vMerge w:val="restart"/>
                  <w:tcBorders>
                    <w:tl2br w:val="nil"/>
                    <w:tr2bl w:val="nil"/>
                  </w:tcBorders>
                  <w:vAlign w:val="center"/>
                </w:tcPr>
                <w:p w14:paraId="7DC07E7C">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名称</w:t>
                  </w:r>
                </w:p>
              </w:tc>
              <w:tc>
                <w:tcPr>
                  <w:tcW w:w="845" w:type="pct"/>
                  <w:gridSpan w:val="2"/>
                  <w:tcBorders>
                    <w:tl2br w:val="nil"/>
                    <w:tr2bl w:val="nil"/>
                  </w:tcBorders>
                  <w:vAlign w:val="center"/>
                </w:tcPr>
                <w:p w14:paraId="5CC157BA">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坐标（m）</w:t>
                  </w:r>
                </w:p>
              </w:tc>
              <w:tc>
                <w:tcPr>
                  <w:tcW w:w="760" w:type="pct"/>
                  <w:vMerge w:val="restart"/>
                  <w:tcBorders>
                    <w:tl2br w:val="nil"/>
                    <w:tr2bl w:val="nil"/>
                  </w:tcBorders>
                  <w:vAlign w:val="center"/>
                </w:tcPr>
                <w:p w14:paraId="004F5E01">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保护对象</w:t>
                  </w:r>
                </w:p>
              </w:tc>
              <w:tc>
                <w:tcPr>
                  <w:tcW w:w="492" w:type="pct"/>
                  <w:vMerge w:val="restart"/>
                  <w:tcBorders>
                    <w:tl2br w:val="nil"/>
                    <w:tr2bl w:val="nil"/>
                  </w:tcBorders>
                  <w:vAlign w:val="center"/>
                </w:tcPr>
                <w:p w14:paraId="7FD6014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相对厂</w:t>
                  </w:r>
                </w:p>
                <w:p w14:paraId="4FFB4A5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址方位</w:t>
                  </w:r>
                </w:p>
              </w:tc>
              <w:tc>
                <w:tcPr>
                  <w:tcW w:w="684" w:type="pct"/>
                  <w:vMerge w:val="restart"/>
                  <w:tcBorders>
                    <w:tl2br w:val="nil"/>
                    <w:tr2bl w:val="nil"/>
                  </w:tcBorders>
                  <w:vAlign w:val="center"/>
                </w:tcPr>
                <w:p w14:paraId="765F1210">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相对厂界</w:t>
                  </w:r>
                </w:p>
                <w:p w14:paraId="3844EDB1">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距离</w:t>
                  </w:r>
                </w:p>
              </w:tc>
              <w:tc>
                <w:tcPr>
                  <w:tcW w:w="714" w:type="pct"/>
                  <w:vMerge w:val="restart"/>
                  <w:tcBorders>
                    <w:tl2br w:val="nil"/>
                    <w:tr2bl w:val="nil"/>
                  </w:tcBorders>
                  <w:vAlign w:val="center"/>
                </w:tcPr>
                <w:p w14:paraId="475F7F2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环境</w:t>
                  </w:r>
                </w:p>
                <w:p w14:paraId="359D2168">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功能区</w:t>
                  </w:r>
                </w:p>
              </w:tc>
            </w:tr>
            <w:tr w14:paraId="060B1A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527" w:type="pct"/>
                  <w:vMerge w:val="continue"/>
                  <w:tcBorders>
                    <w:tl2br w:val="nil"/>
                    <w:tr2bl w:val="nil"/>
                  </w:tcBorders>
                  <w:vAlign w:val="center"/>
                </w:tcPr>
                <w:p w14:paraId="6233C986">
                  <w:pPr>
                    <w:adjustRightInd w:val="0"/>
                    <w:snapToGrid w:val="0"/>
                    <w:jc w:val="center"/>
                    <w:rPr>
                      <w:rFonts w:hint="default" w:ascii="Times New Roman" w:hAnsi="Times New Roman" w:cs="Times New Roman"/>
                      <w:b/>
                      <w:szCs w:val="21"/>
                    </w:rPr>
                  </w:pPr>
                </w:p>
              </w:tc>
              <w:tc>
                <w:tcPr>
                  <w:tcW w:w="975" w:type="pct"/>
                  <w:vMerge w:val="continue"/>
                  <w:tcBorders>
                    <w:tl2br w:val="nil"/>
                    <w:tr2bl w:val="nil"/>
                  </w:tcBorders>
                  <w:vAlign w:val="center"/>
                </w:tcPr>
                <w:p w14:paraId="77C6FE9B">
                  <w:pPr>
                    <w:adjustRightInd w:val="0"/>
                    <w:snapToGrid w:val="0"/>
                    <w:jc w:val="center"/>
                    <w:rPr>
                      <w:rFonts w:hint="default" w:ascii="Times New Roman" w:hAnsi="Times New Roman" w:cs="Times New Roman"/>
                      <w:b/>
                      <w:szCs w:val="21"/>
                    </w:rPr>
                  </w:pPr>
                </w:p>
              </w:tc>
              <w:tc>
                <w:tcPr>
                  <w:tcW w:w="392" w:type="pct"/>
                  <w:tcBorders>
                    <w:tl2br w:val="nil"/>
                    <w:tr2bl w:val="nil"/>
                  </w:tcBorders>
                  <w:vAlign w:val="center"/>
                </w:tcPr>
                <w:p w14:paraId="282273DA">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X</w:t>
                  </w:r>
                </w:p>
              </w:tc>
              <w:tc>
                <w:tcPr>
                  <w:tcW w:w="453" w:type="pct"/>
                  <w:tcBorders>
                    <w:tl2br w:val="nil"/>
                    <w:tr2bl w:val="nil"/>
                  </w:tcBorders>
                  <w:vAlign w:val="center"/>
                </w:tcPr>
                <w:p w14:paraId="4CC32944">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Y</w:t>
                  </w:r>
                </w:p>
              </w:tc>
              <w:tc>
                <w:tcPr>
                  <w:tcW w:w="760" w:type="pct"/>
                  <w:vMerge w:val="continue"/>
                  <w:tcBorders>
                    <w:tl2br w:val="nil"/>
                    <w:tr2bl w:val="nil"/>
                  </w:tcBorders>
                  <w:vAlign w:val="center"/>
                </w:tcPr>
                <w:p w14:paraId="761302F2">
                  <w:pPr>
                    <w:adjustRightInd w:val="0"/>
                    <w:snapToGrid w:val="0"/>
                    <w:jc w:val="center"/>
                    <w:rPr>
                      <w:rFonts w:hint="default" w:ascii="Times New Roman" w:hAnsi="Times New Roman" w:cs="Times New Roman"/>
                      <w:b/>
                      <w:szCs w:val="21"/>
                    </w:rPr>
                  </w:pPr>
                </w:p>
              </w:tc>
              <w:tc>
                <w:tcPr>
                  <w:tcW w:w="492" w:type="pct"/>
                  <w:vMerge w:val="continue"/>
                  <w:tcBorders>
                    <w:tl2br w:val="nil"/>
                    <w:tr2bl w:val="nil"/>
                  </w:tcBorders>
                  <w:vAlign w:val="center"/>
                </w:tcPr>
                <w:p w14:paraId="5264F7AC">
                  <w:pPr>
                    <w:adjustRightInd w:val="0"/>
                    <w:snapToGrid w:val="0"/>
                    <w:jc w:val="center"/>
                    <w:rPr>
                      <w:rFonts w:hint="default" w:ascii="Times New Roman" w:hAnsi="Times New Roman" w:cs="Times New Roman"/>
                      <w:b/>
                      <w:szCs w:val="21"/>
                    </w:rPr>
                  </w:pPr>
                </w:p>
              </w:tc>
              <w:tc>
                <w:tcPr>
                  <w:tcW w:w="684" w:type="pct"/>
                  <w:vMerge w:val="continue"/>
                  <w:tcBorders>
                    <w:tl2br w:val="nil"/>
                    <w:tr2bl w:val="nil"/>
                  </w:tcBorders>
                  <w:vAlign w:val="center"/>
                </w:tcPr>
                <w:p w14:paraId="067E61C5">
                  <w:pPr>
                    <w:adjustRightInd w:val="0"/>
                    <w:snapToGrid w:val="0"/>
                    <w:jc w:val="center"/>
                    <w:rPr>
                      <w:rFonts w:hint="default" w:ascii="Times New Roman" w:hAnsi="Times New Roman" w:cs="Times New Roman"/>
                      <w:b/>
                      <w:szCs w:val="21"/>
                    </w:rPr>
                  </w:pPr>
                </w:p>
              </w:tc>
              <w:tc>
                <w:tcPr>
                  <w:tcW w:w="714" w:type="pct"/>
                  <w:vMerge w:val="continue"/>
                  <w:tcBorders>
                    <w:tl2br w:val="nil"/>
                    <w:tr2bl w:val="nil"/>
                  </w:tcBorders>
                  <w:vAlign w:val="center"/>
                </w:tcPr>
                <w:p w14:paraId="397985B4">
                  <w:pPr>
                    <w:adjustRightInd w:val="0"/>
                    <w:snapToGrid w:val="0"/>
                    <w:jc w:val="center"/>
                    <w:rPr>
                      <w:rFonts w:hint="default" w:ascii="Times New Roman" w:hAnsi="Times New Roman" w:cs="Times New Roman"/>
                      <w:b/>
                      <w:szCs w:val="21"/>
                    </w:rPr>
                  </w:pPr>
                </w:p>
              </w:tc>
            </w:tr>
            <w:tr w14:paraId="529CF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2" w:hRule="atLeast"/>
              </w:trPr>
              <w:tc>
                <w:tcPr>
                  <w:tcW w:w="527" w:type="pct"/>
                  <w:vMerge w:val="restart"/>
                  <w:tcBorders>
                    <w:tl2br w:val="nil"/>
                    <w:tr2bl w:val="nil"/>
                  </w:tcBorders>
                  <w:vAlign w:val="center"/>
                </w:tcPr>
                <w:p w14:paraId="7309CDA8">
                  <w:pPr>
                    <w:spacing w:line="300" w:lineRule="exact"/>
                    <w:jc w:val="center"/>
                    <w:rPr>
                      <w:rFonts w:hint="default" w:ascii="Times New Roman" w:hAnsi="Times New Roman" w:cs="Times New Roman"/>
                      <w:szCs w:val="21"/>
                    </w:rPr>
                  </w:pPr>
                  <w:r>
                    <w:rPr>
                      <w:rFonts w:hint="default" w:ascii="Times New Roman" w:hAnsi="Times New Roman" w:cs="Times New Roman"/>
                      <w:szCs w:val="21"/>
                    </w:rPr>
                    <w:t>环境</w:t>
                  </w:r>
                </w:p>
                <w:p w14:paraId="5A239C31">
                  <w:pPr>
                    <w:spacing w:line="300" w:lineRule="exact"/>
                    <w:jc w:val="center"/>
                    <w:rPr>
                      <w:rFonts w:hint="default" w:ascii="Times New Roman" w:hAnsi="Times New Roman" w:cs="Times New Roman"/>
                      <w:szCs w:val="21"/>
                    </w:rPr>
                  </w:pPr>
                  <w:r>
                    <w:rPr>
                      <w:rFonts w:hint="default" w:ascii="Times New Roman" w:hAnsi="Times New Roman" w:cs="Times New Roman"/>
                      <w:szCs w:val="21"/>
                    </w:rPr>
                    <w:t>空气</w:t>
                  </w:r>
                </w:p>
              </w:tc>
              <w:tc>
                <w:tcPr>
                  <w:tcW w:w="975" w:type="pct"/>
                  <w:tcBorders>
                    <w:tl2br w:val="nil"/>
                    <w:tr2bl w:val="nil"/>
                  </w:tcBorders>
                  <w:vAlign w:val="center"/>
                </w:tcPr>
                <w:p w14:paraId="232BEEE0">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宜居</w:t>
                  </w:r>
                  <w:r>
                    <w:rPr>
                      <w:rFonts w:hint="eastAsia" w:ascii="微软雅黑" w:hAnsi="微软雅黑" w:eastAsia="微软雅黑" w:cs="微软雅黑"/>
                      <w:szCs w:val="21"/>
                      <w:lang w:val="en-US" w:eastAsia="zh-CN"/>
                    </w:rPr>
                    <w:t>·</w:t>
                  </w:r>
                  <w:r>
                    <w:rPr>
                      <w:rFonts w:hint="eastAsia" w:cs="Times New Roman"/>
                      <w:szCs w:val="21"/>
                      <w:lang w:val="en-US" w:eastAsia="zh-CN"/>
                    </w:rPr>
                    <w:t>香城湾</w:t>
                  </w:r>
                </w:p>
              </w:tc>
              <w:tc>
                <w:tcPr>
                  <w:tcW w:w="392" w:type="pct"/>
                  <w:tcBorders>
                    <w:tl2br w:val="nil"/>
                    <w:tr2bl w:val="nil"/>
                  </w:tcBorders>
                  <w:vAlign w:val="center"/>
                </w:tcPr>
                <w:p w14:paraId="6777D081">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-207</w:t>
                  </w:r>
                </w:p>
              </w:tc>
              <w:tc>
                <w:tcPr>
                  <w:tcW w:w="453" w:type="pct"/>
                  <w:tcBorders>
                    <w:tl2br w:val="nil"/>
                    <w:tr2bl w:val="nil"/>
                  </w:tcBorders>
                  <w:vAlign w:val="center"/>
                </w:tcPr>
                <w:p w14:paraId="7A86C97D">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-411</w:t>
                  </w:r>
                </w:p>
              </w:tc>
              <w:tc>
                <w:tcPr>
                  <w:tcW w:w="760" w:type="pct"/>
                  <w:tcBorders>
                    <w:tl2br w:val="nil"/>
                    <w:tr2bl w:val="nil"/>
                  </w:tcBorders>
                  <w:vAlign w:val="center"/>
                </w:tcPr>
                <w:p w14:paraId="1FECBE71">
                  <w:pPr>
                    <w:snapToGrid w:val="0"/>
                    <w:jc w:val="center"/>
                    <w:rPr>
                      <w:rFonts w:hint="default" w:ascii="Times New Roman" w:hAnsi="Times New Roman" w:eastAsia="宋体" w:cs="Times New Roman"/>
                      <w:szCs w:val="21"/>
                      <w:lang w:val="en-US" w:eastAsia="zh-CN"/>
                    </w:rPr>
                  </w:pPr>
                  <w:r>
                    <w:rPr>
                      <w:rFonts w:hint="eastAsia" w:cs="Times New Roman"/>
                      <w:szCs w:val="21"/>
                      <w:lang w:val="en-US" w:eastAsia="zh-CN"/>
                    </w:rPr>
                    <w:t>居民</w:t>
                  </w:r>
                </w:p>
              </w:tc>
              <w:tc>
                <w:tcPr>
                  <w:tcW w:w="492" w:type="pct"/>
                  <w:tcBorders>
                    <w:tl2br w:val="nil"/>
                    <w:tr2bl w:val="nil"/>
                  </w:tcBorders>
                  <w:vAlign w:val="center"/>
                </w:tcPr>
                <w:p w14:paraId="5852BC9B">
                  <w:pPr>
                    <w:spacing w:line="300" w:lineRule="exact"/>
                    <w:jc w:val="center"/>
                    <w:rPr>
                      <w:rFonts w:hint="eastAsia" w:ascii="Times New Roman" w:hAnsi="Times New Roman" w:eastAsia="宋体" w:cs="Times New Roman"/>
                      <w:szCs w:val="21"/>
                      <w:lang w:eastAsia="zh-CN"/>
                    </w:rPr>
                  </w:pPr>
                  <w:r>
                    <w:rPr>
                      <w:rFonts w:hint="eastAsia" w:cs="Times New Roman"/>
                      <w:szCs w:val="21"/>
                      <w:lang w:val="en-US" w:eastAsia="zh-CN"/>
                    </w:rPr>
                    <w:t>西南</w:t>
                  </w:r>
                </w:p>
              </w:tc>
              <w:tc>
                <w:tcPr>
                  <w:tcW w:w="684" w:type="pct"/>
                  <w:tcBorders>
                    <w:tl2br w:val="nil"/>
                    <w:tr2bl w:val="nil"/>
                  </w:tcBorders>
                  <w:vAlign w:val="center"/>
                </w:tcPr>
                <w:p w14:paraId="791A720D">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420m</w:t>
                  </w:r>
                </w:p>
              </w:tc>
              <w:tc>
                <w:tcPr>
                  <w:tcW w:w="714" w:type="pct"/>
                  <w:tcBorders>
                    <w:tl2br w:val="nil"/>
                    <w:tr2bl w:val="nil"/>
                  </w:tcBorders>
                  <w:vAlign w:val="center"/>
                </w:tcPr>
                <w:p w14:paraId="06966492">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二类</w:t>
                  </w:r>
                </w:p>
              </w:tc>
            </w:tr>
            <w:tr w14:paraId="3BD88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2" w:hRule="atLeast"/>
              </w:trPr>
              <w:tc>
                <w:tcPr>
                  <w:tcW w:w="527" w:type="pct"/>
                  <w:vMerge w:val="continue"/>
                  <w:tcBorders>
                    <w:tl2br w:val="nil"/>
                    <w:tr2bl w:val="nil"/>
                  </w:tcBorders>
                  <w:vAlign w:val="center"/>
                </w:tcPr>
                <w:p w14:paraId="099C1E33">
                  <w:pPr>
                    <w:spacing w:line="300" w:lineRule="exact"/>
                    <w:jc w:val="center"/>
                    <w:rPr>
                      <w:rFonts w:hint="default" w:ascii="Times New Roman" w:hAnsi="Times New Roman" w:cs="Times New Roman"/>
                      <w:szCs w:val="21"/>
                    </w:rPr>
                  </w:pPr>
                </w:p>
              </w:tc>
              <w:tc>
                <w:tcPr>
                  <w:tcW w:w="1622" w:type="dxa"/>
                  <w:tcBorders>
                    <w:tl2br w:val="nil"/>
                    <w:tr2bl w:val="nil"/>
                  </w:tcBorders>
                  <w:vAlign w:val="center"/>
                </w:tcPr>
                <w:p w14:paraId="670AD6BE">
                  <w:pPr>
                    <w:spacing w:line="300" w:lineRule="exact"/>
                    <w:jc w:val="center"/>
                    <w:rPr>
                      <w:rFonts w:hint="eastAsia" w:cs="Times New Roman"/>
                      <w:szCs w:val="21"/>
                      <w:lang w:val="en-US" w:eastAsia="zh-CN"/>
                    </w:rPr>
                  </w:pPr>
                  <w:r>
                    <w:rPr>
                      <w:rFonts w:hint="eastAsia" w:ascii="Times New Roman" w:hAnsi="Times New Roman" w:cs="Times New Roman"/>
                      <w:szCs w:val="21"/>
                      <w:lang w:val="en-US" w:eastAsia="zh-CN"/>
                    </w:rPr>
                    <w:t>龙山新苑</w:t>
                  </w:r>
                </w:p>
              </w:tc>
              <w:tc>
                <w:tcPr>
                  <w:tcW w:w="652" w:type="dxa"/>
                  <w:tcBorders>
                    <w:tl2br w:val="nil"/>
                    <w:tr2bl w:val="nil"/>
                  </w:tcBorders>
                  <w:vAlign w:val="center"/>
                </w:tcPr>
                <w:p w14:paraId="54CC7B99">
                  <w:pPr>
                    <w:spacing w:line="300" w:lineRule="exact"/>
                    <w:jc w:val="center"/>
                    <w:rPr>
                      <w:rFonts w:hint="eastAsia" w:cs="Times New Roman"/>
                      <w:szCs w:val="21"/>
                      <w:lang w:val="en-US" w:eastAsia="zh-CN"/>
                    </w:rPr>
                  </w:pPr>
                  <w:r>
                    <w:rPr>
                      <w:rFonts w:hint="eastAsia" w:ascii="Times New Roman" w:hAnsi="Times New Roman" w:cs="Times New Roman"/>
                      <w:szCs w:val="21"/>
                      <w:lang w:val="en-US" w:eastAsia="zh-CN"/>
                    </w:rPr>
                    <w:t>0</w:t>
                  </w:r>
                </w:p>
              </w:tc>
              <w:tc>
                <w:tcPr>
                  <w:tcW w:w="753" w:type="dxa"/>
                  <w:tcBorders>
                    <w:tl2br w:val="nil"/>
                    <w:tr2bl w:val="nil"/>
                  </w:tcBorders>
                  <w:vAlign w:val="center"/>
                </w:tcPr>
                <w:p w14:paraId="4C3C7DC4">
                  <w:pPr>
                    <w:spacing w:line="300" w:lineRule="exact"/>
                    <w:jc w:val="center"/>
                    <w:rPr>
                      <w:rFonts w:hint="eastAsia" w:cs="Times New Roman"/>
                      <w:szCs w:val="21"/>
                      <w:lang w:val="en-US" w:eastAsia="zh-CN"/>
                    </w:rPr>
                  </w:pPr>
                  <w:r>
                    <w:rPr>
                      <w:rFonts w:hint="eastAsia" w:ascii="Times New Roman" w:hAnsi="Times New Roman" w:cs="Times New Roman"/>
                      <w:szCs w:val="21"/>
                      <w:lang w:val="en-US" w:eastAsia="zh-CN"/>
                    </w:rPr>
                    <w:t>-390</w:t>
                  </w:r>
                </w:p>
              </w:tc>
              <w:tc>
                <w:tcPr>
                  <w:tcW w:w="1264" w:type="dxa"/>
                  <w:tcBorders>
                    <w:tl2br w:val="nil"/>
                    <w:tr2bl w:val="nil"/>
                  </w:tcBorders>
                  <w:vAlign w:val="center"/>
                </w:tcPr>
                <w:p w14:paraId="769D1222">
                  <w:pPr>
                    <w:snapToGrid w:val="0"/>
                    <w:jc w:val="center"/>
                    <w:rPr>
                      <w:rFonts w:hint="eastAsia" w:cs="Times New Roman"/>
                      <w:szCs w:val="21"/>
                      <w:lang w:val="en-US" w:eastAsia="zh-CN"/>
                    </w:rPr>
                  </w:pPr>
                  <w:r>
                    <w:rPr>
                      <w:rFonts w:hint="default" w:ascii="Times New Roman" w:hAnsi="Times New Roman" w:cs="Times New Roman"/>
                      <w:szCs w:val="21"/>
                      <w:lang w:val="en-US" w:eastAsia="zh-CN"/>
                    </w:rPr>
                    <w:t>居民</w:t>
                  </w:r>
                </w:p>
              </w:tc>
              <w:tc>
                <w:tcPr>
                  <w:tcW w:w="818" w:type="dxa"/>
                  <w:tcBorders>
                    <w:tl2br w:val="nil"/>
                    <w:tr2bl w:val="nil"/>
                  </w:tcBorders>
                  <w:vAlign w:val="center"/>
                </w:tcPr>
                <w:p w14:paraId="78135A9C">
                  <w:pPr>
                    <w:spacing w:line="300" w:lineRule="exact"/>
                    <w:jc w:val="center"/>
                    <w:rPr>
                      <w:rFonts w:hint="eastAsia" w:cs="Times New Roman"/>
                      <w:szCs w:val="21"/>
                      <w:lang w:val="en-US" w:eastAsia="zh-CN"/>
                    </w:rPr>
                  </w:pPr>
                  <w:r>
                    <w:rPr>
                      <w:rFonts w:hint="eastAsia" w:ascii="Times New Roman" w:hAnsi="Times New Roman" w:cs="Times New Roman"/>
                      <w:szCs w:val="21"/>
                      <w:lang w:val="en-US" w:eastAsia="zh-CN"/>
                    </w:rPr>
                    <w:t>南</w:t>
                  </w:r>
                </w:p>
              </w:tc>
              <w:tc>
                <w:tcPr>
                  <w:tcW w:w="1138" w:type="dxa"/>
                  <w:tcBorders>
                    <w:tl2br w:val="nil"/>
                    <w:tr2bl w:val="nil"/>
                  </w:tcBorders>
                  <w:vAlign w:val="center"/>
                </w:tcPr>
                <w:p w14:paraId="647B5597">
                  <w:pPr>
                    <w:spacing w:line="300" w:lineRule="exact"/>
                    <w:jc w:val="center"/>
                    <w:rPr>
                      <w:rFonts w:hint="eastAsia" w:cs="Times New Roman"/>
                      <w:szCs w:val="21"/>
                      <w:lang w:val="en-US" w:eastAsia="zh-CN"/>
                    </w:rPr>
                  </w:pPr>
                  <w:r>
                    <w:rPr>
                      <w:rFonts w:hint="eastAsia" w:ascii="Times New Roman" w:hAnsi="Times New Roman" w:cs="Times New Roman"/>
                      <w:szCs w:val="21"/>
                      <w:lang w:val="en-US" w:eastAsia="zh-CN"/>
                    </w:rPr>
                    <w:t>338m</w:t>
                  </w:r>
                </w:p>
              </w:tc>
              <w:tc>
                <w:tcPr>
                  <w:tcW w:w="1188" w:type="dxa"/>
                  <w:tcBorders>
                    <w:tl2br w:val="nil"/>
                    <w:tr2bl w:val="nil"/>
                  </w:tcBorders>
                  <w:vAlign w:val="center"/>
                </w:tcPr>
                <w:p w14:paraId="1782F210">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二类</w:t>
                  </w:r>
                </w:p>
              </w:tc>
            </w:tr>
            <w:tr w14:paraId="2B2E7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9" w:hRule="atLeast"/>
              </w:trPr>
              <w:tc>
                <w:tcPr>
                  <w:tcW w:w="527" w:type="pct"/>
                  <w:vMerge w:val="restart"/>
                  <w:tcBorders>
                    <w:tl2br w:val="nil"/>
                    <w:tr2bl w:val="nil"/>
                  </w:tcBorders>
                  <w:vAlign w:val="center"/>
                </w:tcPr>
                <w:p w14:paraId="6A628CAC">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水环境</w:t>
                  </w:r>
                </w:p>
              </w:tc>
              <w:tc>
                <w:tcPr>
                  <w:tcW w:w="975" w:type="pct"/>
                  <w:tcBorders>
                    <w:tl2br w:val="nil"/>
                    <w:tr2bl w:val="nil"/>
                  </w:tcBorders>
                  <w:vAlign w:val="center"/>
                </w:tcPr>
                <w:p w14:paraId="61BB92CD">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长江</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芜湖段）</w:t>
                  </w:r>
                </w:p>
              </w:tc>
              <w:tc>
                <w:tcPr>
                  <w:tcW w:w="392" w:type="pct"/>
                  <w:tcBorders>
                    <w:tl2br w:val="nil"/>
                    <w:tr2bl w:val="nil"/>
                  </w:tcBorders>
                  <w:vAlign w:val="center"/>
                </w:tcPr>
                <w:p w14:paraId="73FBA706">
                  <w:pPr>
                    <w:jc w:val="center"/>
                    <w:rPr>
                      <w:rFonts w:hint="default" w:ascii="Times New Roman" w:hAnsi="Times New Roman" w:cs="Times New Roman"/>
                      <w:szCs w:val="21"/>
                    </w:rPr>
                  </w:pPr>
                  <w:r>
                    <w:rPr>
                      <w:rFonts w:hint="default" w:ascii="Times New Roman" w:hAnsi="Times New Roman" w:cs="Times New Roman"/>
                      <w:szCs w:val="21"/>
                    </w:rPr>
                    <w:t>/</w:t>
                  </w:r>
                </w:p>
              </w:tc>
              <w:tc>
                <w:tcPr>
                  <w:tcW w:w="453" w:type="pct"/>
                  <w:tcBorders>
                    <w:tl2br w:val="nil"/>
                    <w:tr2bl w:val="nil"/>
                  </w:tcBorders>
                  <w:vAlign w:val="center"/>
                </w:tcPr>
                <w:p w14:paraId="1843883E">
                  <w:pPr>
                    <w:jc w:val="center"/>
                    <w:rPr>
                      <w:rFonts w:hint="default" w:ascii="Times New Roman" w:hAnsi="Times New Roman" w:cs="Times New Roman"/>
                      <w:szCs w:val="21"/>
                    </w:rPr>
                  </w:pPr>
                  <w:r>
                    <w:rPr>
                      <w:rFonts w:hint="default" w:ascii="Times New Roman" w:hAnsi="Times New Roman" w:cs="Times New Roman"/>
                      <w:szCs w:val="21"/>
                    </w:rPr>
                    <w:t>/</w:t>
                  </w:r>
                </w:p>
              </w:tc>
              <w:tc>
                <w:tcPr>
                  <w:tcW w:w="760" w:type="pct"/>
                  <w:tcBorders>
                    <w:tl2br w:val="nil"/>
                    <w:tr2bl w:val="nil"/>
                  </w:tcBorders>
                  <w:vAlign w:val="center"/>
                </w:tcPr>
                <w:p w14:paraId="71CE7E20">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大型</w:t>
                  </w:r>
                </w:p>
              </w:tc>
              <w:tc>
                <w:tcPr>
                  <w:tcW w:w="492" w:type="pct"/>
                  <w:tcBorders>
                    <w:tl2br w:val="nil"/>
                    <w:tr2bl w:val="nil"/>
                  </w:tcBorders>
                  <w:vAlign w:val="center"/>
                </w:tcPr>
                <w:p w14:paraId="19C97608">
                  <w:pPr>
                    <w:jc w:val="center"/>
                    <w:rPr>
                      <w:rFonts w:hint="default" w:ascii="Times New Roman" w:hAnsi="Times New Roman" w:cs="Times New Roman"/>
                      <w:szCs w:val="21"/>
                    </w:rPr>
                  </w:pPr>
                  <w:r>
                    <w:rPr>
                      <w:rFonts w:hint="default" w:ascii="Times New Roman" w:hAnsi="Times New Roman" w:cs="Times New Roman"/>
                      <w:szCs w:val="21"/>
                    </w:rPr>
                    <w:t>西</w:t>
                  </w:r>
                </w:p>
              </w:tc>
              <w:tc>
                <w:tcPr>
                  <w:tcW w:w="684" w:type="pct"/>
                  <w:tcBorders>
                    <w:tl2br w:val="nil"/>
                    <w:tr2bl w:val="nil"/>
                  </w:tcBorders>
                  <w:vAlign w:val="center"/>
                </w:tcPr>
                <w:p w14:paraId="60C1D3AA">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2.9km</w:t>
                  </w:r>
                </w:p>
              </w:tc>
              <w:tc>
                <w:tcPr>
                  <w:tcW w:w="714" w:type="pct"/>
                  <w:tcBorders>
                    <w:tl2br w:val="nil"/>
                    <w:tr2bl w:val="nil"/>
                  </w:tcBorders>
                  <w:vAlign w:val="center"/>
                </w:tcPr>
                <w:p w14:paraId="06E21AE5">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Ⅲ类</w:t>
                  </w:r>
                </w:p>
              </w:tc>
            </w:tr>
            <w:tr w14:paraId="389EF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4" w:hRule="atLeast"/>
              </w:trPr>
              <w:tc>
                <w:tcPr>
                  <w:tcW w:w="527" w:type="pct"/>
                  <w:vMerge w:val="continue"/>
                  <w:tcBorders>
                    <w:tl2br w:val="nil"/>
                    <w:tr2bl w:val="nil"/>
                  </w:tcBorders>
                  <w:vAlign w:val="center"/>
                </w:tcPr>
                <w:p w14:paraId="51659CE5">
                  <w:pPr>
                    <w:adjustRightInd w:val="0"/>
                    <w:snapToGrid w:val="0"/>
                    <w:jc w:val="center"/>
                    <w:rPr>
                      <w:rFonts w:hint="default" w:ascii="Times New Roman" w:hAnsi="Times New Roman" w:cs="Times New Roman"/>
                      <w:szCs w:val="21"/>
                    </w:rPr>
                  </w:pPr>
                </w:p>
              </w:tc>
              <w:tc>
                <w:tcPr>
                  <w:tcW w:w="975" w:type="pct"/>
                  <w:tcBorders>
                    <w:tl2br w:val="nil"/>
                    <w:tr2bl w:val="nil"/>
                  </w:tcBorders>
                  <w:vAlign w:val="center"/>
                </w:tcPr>
                <w:p w14:paraId="10F9DE89">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扁担河</w:t>
                  </w:r>
                </w:p>
              </w:tc>
              <w:tc>
                <w:tcPr>
                  <w:tcW w:w="392" w:type="pct"/>
                  <w:tcBorders>
                    <w:tl2br w:val="nil"/>
                    <w:tr2bl w:val="nil"/>
                  </w:tcBorders>
                  <w:vAlign w:val="center"/>
                </w:tcPr>
                <w:p w14:paraId="0FBBD6D0">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53" w:type="pct"/>
                  <w:tcBorders>
                    <w:tl2br w:val="nil"/>
                    <w:tr2bl w:val="nil"/>
                  </w:tcBorders>
                  <w:vAlign w:val="center"/>
                </w:tcPr>
                <w:p w14:paraId="25B6F7DB">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760" w:type="pct"/>
                  <w:tcBorders>
                    <w:tl2br w:val="nil"/>
                    <w:tr2bl w:val="nil"/>
                  </w:tcBorders>
                  <w:vAlign w:val="center"/>
                </w:tcPr>
                <w:p w14:paraId="1B939D8B">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中型</w:t>
                  </w:r>
                </w:p>
              </w:tc>
              <w:tc>
                <w:tcPr>
                  <w:tcW w:w="492" w:type="pct"/>
                  <w:tcBorders>
                    <w:tl2br w:val="nil"/>
                    <w:tr2bl w:val="nil"/>
                  </w:tcBorders>
                  <w:vAlign w:val="center"/>
                </w:tcPr>
                <w:p w14:paraId="4384DC00">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西南</w:t>
                  </w:r>
                </w:p>
              </w:tc>
              <w:tc>
                <w:tcPr>
                  <w:tcW w:w="684" w:type="pct"/>
                  <w:tcBorders>
                    <w:tl2br w:val="nil"/>
                    <w:tr2bl w:val="nil"/>
                  </w:tcBorders>
                  <w:vAlign w:val="center"/>
                </w:tcPr>
                <w:p w14:paraId="0B15E3F1">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178m</w:t>
                  </w:r>
                </w:p>
              </w:tc>
              <w:tc>
                <w:tcPr>
                  <w:tcW w:w="714" w:type="pct"/>
                  <w:tcBorders>
                    <w:tl2br w:val="nil"/>
                    <w:tr2bl w:val="nil"/>
                  </w:tcBorders>
                  <w:vAlign w:val="center"/>
                </w:tcPr>
                <w:p w14:paraId="3EB187B9">
                  <w:pPr>
                    <w:adjustRightInd w:val="0"/>
                    <w:snapToGrid w:val="0"/>
                    <w:jc w:val="center"/>
                    <w:rPr>
                      <w:rFonts w:hint="default" w:ascii="Times New Roman" w:hAnsi="Times New Roman" w:eastAsia="微软雅黑" w:cs="Times New Roman"/>
                      <w:szCs w:val="21"/>
                      <w:lang w:val="en-US" w:eastAsia="zh-CN"/>
                    </w:rPr>
                  </w:pPr>
                  <w:r>
                    <w:rPr>
                      <w:rFonts w:hint="default" w:ascii="Times New Roman" w:hAnsi="Times New Roman" w:eastAsia="宋体" w:cs="Times New Roman"/>
                      <w:szCs w:val="21"/>
                    </w:rPr>
                    <w:t>Ⅳ</w:t>
                  </w:r>
                  <w:r>
                    <w:rPr>
                      <w:rFonts w:hint="default" w:ascii="Times New Roman" w:hAnsi="Times New Roman" w:eastAsia="宋体" w:cs="Times New Roman"/>
                      <w:szCs w:val="21"/>
                      <w:lang w:val="en-US" w:eastAsia="zh-CN"/>
                    </w:rPr>
                    <w:t>类</w:t>
                  </w:r>
                </w:p>
              </w:tc>
            </w:tr>
            <w:tr w14:paraId="478C8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527" w:type="pct"/>
                  <w:tcBorders>
                    <w:tl2br w:val="nil"/>
                    <w:tr2bl w:val="nil"/>
                  </w:tcBorders>
                  <w:vAlign w:val="center"/>
                </w:tcPr>
                <w:p w14:paraId="174E889B">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声环境</w:t>
                  </w:r>
                </w:p>
              </w:tc>
              <w:tc>
                <w:tcPr>
                  <w:tcW w:w="975" w:type="pct"/>
                  <w:tcBorders>
                    <w:tl2br w:val="nil"/>
                    <w:tr2bl w:val="nil"/>
                  </w:tcBorders>
                  <w:vAlign w:val="center"/>
                </w:tcPr>
                <w:p w14:paraId="3ADB5B1B">
                  <w:pPr>
                    <w:spacing w:line="300" w:lineRule="exact"/>
                    <w:jc w:val="center"/>
                    <w:rPr>
                      <w:rFonts w:hint="default" w:ascii="Times New Roman" w:hAnsi="Times New Roman" w:cs="Times New Roman"/>
                      <w:szCs w:val="21"/>
                    </w:rPr>
                  </w:pPr>
                  <w:r>
                    <w:rPr>
                      <w:rFonts w:hint="default" w:ascii="Times New Roman" w:hAnsi="Times New Roman" w:cs="Times New Roman"/>
                      <w:szCs w:val="21"/>
                    </w:rPr>
                    <w:t>厂界</w:t>
                  </w:r>
                </w:p>
              </w:tc>
              <w:tc>
                <w:tcPr>
                  <w:tcW w:w="392" w:type="pct"/>
                  <w:tcBorders>
                    <w:tl2br w:val="nil"/>
                    <w:tr2bl w:val="nil"/>
                  </w:tcBorders>
                  <w:vAlign w:val="center"/>
                </w:tcPr>
                <w:p w14:paraId="0C42E883">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53" w:type="pct"/>
                  <w:tcBorders>
                    <w:tl2br w:val="nil"/>
                    <w:tr2bl w:val="nil"/>
                  </w:tcBorders>
                  <w:vAlign w:val="center"/>
                </w:tcPr>
                <w:p w14:paraId="7DDEAAED">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760" w:type="pct"/>
                  <w:tcBorders>
                    <w:tl2br w:val="nil"/>
                    <w:tr2bl w:val="nil"/>
                  </w:tcBorders>
                  <w:vAlign w:val="center"/>
                </w:tcPr>
                <w:p w14:paraId="62502EEC">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92" w:type="pct"/>
                  <w:tcBorders>
                    <w:tl2br w:val="nil"/>
                    <w:tr2bl w:val="nil"/>
                  </w:tcBorders>
                  <w:vAlign w:val="center"/>
                </w:tcPr>
                <w:p w14:paraId="3924F212">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684" w:type="pct"/>
                  <w:tcBorders>
                    <w:tl2br w:val="nil"/>
                    <w:tr2bl w:val="nil"/>
                  </w:tcBorders>
                  <w:vAlign w:val="center"/>
                </w:tcPr>
                <w:p w14:paraId="59676A50">
                  <w:pPr>
                    <w:jc w:val="center"/>
                    <w:rPr>
                      <w:rFonts w:hint="default" w:ascii="Times New Roman" w:hAnsi="Times New Roman" w:eastAsia="宋体" w:cs="Times New Roman"/>
                      <w:bCs/>
                      <w:szCs w:val="21"/>
                      <w:lang w:val="en-US" w:eastAsia="zh-CN"/>
                    </w:rPr>
                  </w:pPr>
                  <w:r>
                    <w:rPr>
                      <w:rFonts w:hint="default" w:ascii="Times New Roman" w:hAnsi="Times New Roman" w:cs="Times New Roman"/>
                      <w:bCs/>
                      <w:szCs w:val="21"/>
                    </w:rPr>
                    <w:t>1</w:t>
                  </w:r>
                  <w:r>
                    <w:rPr>
                      <w:rFonts w:hint="default" w:ascii="Times New Roman" w:hAnsi="Times New Roman" w:cs="Times New Roman"/>
                      <w:bCs/>
                      <w:szCs w:val="21"/>
                      <w:lang w:val="en-US" w:eastAsia="zh-CN"/>
                    </w:rPr>
                    <w:t>m</w:t>
                  </w:r>
                </w:p>
              </w:tc>
              <w:tc>
                <w:tcPr>
                  <w:tcW w:w="714" w:type="pct"/>
                  <w:tcBorders>
                    <w:tl2br w:val="nil"/>
                    <w:tr2bl w:val="nil"/>
                  </w:tcBorders>
                  <w:vAlign w:val="center"/>
                </w:tcPr>
                <w:p w14:paraId="6F666DBB">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3类</w:t>
                  </w:r>
                </w:p>
              </w:tc>
            </w:tr>
            <w:tr w14:paraId="1B9530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527" w:type="pct"/>
                  <w:tcBorders>
                    <w:tl2br w:val="nil"/>
                    <w:tr2bl w:val="nil"/>
                  </w:tcBorders>
                  <w:vAlign w:val="center"/>
                </w:tcPr>
                <w:p w14:paraId="187A4D4F">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生态环境</w:t>
                  </w:r>
                </w:p>
              </w:tc>
              <w:tc>
                <w:tcPr>
                  <w:tcW w:w="4472" w:type="pct"/>
                  <w:gridSpan w:val="7"/>
                  <w:tcBorders>
                    <w:tl2br w:val="nil"/>
                    <w:tr2bl w:val="nil"/>
                  </w:tcBorders>
                  <w:vAlign w:val="center"/>
                </w:tcPr>
                <w:p w14:paraId="5EC3049A">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项目用地为工业用地，项目周边无重点保护的野生动植物、自然保护区等。区域生态敏感程度较低。</w:t>
                  </w:r>
                </w:p>
              </w:tc>
            </w:tr>
          </w:tbl>
          <w:p w14:paraId="3C7702A1">
            <w:pPr>
              <w:adjustRightInd w:val="0"/>
              <w:snapToGrid w:val="0"/>
              <w:ind w:firstLine="210" w:firstLineChars="100"/>
              <w:rPr>
                <w:szCs w:val="21"/>
              </w:rPr>
            </w:pPr>
            <w:r>
              <w:rPr>
                <w:rFonts w:cs="宋体"/>
                <w:kern w:val="0"/>
                <w:szCs w:val="21"/>
              </w:rPr>
              <w:t>注：</w:t>
            </w:r>
            <w:r>
              <w:rPr>
                <w:rFonts w:hint="eastAsia"/>
                <w:szCs w:val="21"/>
              </w:rPr>
              <w:t>本项目以厂址中心为坐标原点，正东为X轴正方向，正北为Y轴正方向，其中环境空气保护目标坐标取距离厂址最近点位位置。</w:t>
            </w:r>
          </w:p>
        </w:tc>
      </w:tr>
      <w:tr w14:paraId="6BFBB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34" w:type="dxa"/>
            <w:tcMar>
              <w:left w:w="28" w:type="dxa"/>
              <w:right w:w="28" w:type="dxa"/>
            </w:tcMar>
            <w:vAlign w:val="center"/>
          </w:tcPr>
          <w:p w14:paraId="4A54F7C1">
            <w:pPr>
              <w:autoSpaceDE w:val="0"/>
              <w:autoSpaceDN w:val="0"/>
              <w:adjustRightInd w:val="0"/>
              <w:snapToGrid w:val="0"/>
              <w:jc w:val="center"/>
              <w:rPr>
                <w:rFonts w:cs="宋体"/>
                <w:kern w:val="0"/>
                <w:sz w:val="24"/>
              </w:rPr>
            </w:pPr>
            <w:r>
              <w:rPr>
                <w:rFonts w:hint="eastAsia" w:cs="宋体"/>
                <w:kern w:val="0"/>
                <w:sz w:val="24"/>
              </w:rPr>
              <w:t>污染</w:t>
            </w:r>
          </w:p>
          <w:p w14:paraId="38B1818D">
            <w:pPr>
              <w:autoSpaceDE w:val="0"/>
              <w:autoSpaceDN w:val="0"/>
              <w:adjustRightInd w:val="0"/>
              <w:snapToGrid w:val="0"/>
              <w:jc w:val="center"/>
              <w:rPr>
                <w:rFonts w:cs="宋体"/>
                <w:kern w:val="0"/>
                <w:sz w:val="24"/>
              </w:rPr>
            </w:pPr>
            <w:r>
              <w:rPr>
                <w:rFonts w:hint="eastAsia" w:cs="宋体"/>
                <w:kern w:val="0"/>
                <w:sz w:val="24"/>
              </w:rPr>
              <w:t>物排</w:t>
            </w:r>
          </w:p>
          <w:p w14:paraId="0CC3E148">
            <w:pPr>
              <w:autoSpaceDE w:val="0"/>
              <w:autoSpaceDN w:val="0"/>
              <w:adjustRightInd w:val="0"/>
              <w:snapToGrid w:val="0"/>
              <w:jc w:val="center"/>
              <w:rPr>
                <w:rFonts w:cs="宋体"/>
                <w:kern w:val="0"/>
                <w:sz w:val="24"/>
              </w:rPr>
            </w:pPr>
            <w:r>
              <w:rPr>
                <w:rFonts w:hint="eastAsia" w:cs="宋体"/>
                <w:kern w:val="0"/>
                <w:sz w:val="24"/>
              </w:rPr>
              <w:t>放控</w:t>
            </w:r>
          </w:p>
          <w:p w14:paraId="51A63F94">
            <w:pPr>
              <w:autoSpaceDE w:val="0"/>
              <w:autoSpaceDN w:val="0"/>
              <w:adjustRightInd w:val="0"/>
              <w:snapToGrid w:val="0"/>
              <w:jc w:val="center"/>
              <w:rPr>
                <w:rFonts w:cs="宋体"/>
                <w:kern w:val="0"/>
                <w:sz w:val="24"/>
              </w:rPr>
            </w:pPr>
            <w:r>
              <w:rPr>
                <w:rFonts w:hint="eastAsia" w:cs="宋体"/>
                <w:kern w:val="0"/>
                <w:sz w:val="24"/>
              </w:rPr>
              <w:t>制标</w:t>
            </w:r>
          </w:p>
          <w:p w14:paraId="71E1E1FC">
            <w:pPr>
              <w:autoSpaceDE w:val="0"/>
              <w:autoSpaceDN w:val="0"/>
              <w:adjustRightInd w:val="0"/>
              <w:snapToGrid w:val="0"/>
              <w:jc w:val="center"/>
              <w:rPr>
                <w:rFonts w:cs="宋体"/>
                <w:kern w:val="0"/>
                <w:sz w:val="24"/>
              </w:rPr>
            </w:pPr>
            <w:r>
              <w:rPr>
                <w:rFonts w:hint="eastAsia" w:cs="宋体"/>
                <w:kern w:val="0"/>
                <w:sz w:val="24"/>
              </w:rPr>
              <w:t>准</w:t>
            </w:r>
          </w:p>
        </w:tc>
        <w:tc>
          <w:tcPr>
            <w:tcW w:w="8527" w:type="dxa"/>
            <w:vAlign w:val="center"/>
          </w:tcPr>
          <w:p w14:paraId="01A77CDB">
            <w:pPr>
              <w:spacing w:line="360" w:lineRule="auto"/>
              <w:ind w:firstLine="482" w:firstLineChars="200"/>
              <w:rPr>
                <w:b/>
                <w:kern w:val="0"/>
                <w:sz w:val="24"/>
                <w:szCs w:val="20"/>
              </w:rPr>
            </w:pPr>
            <w:r>
              <w:rPr>
                <w:b/>
                <w:kern w:val="0"/>
                <w:sz w:val="24"/>
                <w:szCs w:val="20"/>
              </w:rPr>
              <w:t>1、废气</w:t>
            </w:r>
          </w:p>
          <w:p w14:paraId="7B49B79A">
            <w:pPr>
              <w:autoSpaceDE w:val="0"/>
              <w:autoSpaceDN w:val="0"/>
              <w:adjustRightInd w:val="0"/>
              <w:spacing w:line="360" w:lineRule="auto"/>
              <w:ind w:firstLine="480" w:firstLineChars="200"/>
              <w:jc w:val="left"/>
              <w:rPr>
                <w:rFonts w:hint="eastAsia" w:ascii="Times New Roman" w:hAnsi="Times New Roman"/>
                <w:sz w:val="24"/>
                <w:lang w:val="en-US" w:eastAsia="zh-CN"/>
              </w:rPr>
            </w:pPr>
            <w:r>
              <w:rPr>
                <w:rFonts w:ascii="Times New Roman" w:hAnsi="Times New Roman"/>
                <w:kern w:val="0"/>
                <w:sz w:val="24"/>
              </w:rPr>
              <w:t>本项目运营期间废气中的</w:t>
            </w:r>
            <w:bookmarkStart w:id="2" w:name="OLE_LINK9"/>
            <w:r>
              <w:rPr>
                <w:rFonts w:ascii="Times New Roman" w:hAnsi="Times New Roman"/>
                <w:sz w:val="24"/>
              </w:rPr>
              <w:t>非甲烷总烃</w:t>
            </w:r>
            <w:r>
              <w:rPr>
                <w:rFonts w:ascii="Times New Roman" w:hAnsi="Times New Roman"/>
                <w:spacing w:val="7"/>
                <w:sz w:val="24"/>
              </w:rPr>
              <w:t>排放执行</w:t>
            </w:r>
            <w:r>
              <w:rPr>
                <w:rFonts w:ascii="Times New Roman" w:hAnsi="Times New Roman"/>
                <w:kern w:val="0"/>
                <w:sz w:val="24"/>
              </w:rPr>
              <w:t>安徽省《固定源挥发性有机物综合排放标准第6部分：其他行业》（DB34/4812.6-2024）表1塑料制品工业标准限值</w:t>
            </w:r>
            <w:r>
              <w:rPr>
                <w:rFonts w:ascii="Times New Roman" w:hAnsi="Times New Roman"/>
                <w:sz w:val="24"/>
              </w:rPr>
              <w:t>及表4厂区内</w:t>
            </w:r>
            <w:r>
              <w:rPr>
                <w:rFonts w:ascii="Times New Roman" w:hAnsi="Times New Roman"/>
                <w:sz w:val="24"/>
                <w:szCs w:val="20"/>
              </w:rPr>
              <w:t>无组织排放限</w:t>
            </w:r>
            <w:r>
              <w:rPr>
                <w:rFonts w:ascii="Times New Roman" w:hAnsi="Times New Roman"/>
                <w:kern w:val="0"/>
                <w:sz w:val="24"/>
              </w:rPr>
              <w:t>值，</w:t>
            </w:r>
            <w:bookmarkEnd w:id="2"/>
            <w:r>
              <w:rPr>
                <w:rFonts w:hint="eastAsia" w:ascii="Times New Roman" w:hAnsi="Times New Roman"/>
                <w:sz w:val="24"/>
                <w:lang w:val="en-US" w:eastAsia="zh-CN"/>
              </w:rPr>
              <w:t>PS塑料</w:t>
            </w:r>
            <w:r>
              <w:rPr>
                <w:rFonts w:hint="eastAsia" w:ascii="Times New Roman" w:hAnsi="Times New Roman"/>
                <w:kern w:val="0"/>
                <w:sz w:val="24"/>
                <w:lang w:val="en-US" w:eastAsia="zh-CN"/>
              </w:rPr>
              <w:t>加热成型</w:t>
            </w:r>
            <w:r>
              <w:rPr>
                <w:rFonts w:hint="eastAsia" w:ascii="Times New Roman" w:hAnsi="Times New Roman"/>
                <w:kern w:val="0"/>
                <w:sz w:val="24"/>
              </w:rPr>
              <w:t>环节产生的</w:t>
            </w:r>
            <w:r>
              <w:rPr>
                <w:rFonts w:hint="eastAsia" w:ascii="Times New Roman" w:hAnsi="Times New Roman"/>
                <w:kern w:val="0"/>
                <w:sz w:val="24"/>
                <w:lang w:val="en-US" w:eastAsia="zh-CN"/>
              </w:rPr>
              <w:t>特征因子：有组织苯乙烯、甲苯、乙苯、</w:t>
            </w:r>
            <w:r>
              <w:rPr>
                <w:rFonts w:hint="eastAsia" w:ascii="Times New Roman" w:hAnsi="Times New Roman"/>
                <w:sz w:val="24"/>
                <w:lang w:val="en-US" w:eastAsia="zh-CN"/>
              </w:rPr>
              <w:t>PC塑料加热成型环节产生的特征因子有组织酚类、氯苯类</w:t>
            </w:r>
            <w:r>
              <w:rPr>
                <w:rFonts w:hint="eastAsia" w:ascii="Times New Roman" w:hAnsi="Times New Roman"/>
                <w:kern w:val="0"/>
                <w:sz w:val="24"/>
                <w:lang w:val="en-US" w:eastAsia="zh-CN"/>
              </w:rPr>
              <w:t>执行</w:t>
            </w:r>
            <w:r>
              <w:rPr>
                <w:rFonts w:ascii="Times New Roman" w:hAnsi="Times New Roman"/>
                <w:sz w:val="24"/>
              </w:rPr>
              <w:t>《合成树脂工业污染物排放标准》（GB31572-2015）</w:t>
            </w:r>
            <w:r>
              <w:rPr>
                <w:rFonts w:hint="eastAsia" w:ascii="Times New Roman" w:hAnsi="Times New Roman"/>
                <w:sz w:val="24"/>
                <w:lang w:eastAsia="zh-CN"/>
              </w:rPr>
              <w:t>（</w:t>
            </w:r>
            <w:r>
              <w:rPr>
                <w:rFonts w:ascii="Times New Roman" w:hAnsi="Times New Roman"/>
                <w:sz w:val="24"/>
              </w:rPr>
              <w:t>含2024年修改单</w:t>
            </w:r>
            <w:r>
              <w:rPr>
                <w:rFonts w:hint="eastAsia" w:ascii="Times New Roman" w:hAnsi="Times New Roman"/>
                <w:sz w:val="24"/>
                <w:lang w:eastAsia="zh-CN"/>
              </w:rPr>
              <w:t>）</w:t>
            </w:r>
            <w:r>
              <w:rPr>
                <w:rFonts w:hint="eastAsia" w:ascii="Times New Roman" w:hAnsi="Times New Roman"/>
                <w:sz w:val="24"/>
                <w:lang w:val="en-US" w:eastAsia="zh-CN"/>
              </w:rPr>
              <w:t>表5排放限值。</w:t>
            </w:r>
          </w:p>
          <w:p w14:paraId="643FAC7F">
            <w:pPr>
              <w:autoSpaceDE w:val="0"/>
              <w:autoSpaceDN w:val="0"/>
              <w:adjustRightInd w:val="0"/>
              <w:spacing w:line="360" w:lineRule="auto"/>
              <w:ind w:firstLine="480" w:firstLineChars="200"/>
              <w:jc w:val="left"/>
              <w:rPr>
                <w:rFonts w:hint="eastAsia" w:ascii="Times New Roman" w:hAnsi="Times New Roman" w:eastAsia="宋体"/>
                <w:kern w:val="0"/>
                <w:sz w:val="24"/>
                <w:lang w:val="en-US" w:eastAsia="zh-CN"/>
              </w:rPr>
            </w:pPr>
            <w:r>
              <w:rPr>
                <w:rFonts w:hint="eastAsia" w:ascii="Times New Roman" w:hAnsi="Times New Roman"/>
                <w:sz w:val="24"/>
                <w:lang w:val="en-US" w:eastAsia="zh-CN"/>
              </w:rPr>
              <w:t>厂界非甲烷总烃、甲苯</w:t>
            </w:r>
            <w:r>
              <w:rPr>
                <w:rFonts w:ascii="Times New Roman" w:hAnsi="Times New Roman"/>
                <w:sz w:val="24"/>
              </w:rPr>
              <w:t>无组织排放执行《合成树脂工业污染物排放标准》（GB31572-2015）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w:t>
            </w:r>
            <w:r>
              <w:rPr>
                <w:rFonts w:hint="eastAsia" w:ascii="Times New Roman" w:hAnsi="Times New Roman"/>
                <w:sz w:val="24"/>
                <w:lang w:eastAsia="zh-CN"/>
              </w:rPr>
              <w:t>）</w:t>
            </w:r>
            <w:r>
              <w:rPr>
                <w:rFonts w:ascii="Times New Roman" w:hAnsi="Times New Roman"/>
                <w:sz w:val="24"/>
              </w:rPr>
              <w:t>中表9企业边界大气污染物浓度限值</w:t>
            </w:r>
            <w:r>
              <w:rPr>
                <w:rFonts w:hint="eastAsia" w:ascii="Times New Roman" w:hAnsi="Times New Roman"/>
                <w:sz w:val="24"/>
                <w:lang w:eastAsia="zh-CN"/>
              </w:rPr>
              <w:t>，</w:t>
            </w:r>
            <w:r>
              <w:rPr>
                <w:rFonts w:hint="eastAsia" w:ascii="Times New Roman" w:hAnsi="Times New Roman"/>
                <w:sz w:val="24"/>
                <w:lang w:val="en-US" w:eastAsia="zh-CN"/>
              </w:rPr>
              <w:t>厂界酚类、氯苯类无组织排放执行</w:t>
            </w:r>
            <w:r>
              <w:rPr>
                <w:rFonts w:ascii="Times New Roman" w:hAnsi="Times New Roman"/>
                <w:kern w:val="0"/>
                <w:sz w:val="24"/>
              </w:rPr>
              <w:t>安徽省《固定源挥发性有机物综合排放标准第6部分：其他行业》（DB34/4812.6-2024）</w:t>
            </w:r>
            <w:r>
              <w:rPr>
                <w:rFonts w:ascii="Times New Roman" w:hAnsi="Times New Roman"/>
                <w:sz w:val="24"/>
              </w:rPr>
              <w:t>表</w:t>
            </w:r>
            <w:r>
              <w:rPr>
                <w:rFonts w:hint="eastAsia" w:ascii="Times New Roman" w:hAnsi="Times New Roman"/>
                <w:sz w:val="24"/>
                <w:lang w:val="en-US" w:eastAsia="zh-CN"/>
              </w:rPr>
              <w:t>5</w:t>
            </w:r>
            <w:r>
              <w:rPr>
                <w:rFonts w:ascii="Times New Roman" w:hAnsi="Times New Roman"/>
                <w:sz w:val="24"/>
              </w:rPr>
              <w:t>厂区内</w:t>
            </w:r>
            <w:r>
              <w:rPr>
                <w:rFonts w:ascii="Times New Roman" w:hAnsi="Times New Roman"/>
                <w:sz w:val="24"/>
                <w:szCs w:val="20"/>
              </w:rPr>
              <w:t>无组织排放限</w:t>
            </w:r>
            <w:r>
              <w:rPr>
                <w:rFonts w:ascii="Times New Roman" w:hAnsi="Times New Roman"/>
                <w:kern w:val="0"/>
                <w:sz w:val="24"/>
              </w:rPr>
              <w:t>值</w:t>
            </w:r>
            <w:r>
              <w:rPr>
                <w:rFonts w:hint="eastAsia" w:ascii="Times New Roman" w:hAnsi="Times New Roman"/>
                <w:kern w:val="0"/>
                <w:sz w:val="24"/>
                <w:lang w:eastAsia="zh-CN"/>
              </w:rPr>
              <w:t>。</w:t>
            </w:r>
          </w:p>
          <w:p w14:paraId="406A64C4">
            <w:pPr>
              <w:adjustRightInd w:val="0"/>
              <w:snapToGrid w:val="0"/>
              <w:spacing w:line="360" w:lineRule="auto"/>
              <w:ind w:firstLine="480" w:firstLineChars="200"/>
              <w:rPr>
                <w:rFonts w:ascii="Times New Roman" w:hAnsi="Times New Roman"/>
                <w:kern w:val="0"/>
                <w:sz w:val="24"/>
                <w:lang w:bidi="ar"/>
              </w:rPr>
            </w:pPr>
            <w:r>
              <w:rPr>
                <w:rFonts w:ascii="Times New Roman" w:hAnsi="Times New Roman"/>
                <w:sz w:val="24"/>
              </w:rPr>
              <w:t>颗粒物无组织排放执行《合成树脂工业污染物排放标准》（GB31572-2015）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含2024年修改单）表9企业边界大气污染物浓度限值，</w:t>
            </w:r>
            <w:r>
              <w:rPr>
                <w:rFonts w:hint="eastAsia" w:ascii="Times New Roman" w:hAnsi="Times New Roman"/>
                <w:sz w:val="24"/>
                <w:lang w:val="en-US" w:eastAsia="zh-CN"/>
              </w:rPr>
              <w:t>乙苯</w:t>
            </w:r>
            <w:r>
              <w:rPr>
                <w:rFonts w:ascii="Times New Roman" w:hAnsi="Times New Roman"/>
                <w:sz w:val="24"/>
              </w:rPr>
              <w:t>有组织排放执行《合成树脂工业污染物排放标准》（GB31572-2015）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含2024年修改单）表5大气污染物特别排放限值，氨无组织排放执行</w:t>
            </w:r>
            <w:r>
              <w:rPr>
                <w:rFonts w:ascii="Times New Roman" w:hAnsi="Times New Roman"/>
                <w:kern w:val="0"/>
                <w:sz w:val="24"/>
                <w:lang w:bidi="ar"/>
              </w:rPr>
              <w:t>《恶臭污染物排放标准》（GB14554-93）表1中标准限值要求；臭气浓度</w:t>
            </w:r>
            <w:r>
              <w:rPr>
                <w:rFonts w:ascii="Times New Roman" w:hAnsi="Times New Roman"/>
                <w:sz w:val="24"/>
              </w:rPr>
              <w:t>排放</w:t>
            </w:r>
            <w:r>
              <w:rPr>
                <w:rFonts w:ascii="Times New Roman" w:hAnsi="Times New Roman"/>
                <w:kern w:val="0"/>
                <w:sz w:val="24"/>
                <w:lang w:bidi="ar"/>
              </w:rPr>
              <w:t>执行《恶臭污染物排放标准》（GB14554-93）表1和表2中标准限值要求。具体标准见下表。</w:t>
            </w:r>
          </w:p>
          <w:p w14:paraId="4593BBC7">
            <w:pPr>
              <w:jc w:val="center"/>
              <w:rPr>
                <w:rFonts w:ascii="Times New Roman" w:hAnsi="Times New Roman"/>
                <w:b/>
                <w:kern w:val="0"/>
                <w:sz w:val="24"/>
              </w:rPr>
            </w:pPr>
          </w:p>
          <w:p w14:paraId="5FE7DA6E">
            <w:pPr>
              <w:jc w:val="center"/>
              <w:rPr>
                <w:rFonts w:ascii="Times New Roman" w:hAnsi="Times New Roman"/>
                <w:b/>
                <w:kern w:val="0"/>
                <w:sz w:val="24"/>
              </w:rPr>
            </w:pPr>
            <w:r>
              <w:rPr>
                <w:rFonts w:ascii="Times New Roman" w:hAnsi="Times New Roman"/>
                <w:b/>
                <w:kern w:val="0"/>
                <w:sz w:val="24"/>
              </w:rPr>
              <w:t>表3-</w:t>
            </w:r>
            <w:r>
              <w:rPr>
                <w:rFonts w:hint="eastAsia"/>
                <w:b/>
                <w:kern w:val="0"/>
                <w:sz w:val="24"/>
                <w:lang w:val="en-US" w:eastAsia="zh-CN"/>
              </w:rPr>
              <w:t>3</w:t>
            </w:r>
            <w:r>
              <w:rPr>
                <w:rFonts w:ascii="Times New Roman" w:hAnsi="Times New Roman"/>
                <w:b/>
                <w:kern w:val="0"/>
                <w:sz w:val="24"/>
              </w:rPr>
              <w:t xml:space="preserve"> 本项目有组织</w:t>
            </w:r>
            <w:r>
              <w:rPr>
                <w:rFonts w:ascii="Times New Roman" w:hAnsi="Times New Roman"/>
                <w:b/>
                <w:sz w:val="24"/>
              </w:rPr>
              <w:t>废气排放</w:t>
            </w:r>
            <w:r>
              <w:rPr>
                <w:rFonts w:ascii="Times New Roman" w:hAnsi="Times New Roman"/>
                <w:b/>
                <w:kern w:val="0"/>
                <w:sz w:val="24"/>
              </w:rPr>
              <w:t>限值</w:t>
            </w:r>
          </w:p>
          <w:tbl>
            <w:tblPr>
              <w:tblStyle w:val="58"/>
              <w:tblW w:w="81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18"/>
              <w:gridCol w:w="1280"/>
              <w:gridCol w:w="148"/>
              <w:gridCol w:w="1132"/>
              <w:gridCol w:w="307"/>
              <w:gridCol w:w="1145"/>
              <w:gridCol w:w="2853"/>
            </w:tblGrid>
            <w:tr w14:paraId="0F8B4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162" w:type="dxa"/>
                  <w:tcBorders>
                    <w:tl2br w:val="nil"/>
                    <w:tr2bl w:val="nil"/>
                  </w:tcBorders>
                  <w:noWrap w:val="0"/>
                  <w:vAlign w:val="center"/>
                </w:tcPr>
                <w:p w14:paraId="52EF26BE">
                  <w:pPr>
                    <w:jc w:val="center"/>
                    <w:rPr>
                      <w:rFonts w:ascii="Times New Roman" w:hAnsi="Times New Roman"/>
                      <w:b/>
                      <w:szCs w:val="21"/>
                    </w:rPr>
                  </w:pPr>
                  <w:r>
                    <w:rPr>
                      <w:rFonts w:ascii="Times New Roman" w:hAnsi="Times New Roman"/>
                      <w:b/>
                      <w:szCs w:val="21"/>
                    </w:rPr>
                    <w:t>污染物项目</w:t>
                  </w:r>
                </w:p>
              </w:tc>
              <w:tc>
                <w:tcPr>
                  <w:tcW w:w="1546" w:type="dxa"/>
                  <w:gridSpan w:val="3"/>
                  <w:tcBorders>
                    <w:tl2br w:val="nil"/>
                    <w:tr2bl w:val="nil"/>
                  </w:tcBorders>
                  <w:noWrap w:val="0"/>
                  <w:vAlign w:val="center"/>
                </w:tcPr>
                <w:p w14:paraId="0C9F7F30">
                  <w:pPr>
                    <w:jc w:val="center"/>
                    <w:rPr>
                      <w:rFonts w:ascii="Times New Roman" w:hAnsi="Times New Roman"/>
                      <w:b/>
                      <w:szCs w:val="21"/>
                    </w:rPr>
                  </w:pPr>
                  <w:r>
                    <w:rPr>
                      <w:rFonts w:ascii="Times New Roman" w:hAnsi="Times New Roman"/>
                      <w:b/>
                      <w:szCs w:val="21"/>
                    </w:rPr>
                    <w:t>最高允许排放浓度mg/m</w:t>
                  </w:r>
                  <w:r>
                    <w:rPr>
                      <w:rFonts w:ascii="Times New Roman" w:hAnsi="Times New Roman"/>
                      <w:b/>
                      <w:szCs w:val="21"/>
                      <w:vertAlign w:val="superscript"/>
                    </w:rPr>
                    <w:t>3</w:t>
                  </w:r>
                </w:p>
              </w:tc>
              <w:tc>
                <w:tcPr>
                  <w:tcW w:w="1439" w:type="dxa"/>
                  <w:gridSpan w:val="2"/>
                  <w:tcBorders>
                    <w:tl2br w:val="nil"/>
                    <w:tr2bl w:val="nil"/>
                  </w:tcBorders>
                  <w:noWrap w:val="0"/>
                  <w:vAlign w:val="center"/>
                </w:tcPr>
                <w:p w14:paraId="57558869">
                  <w:pPr>
                    <w:jc w:val="center"/>
                    <w:rPr>
                      <w:rFonts w:ascii="Times New Roman" w:hAnsi="Times New Roman"/>
                      <w:b/>
                      <w:szCs w:val="21"/>
                    </w:rPr>
                  </w:pPr>
                  <w:r>
                    <w:rPr>
                      <w:rFonts w:ascii="Times New Roman" w:hAnsi="Times New Roman"/>
                      <w:b/>
                      <w:szCs w:val="21"/>
                    </w:rPr>
                    <w:t>最高允许排放速率kg/h</w:t>
                  </w:r>
                </w:p>
              </w:tc>
              <w:tc>
                <w:tcPr>
                  <w:tcW w:w="1145" w:type="dxa"/>
                  <w:tcBorders>
                    <w:tl2br w:val="nil"/>
                    <w:tr2bl w:val="nil"/>
                  </w:tcBorders>
                  <w:noWrap w:val="0"/>
                  <w:vAlign w:val="center"/>
                </w:tcPr>
                <w:p w14:paraId="68E29600">
                  <w:pPr>
                    <w:jc w:val="center"/>
                    <w:rPr>
                      <w:rFonts w:ascii="Times New Roman" w:hAnsi="Times New Roman"/>
                      <w:b/>
                      <w:szCs w:val="21"/>
                    </w:rPr>
                  </w:pPr>
                  <w:r>
                    <w:rPr>
                      <w:rFonts w:ascii="Times New Roman" w:hAnsi="Times New Roman"/>
                      <w:b/>
                      <w:szCs w:val="21"/>
                    </w:rPr>
                    <w:t>排气筒高度（m）</w:t>
                  </w:r>
                </w:p>
              </w:tc>
              <w:tc>
                <w:tcPr>
                  <w:tcW w:w="2853" w:type="dxa"/>
                  <w:tcBorders>
                    <w:tl2br w:val="nil"/>
                    <w:tr2bl w:val="nil"/>
                  </w:tcBorders>
                  <w:noWrap w:val="0"/>
                  <w:vAlign w:val="center"/>
                </w:tcPr>
                <w:p w14:paraId="69A1141C">
                  <w:pPr>
                    <w:jc w:val="center"/>
                    <w:rPr>
                      <w:rFonts w:ascii="Times New Roman" w:hAnsi="Times New Roman"/>
                      <w:szCs w:val="21"/>
                    </w:rPr>
                  </w:pPr>
                  <w:bookmarkStart w:id="3" w:name="OLE_LINK18"/>
                  <w:r>
                    <w:rPr>
                      <w:rFonts w:ascii="Times New Roman" w:hAnsi="Times New Roman"/>
                      <w:b/>
                      <w:szCs w:val="21"/>
                    </w:rPr>
                    <w:t>标准来源</w:t>
                  </w:r>
                  <w:bookmarkEnd w:id="3"/>
                </w:p>
              </w:tc>
            </w:tr>
            <w:tr w14:paraId="32700F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1162" w:type="dxa"/>
                  <w:tcBorders>
                    <w:tl2br w:val="nil"/>
                    <w:tr2bl w:val="nil"/>
                  </w:tcBorders>
                  <w:noWrap w:val="0"/>
                  <w:vAlign w:val="center"/>
                </w:tcPr>
                <w:p w14:paraId="0F8C9F16">
                  <w:pPr>
                    <w:adjustRightInd w:val="0"/>
                    <w:snapToGrid w:val="0"/>
                    <w:jc w:val="center"/>
                    <w:rPr>
                      <w:rFonts w:ascii="Times New Roman" w:hAnsi="Times New Roman"/>
                      <w:szCs w:val="21"/>
                    </w:rPr>
                  </w:pPr>
                  <w:bookmarkStart w:id="4" w:name="OLE_LINK12"/>
                  <w:r>
                    <w:rPr>
                      <w:rFonts w:ascii="Times New Roman" w:hAnsi="Times New Roman"/>
                      <w:szCs w:val="21"/>
                    </w:rPr>
                    <w:t>非甲烷总烃</w:t>
                  </w:r>
                  <w:bookmarkEnd w:id="4"/>
                </w:p>
              </w:tc>
              <w:tc>
                <w:tcPr>
                  <w:tcW w:w="1546" w:type="dxa"/>
                  <w:gridSpan w:val="3"/>
                  <w:tcBorders>
                    <w:tl2br w:val="nil"/>
                    <w:tr2bl w:val="nil"/>
                  </w:tcBorders>
                  <w:noWrap w:val="0"/>
                  <w:vAlign w:val="center"/>
                </w:tcPr>
                <w:p w14:paraId="2825858D">
                  <w:pPr>
                    <w:adjustRightInd w:val="0"/>
                    <w:snapToGrid w:val="0"/>
                    <w:jc w:val="center"/>
                    <w:rPr>
                      <w:rFonts w:ascii="Times New Roman" w:hAnsi="Times New Roman"/>
                      <w:szCs w:val="21"/>
                    </w:rPr>
                  </w:pPr>
                  <w:r>
                    <w:rPr>
                      <w:rFonts w:ascii="Times New Roman" w:hAnsi="Times New Roman"/>
                      <w:szCs w:val="21"/>
                    </w:rPr>
                    <w:t>40</w:t>
                  </w:r>
                </w:p>
              </w:tc>
              <w:tc>
                <w:tcPr>
                  <w:tcW w:w="1439" w:type="dxa"/>
                  <w:gridSpan w:val="2"/>
                  <w:tcBorders>
                    <w:tl2br w:val="nil"/>
                    <w:tr2bl w:val="nil"/>
                  </w:tcBorders>
                  <w:noWrap w:val="0"/>
                  <w:vAlign w:val="center"/>
                </w:tcPr>
                <w:p w14:paraId="05CA8856">
                  <w:pPr>
                    <w:adjustRightInd w:val="0"/>
                    <w:snapToGrid w:val="0"/>
                    <w:jc w:val="center"/>
                    <w:rPr>
                      <w:rFonts w:ascii="Times New Roman" w:hAnsi="Times New Roman"/>
                      <w:szCs w:val="21"/>
                    </w:rPr>
                  </w:pPr>
                  <w:r>
                    <w:rPr>
                      <w:rFonts w:ascii="Times New Roman" w:hAnsi="Times New Roman"/>
                      <w:szCs w:val="21"/>
                    </w:rPr>
                    <w:t>1.6</w:t>
                  </w:r>
                </w:p>
              </w:tc>
              <w:tc>
                <w:tcPr>
                  <w:tcW w:w="1145" w:type="dxa"/>
                  <w:vMerge w:val="restart"/>
                  <w:tcBorders>
                    <w:tl2br w:val="nil"/>
                    <w:tr2bl w:val="nil"/>
                  </w:tcBorders>
                  <w:noWrap w:val="0"/>
                  <w:vAlign w:val="center"/>
                </w:tcPr>
                <w:p w14:paraId="3FDB43AC">
                  <w:pPr>
                    <w:jc w:val="center"/>
                    <w:rPr>
                      <w:rFonts w:ascii="Times New Roman" w:hAnsi="Times New Roman"/>
                      <w:szCs w:val="21"/>
                    </w:rPr>
                  </w:pPr>
                  <w:r>
                    <w:rPr>
                      <w:rFonts w:ascii="Times New Roman" w:hAnsi="Times New Roman"/>
                      <w:szCs w:val="21"/>
                    </w:rPr>
                    <w:t>15</w:t>
                  </w:r>
                </w:p>
              </w:tc>
              <w:tc>
                <w:tcPr>
                  <w:tcW w:w="2853" w:type="dxa"/>
                  <w:tcBorders>
                    <w:tl2br w:val="nil"/>
                    <w:tr2bl w:val="nil"/>
                  </w:tcBorders>
                  <w:noWrap w:val="0"/>
                  <w:vAlign w:val="center"/>
                </w:tcPr>
                <w:p w14:paraId="69021FF9">
                  <w:pPr>
                    <w:jc w:val="center"/>
                    <w:rPr>
                      <w:rFonts w:ascii="Times New Roman" w:hAnsi="Times New Roman"/>
                      <w:szCs w:val="21"/>
                    </w:rPr>
                  </w:pPr>
                  <w:r>
                    <w:rPr>
                      <w:rFonts w:ascii="Times New Roman" w:hAnsi="Times New Roman"/>
                      <w:szCs w:val="21"/>
                    </w:rPr>
                    <w:t>安徽省《固定源挥发性有机物综合排放标准 第6部分：其他行业》（DB34/ 4812.6-2024）表1相关标准限值</w:t>
                  </w:r>
                </w:p>
              </w:tc>
            </w:tr>
            <w:tr w14:paraId="57BAD6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2" w:hRule="atLeast"/>
                <w:jc w:val="center"/>
              </w:trPr>
              <w:tc>
                <w:tcPr>
                  <w:tcW w:w="1162" w:type="dxa"/>
                  <w:tcBorders>
                    <w:tl2br w:val="nil"/>
                    <w:tr2bl w:val="nil"/>
                  </w:tcBorders>
                  <w:noWrap w:val="0"/>
                  <w:vAlign w:val="center"/>
                </w:tcPr>
                <w:p w14:paraId="266E8410">
                  <w:pPr>
                    <w:adjustRightInd w:val="0"/>
                    <w:snapToGrid w:val="0"/>
                    <w:jc w:val="center"/>
                    <w:rPr>
                      <w:rFonts w:hint="default" w:ascii="Times New Roman" w:hAnsi="Times New Roman" w:eastAsia="宋体"/>
                      <w:szCs w:val="21"/>
                      <w:lang w:val="en-US" w:eastAsia="zh-CN"/>
                    </w:rPr>
                  </w:pPr>
                  <w:r>
                    <w:rPr>
                      <w:rFonts w:hint="eastAsia" w:ascii="Times New Roman" w:hAnsi="Times New Roman"/>
                      <w:szCs w:val="21"/>
                      <w:lang w:val="en-US" w:eastAsia="zh-CN"/>
                    </w:rPr>
                    <w:t>苯乙烯</w:t>
                  </w:r>
                </w:p>
              </w:tc>
              <w:tc>
                <w:tcPr>
                  <w:tcW w:w="1546" w:type="dxa"/>
                  <w:gridSpan w:val="3"/>
                  <w:tcBorders>
                    <w:tl2br w:val="nil"/>
                    <w:tr2bl w:val="nil"/>
                  </w:tcBorders>
                  <w:noWrap w:val="0"/>
                  <w:vAlign w:val="center"/>
                </w:tcPr>
                <w:p w14:paraId="3997197C">
                  <w:pPr>
                    <w:adjustRightInd w:val="0"/>
                    <w:snapToGrid w:val="0"/>
                    <w:jc w:val="center"/>
                    <w:rPr>
                      <w:rFonts w:hint="default" w:ascii="Times New Roman" w:hAnsi="Times New Roman" w:eastAsia="宋体"/>
                      <w:szCs w:val="21"/>
                      <w:lang w:val="en-US" w:eastAsia="zh-CN"/>
                    </w:rPr>
                  </w:pPr>
                  <w:r>
                    <w:rPr>
                      <w:rFonts w:hint="eastAsia" w:ascii="Times New Roman" w:hAnsi="Times New Roman"/>
                      <w:szCs w:val="21"/>
                      <w:lang w:val="en-US" w:eastAsia="zh-CN"/>
                    </w:rPr>
                    <w:t>20</w:t>
                  </w:r>
                </w:p>
              </w:tc>
              <w:tc>
                <w:tcPr>
                  <w:tcW w:w="1439" w:type="dxa"/>
                  <w:gridSpan w:val="2"/>
                  <w:tcBorders>
                    <w:tl2br w:val="nil"/>
                    <w:tr2bl w:val="nil"/>
                  </w:tcBorders>
                  <w:noWrap w:val="0"/>
                  <w:vAlign w:val="center"/>
                </w:tcPr>
                <w:p w14:paraId="2F99C88F">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7F6C1FF5">
                  <w:pPr>
                    <w:jc w:val="center"/>
                    <w:rPr>
                      <w:rFonts w:ascii="Times New Roman" w:hAnsi="Times New Roman"/>
                      <w:szCs w:val="21"/>
                    </w:rPr>
                  </w:pPr>
                </w:p>
              </w:tc>
              <w:tc>
                <w:tcPr>
                  <w:tcW w:w="2853" w:type="dxa"/>
                  <w:vMerge w:val="restart"/>
                  <w:tcBorders>
                    <w:tl2br w:val="nil"/>
                    <w:tr2bl w:val="nil"/>
                  </w:tcBorders>
                  <w:noWrap w:val="0"/>
                  <w:vAlign w:val="center"/>
                </w:tcPr>
                <w:p w14:paraId="4C116278">
                  <w:pPr>
                    <w:jc w:val="center"/>
                    <w:rPr>
                      <w:rFonts w:ascii="Times New Roman" w:hAnsi="Times New Roman"/>
                      <w:szCs w:val="21"/>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表5大气污染物特别排放限值</w:t>
                  </w:r>
                </w:p>
              </w:tc>
            </w:tr>
            <w:tr w14:paraId="0C95A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62" w:type="dxa"/>
                  <w:tcBorders>
                    <w:tl2br w:val="nil"/>
                    <w:tr2bl w:val="nil"/>
                  </w:tcBorders>
                  <w:noWrap w:val="0"/>
                  <w:vAlign w:val="center"/>
                </w:tcPr>
                <w:p w14:paraId="567CF57C">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甲苯</w:t>
                  </w:r>
                </w:p>
              </w:tc>
              <w:tc>
                <w:tcPr>
                  <w:tcW w:w="1546" w:type="dxa"/>
                  <w:gridSpan w:val="3"/>
                  <w:tcBorders>
                    <w:tl2br w:val="nil"/>
                    <w:tr2bl w:val="nil"/>
                  </w:tcBorders>
                  <w:noWrap w:val="0"/>
                  <w:vAlign w:val="center"/>
                </w:tcPr>
                <w:p w14:paraId="362F7F66">
                  <w:pPr>
                    <w:adjustRightInd w:val="0"/>
                    <w:snapToGrid w:val="0"/>
                    <w:jc w:val="center"/>
                    <w:rPr>
                      <w:rFonts w:hint="default" w:ascii="Times New Roman" w:hAnsi="Times New Roman" w:eastAsia="宋体"/>
                      <w:szCs w:val="21"/>
                      <w:lang w:val="en-US" w:eastAsia="zh-CN"/>
                    </w:rPr>
                  </w:pPr>
                  <w:r>
                    <w:rPr>
                      <w:rFonts w:hint="eastAsia" w:ascii="Times New Roman" w:hAnsi="Times New Roman"/>
                      <w:szCs w:val="21"/>
                      <w:lang w:val="en-US" w:eastAsia="zh-CN"/>
                    </w:rPr>
                    <w:t>8</w:t>
                  </w:r>
                </w:p>
              </w:tc>
              <w:tc>
                <w:tcPr>
                  <w:tcW w:w="1439" w:type="dxa"/>
                  <w:gridSpan w:val="2"/>
                  <w:tcBorders>
                    <w:tl2br w:val="nil"/>
                    <w:tr2bl w:val="nil"/>
                  </w:tcBorders>
                  <w:noWrap w:val="0"/>
                  <w:vAlign w:val="center"/>
                </w:tcPr>
                <w:p w14:paraId="671B98F0">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7C5D7EFA">
                  <w:pPr>
                    <w:jc w:val="center"/>
                    <w:rPr>
                      <w:rFonts w:ascii="Times New Roman" w:hAnsi="Times New Roman"/>
                      <w:szCs w:val="21"/>
                    </w:rPr>
                  </w:pPr>
                </w:p>
              </w:tc>
              <w:tc>
                <w:tcPr>
                  <w:tcW w:w="2853" w:type="dxa"/>
                  <w:vMerge w:val="continue"/>
                  <w:tcBorders>
                    <w:tl2br w:val="nil"/>
                    <w:tr2bl w:val="nil"/>
                  </w:tcBorders>
                  <w:noWrap w:val="0"/>
                  <w:vAlign w:val="center"/>
                </w:tcPr>
                <w:p w14:paraId="6A9D61A9">
                  <w:pPr>
                    <w:jc w:val="center"/>
                    <w:rPr>
                      <w:rFonts w:ascii="Times New Roman" w:hAnsi="Times New Roman"/>
                      <w:szCs w:val="21"/>
                    </w:rPr>
                  </w:pPr>
                </w:p>
              </w:tc>
            </w:tr>
            <w:tr w14:paraId="271AFC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62" w:type="dxa"/>
                  <w:tcBorders>
                    <w:tl2br w:val="nil"/>
                    <w:tr2bl w:val="nil"/>
                  </w:tcBorders>
                  <w:noWrap w:val="0"/>
                  <w:vAlign w:val="center"/>
                </w:tcPr>
                <w:p w14:paraId="393A7FF2">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酚类</w:t>
                  </w:r>
                </w:p>
              </w:tc>
              <w:tc>
                <w:tcPr>
                  <w:tcW w:w="1546" w:type="dxa"/>
                  <w:gridSpan w:val="3"/>
                  <w:tcBorders>
                    <w:tl2br w:val="nil"/>
                    <w:tr2bl w:val="nil"/>
                  </w:tcBorders>
                  <w:noWrap w:val="0"/>
                  <w:vAlign w:val="center"/>
                </w:tcPr>
                <w:p w14:paraId="0C263BBD">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15</w:t>
                  </w:r>
                </w:p>
              </w:tc>
              <w:tc>
                <w:tcPr>
                  <w:tcW w:w="1439" w:type="dxa"/>
                  <w:gridSpan w:val="2"/>
                  <w:tcBorders>
                    <w:tl2br w:val="nil"/>
                    <w:tr2bl w:val="nil"/>
                  </w:tcBorders>
                  <w:noWrap w:val="0"/>
                  <w:vAlign w:val="center"/>
                </w:tcPr>
                <w:p w14:paraId="740716C8">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3D0EDAD8">
                  <w:pPr>
                    <w:jc w:val="center"/>
                    <w:rPr>
                      <w:rFonts w:ascii="Times New Roman" w:hAnsi="Times New Roman"/>
                      <w:szCs w:val="21"/>
                    </w:rPr>
                  </w:pPr>
                </w:p>
              </w:tc>
              <w:tc>
                <w:tcPr>
                  <w:tcW w:w="2853" w:type="dxa"/>
                  <w:vMerge w:val="continue"/>
                  <w:tcBorders>
                    <w:tl2br w:val="nil"/>
                    <w:tr2bl w:val="nil"/>
                  </w:tcBorders>
                  <w:noWrap w:val="0"/>
                  <w:vAlign w:val="center"/>
                </w:tcPr>
                <w:p w14:paraId="107B640E">
                  <w:pPr>
                    <w:jc w:val="center"/>
                    <w:rPr>
                      <w:rFonts w:ascii="Times New Roman" w:hAnsi="Times New Roman"/>
                      <w:szCs w:val="21"/>
                    </w:rPr>
                  </w:pPr>
                </w:p>
              </w:tc>
            </w:tr>
            <w:tr w14:paraId="73A0E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0" w:hRule="atLeast"/>
                <w:jc w:val="center"/>
              </w:trPr>
              <w:tc>
                <w:tcPr>
                  <w:tcW w:w="1162" w:type="dxa"/>
                  <w:tcBorders>
                    <w:tl2br w:val="nil"/>
                    <w:tr2bl w:val="nil"/>
                  </w:tcBorders>
                  <w:noWrap w:val="0"/>
                  <w:vAlign w:val="center"/>
                </w:tcPr>
                <w:p w14:paraId="0C6E6D10">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氯苯类</w:t>
                  </w:r>
                </w:p>
              </w:tc>
              <w:tc>
                <w:tcPr>
                  <w:tcW w:w="1546" w:type="dxa"/>
                  <w:gridSpan w:val="3"/>
                  <w:tcBorders>
                    <w:tl2br w:val="nil"/>
                    <w:tr2bl w:val="nil"/>
                  </w:tcBorders>
                  <w:noWrap w:val="0"/>
                  <w:vAlign w:val="center"/>
                </w:tcPr>
                <w:p w14:paraId="1CD5E482">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20</w:t>
                  </w:r>
                </w:p>
              </w:tc>
              <w:tc>
                <w:tcPr>
                  <w:tcW w:w="1439" w:type="dxa"/>
                  <w:gridSpan w:val="2"/>
                  <w:tcBorders>
                    <w:tl2br w:val="nil"/>
                    <w:tr2bl w:val="nil"/>
                  </w:tcBorders>
                  <w:noWrap w:val="0"/>
                  <w:vAlign w:val="center"/>
                </w:tcPr>
                <w:p w14:paraId="74F1585C">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5400B7EF">
                  <w:pPr>
                    <w:jc w:val="center"/>
                    <w:rPr>
                      <w:rFonts w:ascii="Times New Roman" w:hAnsi="Times New Roman"/>
                      <w:szCs w:val="21"/>
                    </w:rPr>
                  </w:pPr>
                </w:p>
              </w:tc>
              <w:tc>
                <w:tcPr>
                  <w:tcW w:w="2853" w:type="dxa"/>
                  <w:vMerge w:val="continue"/>
                  <w:tcBorders>
                    <w:tl2br w:val="nil"/>
                    <w:tr2bl w:val="nil"/>
                  </w:tcBorders>
                  <w:noWrap w:val="0"/>
                  <w:vAlign w:val="center"/>
                </w:tcPr>
                <w:p w14:paraId="5FD6075E">
                  <w:pPr>
                    <w:jc w:val="center"/>
                    <w:rPr>
                      <w:rFonts w:ascii="Times New Roman" w:hAnsi="Times New Roman"/>
                      <w:szCs w:val="21"/>
                    </w:rPr>
                  </w:pPr>
                </w:p>
              </w:tc>
            </w:tr>
            <w:tr w14:paraId="0E749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162" w:type="dxa"/>
                  <w:tcBorders>
                    <w:tl2br w:val="nil"/>
                    <w:tr2bl w:val="nil"/>
                  </w:tcBorders>
                  <w:noWrap w:val="0"/>
                  <w:vAlign w:val="center"/>
                </w:tcPr>
                <w:p w14:paraId="182CC1CF">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乙苯</w:t>
                  </w:r>
                </w:p>
              </w:tc>
              <w:tc>
                <w:tcPr>
                  <w:tcW w:w="1546" w:type="dxa"/>
                  <w:gridSpan w:val="3"/>
                  <w:tcBorders>
                    <w:tl2br w:val="nil"/>
                    <w:tr2bl w:val="nil"/>
                  </w:tcBorders>
                  <w:noWrap w:val="0"/>
                  <w:vAlign w:val="center"/>
                </w:tcPr>
                <w:p w14:paraId="16F3B956">
                  <w:pPr>
                    <w:adjustRightInd w:val="0"/>
                    <w:snapToGrid w:val="0"/>
                    <w:jc w:val="center"/>
                    <w:rPr>
                      <w:rFonts w:hint="default" w:ascii="Times New Roman" w:hAnsi="Times New Roman" w:eastAsia="宋体"/>
                      <w:szCs w:val="21"/>
                      <w:lang w:val="en-US" w:eastAsia="zh-CN"/>
                    </w:rPr>
                  </w:pPr>
                  <w:r>
                    <w:rPr>
                      <w:rFonts w:hint="eastAsia" w:ascii="Times New Roman" w:hAnsi="Times New Roman"/>
                      <w:szCs w:val="21"/>
                      <w:lang w:val="en-US" w:eastAsia="zh-CN"/>
                    </w:rPr>
                    <w:t>50</w:t>
                  </w:r>
                </w:p>
              </w:tc>
              <w:tc>
                <w:tcPr>
                  <w:tcW w:w="1439" w:type="dxa"/>
                  <w:gridSpan w:val="2"/>
                  <w:tcBorders>
                    <w:tl2br w:val="nil"/>
                    <w:tr2bl w:val="nil"/>
                  </w:tcBorders>
                  <w:noWrap w:val="0"/>
                  <w:vAlign w:val="center"/>
                </w:tcPr>
                <w:p w14:paraId="54A2B4EE">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4AFDCFB2">
                  <w:pPr>
                    <w:jc w:val="center"/>
                    <w:rPr>
                      <w:rFonts w:ascii="Times New Roman" w:hAnsi="Times New Roman"/>
                      <w:szCs w:val="21"/>
                    </w:rPr>
                  </w:pPr>
                </w:p>
              </w:tc>
              <w:tc>
                <w:tcPr>
                  <w:tcW w:w="2853" w:type="dxa"/>
                  <w:vMerge w:val="continue"/>
                  <w:tcBorders>
                    <w:tl2br w:val="nil"/>
                    <w:tr2bl w:val="nil"/>
                  </w:tcBorders>
                  <w:noWrap w:val="0"/>
                  <w:vAlign w:val="center"/>
                </w:tcPr>
                <w:p w14:paraId="43F6CDE9">
                  <w:pPr>
                    <w:jc w:val="center"/>
                    <w:rPr>
                      <w:rFonts w:ascii="Times New Roman" w:hAnsi="Times New Roman"/>
                      <w:szCs w:val="21"/>
                    </w:rPr>
                  </w:pPr>
                </w:p>
              </w:tc>
            </w:tr>
            <w:tr w14:paraId="1D880B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162" w:type="dxa"/>
                  <w:tcBorders>
                    <w:tl2br w:val="nil"/>
                    <w:tr2bl w:val="nil"/>
                  </w:tcBorders>
                  <w:noWrap w:val="0"/>
                  <w:vAlign w:val="center"/>
                </w:tcPr>
                <w:p w14:paraId="45D57514">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二氯甲烷</w:t>
                  </w:r>
                </w:p>
              </w:tc>
              <w:tc>
                <w:tcPr>
                  <w:tcW w:w="1546" w:type="dxa"/>
                  <w:gridSpan w:val="3"/>
                  <w:tcBorders>
                    <w:tl2br w:val="nil"/>
                    <w:tr2bl w:val="nil"/>
                  </w:tcBorders>
                  <w:noWrap w:val="0"/>
                  <w:vAlign w:val="center"/>
                </w:tcPr>
                <w:p w14:paraId="63E83192">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50</w:t>
                  </w:r>
                </w:p>
              </w:tc>
              <w:tc>
                <w:tcPr>
                  <w:tcW w:w="1439" w:type="dxa"/>
                  <w:gridSpan w:val="2"/>
                  <w:tcBorders>
                    <w:tl2br w:val="nil"/>
                    <w:tr2bl w:val="nil"/>
                  </w:tcBorders>
                  <w:noWrap w:val="0"/>
                  <w:vAlign w:val="center"/>
                </w:tcPr>
                <w:p w14:paraId="4AE3AB81">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w:t>
                  </w:r>
                </w:p>
              </w:tc>
              <w:tc>
                <w:tcPr>
                  <w:tcW w:w="1145" w:type="dxa"/>
                  <w:vMerge w:val="continue"/>
                  <w:tcBorders>
                    <w:tl2br w:val="nil"/>
                    <w:tr2bl w:val="nil"/>
                  </w:tcBorders>
                  <w:noWrap w:val="0"/>
                  <w:vAlign w:val="center"/>
                </w:tcPr>
                <w:p w14:paraId="253FD8A7">
                  <w:pPr>
                    <w:jc w:val="center"/>
                    <w:rPr>
                      <w:rFonts w:ascii="Times New Roman" w:hAnsi="Times New Roman"/>
                      <w:szCs w:val="21"/>
                    </w:rPr>
                  </w:pPr>
                </w:p>
              </w:tc>
              <w:tc>
                <w:tcPr>
                  <w:tcW w:w="2853" w:type="dxa"/>
                  <w:vMerge w:val="continue"/>
                  <w:tcBorders>
                    <w:tl2br w:val="nil"/>
                    <w:tr2bl w:val="nil"/>
                  </w:tcBorders>
                  <w:noWrap w:val="0"/>
                  <w:vAlign w:val="center"/>
                </w:tcPr>
                <w:p w14:paraId="028DBF54">
                  <w:pPr>
                    <w:jc w:val="center"/>
                    <w:rPr>
                      <w:rFonts w:ascii="Times New Roman" w:hAnsi="Times New Roman"/>
                      <w:szCs w:val="21"/>
                    </w:rPr>
                  </w:pPr>
                </w:p>
              </w:tc>
            </w:tr>
            <w:tr w14:paraId="48321C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5292" w:type="dxa"/>
                  <w:gridSpan w:val="7"/>
                  <w:tcBorders>
                    <w:tl2br w:val="nil"/>
                    <w:tr2bl w:val="nil"/>
                  </w:tcBorders>
                  <w:noWrap w:val="0"/>
                  <w:vAlign w:val="center"/>
                </w:tcPr>
                <w:p w14:paraId="60DA32D6">
                  <w:pPr>
                    <w:jc w:val="center"/>
                    <w:rPr>
                      <w:rFonts w:ascii="Times New Roman" w:hAnsi="Times New Roman"/>
                      <w:b/>
                      <w:szCs w:val="21"/>
                    </w:rPr>
                  </w:pPr>
                  <w:r>
                    <w:rPr>
                      <w:rFonts w:ascii="Times New Roman" w:hAnsi="Times New Roman"/>
                      <w:b/>
                      <w:szCs w:val="21"/>
                    </w:rPr>
                    <w:t>单位产品非甲烷总烃排放量（kg/t产品）：0.3</w:t>
                  </w:r>
                </w:p>
              </w:tc>
              <w:tc>
                <w:tcPr>
                  <w:tcW w:w="2853" w:type="dxa"/>
                  <w:vMerge w:val="continue"/>
                  <w:tcBorders>
                    <w:tl2br w:val="nil"/>
                    <w:tr2bl w:val="nil"/>
                  </w:tcBorders>
                  <w:noWrap w:val="0"/>
                  <w:vAlign w:val="center"/>
                </w:tcPr>
                <w:p w14:paraId="1575DC41">
                  <w:pPr>
                    <w:jc w:val="center"/>
                    <w:rPr>
                      <w:rFonts w:ascii="Times New Roman" w:hAnsi="Times New Roman"/>
                      <w:b/>
                      <w:szCs w:val="21"/>
                    </w:rPr>
                  </w:pPr>
                </w:p>
              </w:tc>
            </w:tr>
            <w:tr w14:paraId="5E6BB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1280" w:type="dxa"/>
                  <w:gridSpan w:val="2"/>
                  <w:tcBorders>
                    <w:tl2br w:val="nil"/>
                    <w:tr2bl w:val="nil"/>
                  </w:tcBorders>
                  <w:noWrap w:val="0"/>
                  <w:vAlign w:val="center"/>
                </w:tcPr>
                <w:p w14:paraId="143D6EE9">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臭气浓度</w:t>
                  </w:r>
                </w:p>
              </w:tc>
              <w:tc>
                <w:tcPr>
                  <w:tcW w:w="1280" w:type="dxa"/>
                  <w:tcBorders>
                    <w:tl2br w:val="nil"/>
                    <w:tr2bl w:val="nil"/>
                  </w:tcBorders>
                  <w:noWrap w:val="0"/>
                  <w:vAlign w:val="center"/>
                </w:tcPr>
                <w:p w14:paraId="0FDCDCF7">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w:t>
                  </w:r>
                </w:p>
              </w:tc>
              <w:tc>
                <w:tcPr>
                  <w:tcW w:w="1280" w:type="dxa"/>
                  <w:gridSpan w:val="2"/>
                  <w:tcBorders>
                    <w:tl2br w:val="nil"/>
                    <w:tr2bl w:val="nil"/>
                  </w:tcBorders>
                  <w:noWrap w:val="0"/>
                  <w:vAlign w:val="center"/>
                </w:tcPr>
                <w:p w14:paraId="245831EE">
                  <w:pPr>
                    <w:jc w:val="center"/>
                    <w:rPr>
                      <w:rFonts w:hint="eastAsia" w:ascii="Times New Roman" w:hAnsi="Times New Roman" w:eastAsia="宋体"/>
                      <w:b/>
                      <w:szCs w:val="21"/>
                      <w:lang w:val="en-US" w:eastAsia="zh-CN"/>
                    </w:rPr>
                  </w:pPr>
                  <w:r>
                    <w:rPr>
                      <w:rFonts w:ascii="Times New Roman" w:hAnsi="Times New Roman"/>
                      <w:szCs w:val="21"/>
                    </w:rPr>
                    <w:t>2000（无量纲）</w:t>
                  </w:r>
                </w:p>
              </w:tc>
              <w:tc>
                <w:tcPr>
                  <w:tcW w:w="1452" w:type="dxa"/>
                  <w:gridSpan w:val="2"/>
                  <w:tcBorders>
                    <w:tl2br w:val="nil"/>
                    <w:tr2bl w:val="nil"/>
                  </w:tcBorders>
                  <w:noWrap w:val="0"/>
                  <w:vAlign w:val="center"/>
                </w:tcPr>
                <w:p w14:paraId="4D526987">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15</w:t>
                  </w:r>
                </w:p>
              </w:tc>
              <w:tc>
                <w:tcPr>
                  <w:tcW w:w="2853" w:type="dxa"/>
                  <w:tcBorders>
                    <w:tl2br w:val="nil"/>
                    <w:tr2bl w:val="nil"/>
                  </w:tcBorders>
                  <w:noWrap w:val="0"/>
                  <w:vAlign w:val="center"/>
                </w:tcPr>
                <w:p w14:paraId="1F8973E5">
                  <w:pPr>
                    <w:jc w:val="center"/>
                    <w:rPr>
                      <w:rFonts w:ascii="Times New Roman" w:hAnsi="Times New Roman"/>
                      <w:b/>
                      <w:szCs w:val="21"/>
                    </w:rPr>
                  </w:pPr>
                  <w:r>
                    <w:rPr>
                      <w:rFonts w:hint="eastAsia" w:ascii="Times New Roman" w:hAnsi="Times New Roman"/>
                      <w:kern w:val="0"/>
                      <w:szCs w:val="21"/>
                      <w:lang w:val="en-US" w:eastAsia="zh-CN"/>
                    </w:rPr>
                    <w:t>《恶臭污染物排放标准》（GB14554-93）</w:t>
                  </w:r>
                </w:p>
              </w:tc>
            </w:tr>
          </w:tbl>
          <w:p w14:paraId="0FC705F7">
            <w:pPr>
              <w:adjustRightInd w:val="0"/>
              <w:snapToGrid w:val="0"/>
              <w:jc w:val="center"/>
              <w:rPr>
                <w:rFonts w:ascii="Times New Roman" w:hAnsi="Times New Roman"/>
                <w:b/>
                <w:sz w:val="24"/>
              </w:rPr>
            </w:pPr>
            <w:r>
              <w:rPr>
                <w:rFonts w:ascii="Times New Roman" w:hAnsi="Times New Roman"/>
                <w:b/>
                <w:sz w:val="24"/>
              </w:rPr>
              <w:t>表3-</w:t>
            </w:r>
            <w:r>
              <w:rPr>
                <w:rFonts w:hint="eastAsia"/>
                <w:b/>
                <w:sz w:val="24"/>
                <w:lang w:val="en-US" w:eastAsia="zh-CN"/>
              </w:rPr>
              <w:t>4</w:t>
            </w:r>
            <w:r>
              <w:rPr>
                <w:rFonts w:ascii="Times New Roman" w:hAnsi="Times New Roman"/>
                <w:b/>
                <w:sz w:val="24"/>
              </w:rPr>
              <w:t xml:space="preserve"> </w:t>
            </w:r>
            <w:bookmarkStart w:id="5" w:name="OLE_LINK8"/>
            <w:r>
              <w:rPr>
                <w:rFonts w:ascii="Times New Roman" w:hAnsi="Times New Roman"/>
                <w:b/>
                <w:sz w:val="24"/>
              </w:rPr>
              <w:t>本项目无组织废气排放限值</w:t>
            </w:r>
            <w:bookmarkEnd w:id="5"/>
            <w:r>
              <w:rPr>
                <w:rFonts w:ascii="Times New Roman" w:hAnsi="Times New Roman"/>
                <w:b/>
                <w:kern w:val="24"/>
                <w:sz w:val="24"/>
              </w:rPr>
              <w:t xml:space="preserve"> （单位：mg/m</w:t>
            </w:r>
            <w:r>
              <w:rPr>
                <w:rFonts w:ascii="Times New Roman" w:hAnsi="Times New Roman"/>
                <w:b/>
                <w:kern w:val="24"/>
                <w:sz w:val="24"/>
                <w:vertAlign w:val="superscript"/>
              </w:rPr>
              <w:t>3</w:t>
            </w:r>
            <w:r>
              <w:rPr>
                <w:rFonts w:ascii="Times New Roman" w:hAnsi="Times New Roman"/>
                <w:b/>
                <w:kern w:val="24"/>
                <w:sz w:val="24"/>
              </w:rPr>
              <w:t>）</w:t>
            </w:r>
          </w:p>
          <w:tbl>
            <w:tblPr>
              <w:tblStyle w:val="58"/>
              <w:tblW w:w="83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34"/>
              <w:gridCol w:w="895"/>
              <w:gridCol w:w="1531"/>
              <w:gridCol w:w="1189"/>
              <w:gridCol w:w="4070"/>
            </w:tblGrid>
            <w:tr w14:paraId="04964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381" w:type="pct"/>
                  <w:tcBorders>
                    <w:tl2br w:val="nil"/>
                    <w:tr2bl w:val="nil"/>
                  </w:tcBorders>
                  <w:noWrap/>
                  <w:vAlign w:val="center"/>
                </w:tcPr>
                <w:p w14:paraId="1B51457C">
                  <w:pPr>
                    <w:jc w:val="center"/>
                    <w:rPr>
                      <w:rFonts w:ascii="Times New Roman" w:hAnsi="Times New Roman"/>
                      <w:b/>
                      <w:bCs/>
                      <w:kern w:val="0"/>
                      <w:szCs w:val="21"/>
                    </w:rPr>
                  </w:pPr>
                  <w:r>
                    <w:rPr>
                      <w:rFonts w:ascii="Times New Roman" w:hAnsi="Times New Roman"/>
                      <w:b/>
                      <w:bCs/>
                      <w:kern w:val="0"/>
                      <w:szCs w:val="21"/>
                    </w:rPr>
                    <w:t>污染物项目</w:t>
                  </w:r>
                </w:p>
              </w:tc>
              <w:tc>
                <w:tcPr>
                  <w:tcW w:w="537" w:type="pct"/>
                  <w:tcBorders>
                    <w:tl2br w:val="nil"/>
                    <w:tr2bl w:val="nil"/>
                  </w:tcBorders>
                  <w:noWrap/>
                  <w:vAlign w:val="center"/>
                </w:tcPr>
                <w:p w14:paraId="4026BA2C">
                  <w:pPr>
                    <w:jc w:val="center"/>
                    <w:rPr>
                      <w:rFonts w:ascii="Times New Roman" w:hAnsi="Times New Roman"/>
                      <w:b/>
                      <w:bCs/>
                      <w:kern w:val="0"/>
                      <w:szCs w:val="21"/>
                    </w:rPr>
                  </w:pPr>
                  <w:r>
                    <w:rPr>
                      <w:rFonts w:ascii="Times New Roman" w:hAnsi="Times New Roman"/>
                      <w:b/>
                      <w:bCs/>
                      <w:kern w:val="0"/>
                      <w:szCs w:val="21"/>
                    </w:rPr>
                    <w:t>特别排放限值</w:t>
                  </w:r>
                </w:p>
              </w:tc>
              <w:tc>
                <w:tcPr>
                  <w:tcW w:w="920" w:type="pct"/>
                  <w:tcBorders>
                    <w:tl2br w:val="nil"/>
                    <w:tr2bl w:val="nil"/>
                  </w:tcBorders>
                  <w:noWrap/>
                  <w:vAlign w:val="center"/>
                </w:tcPr>
                <w:p w14:paraId="377B6339">
                  <w:pPr>
                    <w:jc w:val="center"/>
                    <w:rPr>
                      <w:rFonts w:ascii="Times New Roman" w:hAnsi="Times New Roman"/>
                      <w:b/>
                      <w:bCs/>
                      <w:kern w:val="0"/>
                      <w:szCs w:val="21"/>
                    </w:rPr>
                  </w:pPr>
                  <w:r>
                    <w:rPr>
                      <w:rFonts w:ascii="Times New Roman" w:hAnsi="Times New Roman"/>
                      <w:b/>
                      <w:bCs/>
                      <w:kern w:val="0"/>
                      <w:szCs w:val="21"/>
                    </w:rPr>
                    <w:t>限值含义</w:t>
                  </w:r>
                </w:p>
              </w:tc>
              <w:tc>
                <w:tcPr>
                  <w:tcW w:w="714" w:type="pct"/>
                  <w:tcBorders>
                    <w:tl2br w:val="nil"/>
                    <w:tr2bl w:val="nil"/>
                  </w:tcBorders>
                  <w:noWrap/>
                  <w:vAlign w:val="center"/>
                </w:tcPr>
                <w:p w14:paraId="2212E7B7">
                  <w:pPr>
                    <w:jc w:val="center"/>
                    <w:rPr>
                      <w:rFonts w:ascii="Times New Roman" w:hAnsi="Times New Roman"/>
                      <w:b/>
                      <w:bCs/>
                      <w:kern w:val="0"/>
                      <w:szCs w:val="21"/>
                    </w:rPr>
                  </w:pPr>
                  <w:r>
                    <w:rPr>
                      <w:rFonts w:ascii="Times New Roman" w:hAnsi="Times New Roman"/>
                      <w:b/>
                      <w:bCs/>
                      <w:kern w:val="0"/>
                      <w:szCs w:val="21"/>
                    </w:rPr>
                    <w:t>无组织排放监控位置</w:t>
                  </w:r>
                </w:p>
              </w:tc>
              <w:tc>
                <w:tcPr>
                  <w:tcW w:w="2446" w:type="pct"/>
                  <w:tcBorders>
                    <w:tl2br w:val="nil"/>
                    <w:tr2bl w:val="nil"/>
                  </w:tcBorders>
                  <w:noWrap/>
                  <w:vAlign w:val="center"/>
                </w:tcPr>
                <w:p w14:paraId="40A4E8B7">
                  <w:pPr>
                    <w:jc w:val="center"/>
                    <w:rPr>
                      <w:rFonts w:ascii="Times New Roman" w:hAnsi="Times New Roman"/>
                      <w:b/>
                      <w:bCs/>
                      <w:kern w:val="0"/>
                      <w:szCs w:val="21"/>
                    </w:rPr>
                  </w:pPr>
                  <w:r>
                    <w:rPr>
                      <w:rFonts w:ascii="Times New Roman" w:hAnsi="Times New Roman"/>
                      <w:b/>
                      <w:szCs w:val="21"/>
                    </w:rPr>
                    <w:t>标准来源</w:t>
                  </w:r>
                </w:p>
              </w:tc>
            </w:tr>
            <w:tr w14:paraId="7775F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vMerge w:val="restart"/>
                  <w:tcBorders>
                    <w:tl2br w:val="nil"/>
                    <w:tr2bl w:val="nil"/>
                  </w:tcBorders>
                  <w:noWrap/>
                  <w:vAlign w:val="center"/>
                </w:tcPr>
                <w:p w14:paraId="6E06C0BF">
                  <w:pPr>
                    <w:jc w:val="center"/>
                    <w:rPr>
                      <w:rFonts w:ascii="Times New Roman" w:hAnsi="Times New Roman"/>
                      <w:kern w:val="0"/>
                      <w:szCs w:val="21"/>
                    </w:rPr>
                  </w:pPr>
                  <w:r>
                    <w:rPr>
                      <w:rFonts w:ascii="Times New Roman" w:hAnsi="Times New Roman"/>
                      <w:szCs w:val="21"/>
                    </w:rPr>
                    <w:t>非甲烷总烃</w:t>
                  </w:r>
                </w:p>
              </w:tc>
              <w:tc>
                <w:tcPr>
                  <w:tcW w:w="537" w:type="pct"/>
                  <w:tcBorders>
                    <w:tl2br w:val="nil"/>
                    <w:tr2bl w:val="nil"/>
                  </w:tcBorders>
                  <w:noWrap/>
                  <w:vAlign w:val="center"/>
                </w:tcPr>
                <w:p w14:paraId="2FA8A94F">
                  <w:pPr>
                    <w:jc w:val="center"/>
                    <w:rPr>
                      <w:rFonts w:ascii="Times New Roman" w:hAnsi="Times New Roman"/>
                      <w:kern w:val="0"/>
                      <w:szCs w:val="21"/>
                    </w:rPr>
                  </w:pPr>
                  <w:r>
                    <w:rPr>
                      <w:rFonts w:ascii="Times New Roman" w:hAnsi="Times New Roman"/>
                      <w:kern w:val="0"/>
                      <w:szCs w:val="21"/>
                    </w:rPr>
                    <w:t>6</w:t>
                  </w:r>
                </w:p>
              </w:tc>
              <w:tc>
                <w:tcPr>
                  <w:tcW w:w="920" w:type="pct"/>
                  <w:tcBorders>
                    <w:tl2br w:val="nil"/>
                    <w:tr2bl w:val="nil"/>
                  </w:tcBorders>
                  <w:noWrap/>
                  <w:vAlign w:val="center"/>
                </w:tcPr>
                <w:p w14:paraId="092203AF">
                  <w:pPr>
                    <w:jc w:val="center"/>
                    <w:rPr>
                      <w:rFonts w:ascii="Times New Roman" w:hAnsi="Times New Roman"/>
                      <w:kern w:val="0"/>
                      <w:szCs w:val="21"/>
                    </w:rPr>
                  </w:pPr>
                  <w:r>
                    <w:rPr>
                      <w:rFonts w:ascii="Times New Roman" w:hAnsi="Times New Roman"/>
                      <w:kern w:val="0"/>
                      <w:szCs w:val="21"/>
                    </w:rPr>
                    <w:t>监控点处1h平均浓度值</w:t>
                  </w:r>
                </w:p>
              </w:tc>
              <w:tc>
                <w:tcPr>
                  <w:tcW w:w="714" w:type="pct"/>
                  <w:vMerge w:val="restart"/>
                  <w:tcBorders>
                    <w:tl2br w:val="nil"/>
                    <w:tr2bl w:val="nil"/>
                  </w:tcBorders>
                  <w:noWrap/>
                  <w:vAlign w:val="center"/>
                </w:tcPr>
                <w:p w14:paraId="7B6A2E20">
                  <w:pPr>
                    <w:jc w:val="center"/>
                    <w:rPr>
                      <w:rFonts w:ascii="Times New Roman" w:hAnsi="Times New Roman"/>
                      <w:kern w:val="0"/>
                      <w:szCs w:val="21"/>
                    </w:rPr>
                  </w:pPr>
                  <w:r>
                    <w:rPr>
                      <w:rFonts w:ascii="Times New Roman" w:hAnsi="Times New Roman"/>
                      <w:kern w:val="0"/>
                      <w:szCs w:val="21"/>
                    </w:rPr>
                    <w:t>在厂房外设置监控点</w:t>
                  </w:r>
                </w:p>
              </w:tc>
              <w:tc>
                <w:tcPr>
                  <w:tcW w:w="2446" w:type="pct"/>
                  <w:vMerge w:val="restart"/>
                  <w:tcBorders>
                    <w:tl2br w:val="nil"/>
                    <w:tr2bl w:val="nil"/>
                  </w:tcBorders>
                  <w:noWrap/>
                  <w:vAlign w:val="center"/>
                </w:tcPr>
                <w:p w14:paraId="27C733F7">
                  <w:pPr>
                    <w:jc w:val="center"/>
                    <w:rPr>
                      <w:rFonts w:ascii="Times New Roman" w:hAnsi="Times New Roman"/>
                      <w:kern w:val="0"/>
                      <w:szCs w:val="21"/>
                    </w:rPr>
                  </w:pPr>
                  <w:r>
                    <w:rPr>
                      <w:rFonts w:ascii="Times New Roman" w:hAnsi="Times New Roman"/>
                      <w:szCs w:val="21"/>
                    </w:rPr>
                    <w:t>安徽省《固定源挥发性有机物综合排放标准 第6部分：其他行业》（DB34/ 4812.6-2024）表4相关标准限值</w:t>
                  </w:r>
                </w:p>
              </w:tc>
            </w:tr>
            <w:tr w14:paraId="6CF1B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vMerge w:val="continue"/>
                  <w:tcBorders>
                    <w:tl2br w:val="nil"/>
                    <w:tr2bl w:val="nil"/>
                  </w:tcBorders>
                  <w:noWrap/>
                  <w:vAlign w:val="center"/>
                </w:tcPr>
                <w:p w14:paraId="35EC6972">
                  <w:pPr>
                    <w:jc w:val="center"/>
                    <w:rPr>
                      <w:rFonts w:ascii="Times New Roman" w:hAnsi="Times New Roman"/>
                      <w:kern w:val="0"/>
                      <w:szCs w:val="21"/>
                    </w:rPr>
                  </w:pPr>
                </w:p>
              </w:tc>
              <w:tc>
                <w:tcPr>
                  <w:tcW w:w="537" w:type="pct"/>
                  <w:tcBorders>
                    <w:tl2br w:val="nil"/>
                    <w:tr2bl w:val="nil"/>
                  </w:tcBorders>
                  <w:noWrap/>
                  <w:vAlign w:val="center"/>
                </w:tcPr>
                <w:p w14:paraId="53A9EADB">
                  <w:pPr>
                    <w:jc w:val="center"/>
                    <w:rPr>
                      <w:rFonts w:ascii="Times New Roman" w:hAnsi="Times New Roman"/>
                      <w:kern w:val="0"/>
                      <w:szCs w:val="21"/>
                    </w:rPr>
                  </w:pPr>
                  <w:r>
                    <w:rPr>
                      <w:rFonts w:ascii="Times New Roman" w:hAnsi="Times New Roman"/>
                      <w:kern w:val="0"/>
                      <w:szCs w:val="21"/>
                    </w:rPr>
                    <w:t>20</w:t>
                  </w:r>
                </w:p>
              </w:tc>
              <w:tc>
                <w:tcPr>
                  <w:tcW w:w="920" w:type="pct"/>
                  <w:tcBorders>
                    <w:tl2br w:val="nil"/>
                    <w:tr2bl w:val="nil"/>
                  </w:tcBorders>
                  <w:noWrap/>
                  <w:vAlign w:val="center"/>
                </w:tcPr>
                <w:p w14:paraId="6BA6002B">
                  <w:pPr>
                    <w:jc w:val="center"/>
                    <w:rPr>
                      <w:rFonts w:ascii="Times New Roman" w:hAnsi="Times New Roman"/>
                      <w:kern w:val="0"/>
                      <w:szCs w:val="21"/>
                    </w:rPr>
                  </w:pPr>
                  <w:r>
                    <w:rPr>
                      <w:rFonts w:ascii="Times New Roman" w:hAnsi="Times New Roman"/>
                      <w:kern w:val="0"/>
                      <w:szCs w:val="21"/>
                    </w:rPr>
                    <w:t>监控点处任意一次浓度值</w:t>
                  </w:r>
                </w:p>
              </w:tc>
              <w:tc>
                <w:tcPr>
                  <w:tcW w:w="714" w:type="pct"/>
                  <w:vMerge w:val="continue"/>
                  <w:tcBorders>
                    <w:tl2br w:val="nil"/>
                    <w:tr2bl w:val="nil"/>
                  </w:tcBorders>
                  <w:noWrap/>
                  <w:vAlign w:val="center"/>
                </w:tcPr>
                <w:p w14:paraId="79C6C72C">
                  <w:pPr>
                    <w:jc w:val="center"/>
                    <w:rPr>
                      <w:rFonts w:ascii="Times New Roman" w:hAnsi="Times New Roman"/>
                      <w:kern w:val="0"/>
                      <w:szCs w:val="21"/>
                    </w:rPr>
                  </w:pPr>
                </w:p>
              </w:tc>
              <w:tc>
                <w:tcPr>
                  <w:tcW w:w="2446" w:type="pct"/>
                  <w:vMerge w:val="continue"/>
                  <w:tcBorders>
                    <w:tl2br w:val="nil"/>
                    <w:tr2bl w:val="nil"/>
                  </w:tcBorders>
                  <w:noWrap/>
                  <w:vAlign w:val="center"/>
                </w:tcPr>
                <w:p w14:paraId="603F58D9">
                  <w:pPr>
                    <w:jc w:val="center"/>
                    <w:rPr>
                      <w:rFonts w:ascii="Times New Roman" w:hAnsi="Times New Roman"/>
                      <w:kern w:val="0"/>
                      <w:szCs w:val="21"/>
                    </w:rPr>
                  </w:pPr>
                </w:p>
              </w:tc>
            </w:tr>
            <w:tr w14:paraId="358EB0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9" w:hRule="atLeast"/>
                <w:jc w:val="center"/>
              </w:trPr>
              <w:tc>
                <w:tcPr>
                  <w:tcW w:w="381" w:type="pct"/>
                  <w:tcBorders>
                    <w:tl2br w:val="nil"/>
                    <w:tr2bl w:val="nil"/>
                  </w:tcBorders>
                  <w:noWrap/>
                  <w:vAlign w:val="center"/>
                </w:tcPr>
                <w:p w14:paraId="76883FF1">
                  <w:pPr>
                    <w:jc w:val="center"/>
                    <w:rPr>
                      <w:rFonts w:ascii="Times New Roman" w:hAnsi="Times New Roman"/>
                      <w:kern w:val="0"/>
                      <w:szCs w:val="21"/>
                    </w:rPr>
                  </w:pPr>
                  <w:r>
                    <w:rPr>
                      <w:rFonts w:hint="eastAsia" w:ascii="Times New Roman" w:hAnsi="Times New Roman"/>
                      <w:szCs w:val="21"/>
                      <w:lang w:val="en-US" w:eastAsia="zh-CN"/>
                    </w:rPr>
                    <w:t>非甲烷总烃</w:t>
                  </w:r>
                </w:p>
              </w:tc>
              <w:tc>
                <w:tcPr>
                  <w:tcW w:w="537" w:type="pct"/>
                  <w:tcBorders>
                    <w:tl2br w:val="nil"/>
                    <w:tr2bl w:val="nil"/>
                  </w:tcBorders>
                  <w:noWrap/>
                  <w:vAlign w:val="center"/>
                </w:tcPr>
                <w:p w14:paraId="0AAD9832">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4</w:t>
                  </w:r>
                </w:p>
              </w:tc>
              <w:tc>
                <w:tcPr>
                  <w:tcW w:w="920" w:type="pct"/>
                  <w:tcBorders>
                    <w:tl2br w:val="nil"/>
                    <w:tr2bl w:val="nil"/>
                  </w:tcBorders>
                  <w:noWrap/>
                  <w:vAlign w:val="center"/>
                </w:tcPr>
                <w:p w14:paraId="3D5E09C6">
                  <w:pPr>
                    <w:jc w:val="center"/>
                    <w:rPr>
                      <w:rFonts w:ascii="Times New Roman" w:hAnsi="Times New Roman"/>
                      <w:kern w:val="0"/>
                      <w:szCs w:val="21"/>
                    </w:rPr>
                  </w:pPr>
                  <w:r>
                    <w:rPr>
                      <w:rFonts w:ascii="Times New Roman" w:hAnsi="Times New Roman"/>
                      <w:spacing w:val="-4"/>
                      <w:szCs w:val="21"/>
                    </w:rPr>
                    <w:t>企业边界任何1h大气污染物平均浓度</w:t>
                  </w:r>
                </w:p>
              </w:tc>
              <w:tc>
                <w:tcPr>
                  <w:tcW w:w="714" w:type="pct"/>
                  <w:tcBorders>
                    <w:tl2br w:val="nil"/>
                    <w:tr2bl w:val="nil"/>
                  </w:tcBorders>
                  <w:noWrap/>
                  <w:vAlign w:val="center"/>
                </w:tcPr>
                <w:p w14:paraId="1962EBE0">
                  <w:pPr>
                    <w:jc w:val="center"/>
                    <w:rPr>
                      <w:rFonts w:ascii="Times New Roman" w:hAnsi="Times New Roman"/>
                      <w:kern w:val="0"/>
                      <w:szCs w:val="21"/>
                    </w:rPr>
                  </w:pPr>
                  <w:bookmarkStart w:id="6" w:name="OLE_LINK15"/>
                  <w:r>
                    <w:rPr>
                      <w:rFonts w:ascii="Times New Roman" w:hAnsi="Times New Roman"/>
                      <w:spacing w:val="-4"/>
                      <w:szCs w:val="21"/>
                    </w:rPr>
                    <w:t>企业边界</w:t>
                  </w:r>
                  <w:bookmarkEnd w:id="6"/>
                </w:p>
              </w:tc>
              <w:tc>
                <w:tcPr>
                  <w:tcW w:w="2446" w:type="pct"/>
                  <w:tcBorders>
                    <w:tl2br w:val="nil"/>
                    <w:tr2bl w:val="nil"/>
                  </w:tcBorders>
                  <w:noWrap/>
                  <w:vAlign w:val="center"/>
                </w:tcPr>
                <w:p w14:paraId="12713DDA">
                  <w:pPr>
                    <w:jc w:val="center"/>
                    <w:rPr>
                      <w:rFonts w:ascii="Times New Roman" w:hAnsi="Times New Roman"/>
                      <w:kern w:val="0"/>
                      <w:szCs w:val="21"/>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中表9企业边界大气污染物浓度限值</w:t>
                  </w:r>
                </w:p>
              </w:tc>
            </w:tr>
            <w:tr w14:paraId="01B4BD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tcBorders>
                    <w:tl2br w:val="nil"/>
                    <w:tr2bl w:val="nil"/>
                  </w:tcBorders>
                  <w:noWrap/>
                  <w:vAlign w:val="center"/>
                </w:tcPr>
                <w:p w14:paraId="66949560">
                  <w:pPr>
                    <w:adjustRightInd w:val="0"/>
                    <w:snapToGrid w:val="0"/>
                    <w:jc w:val="center"/>
                    <w:rPr>
                      <w:rFonts w:ascii="Times New Roman" w:hAnsi="Times New Roman"/>
                      <w:kern w:val="0"/>
                      <w:szCs w:val="21"/>
                    </w:rPr>
                  </w:pPr>
                  <w:r>
                    <w:rPr>
                      <w:rFonts w:hint="eastAsia" w:ascii="Times New Roman" w:hAnsi="Times New Roman"/>
                      <w:szCs w:val="21"/>
                      <w:lang w:val="en-US" w:eastAsia="zh-CN"/>
                    </w:rPr>
                    <w:t>苯乙烯</w:t>
                  </w:r>
                </w:p>
              </w:tc>
              <w:tc>
                <w:tcPr>
                  <w:tcW w:w="537" w:type="pct"/>
                  <w:tcBorders>
                    <w:tl2br w:val="nil"/>
                    <w:tr2bl w:val="nil"/>
                  </w:tcBorders>
                  <w:noWrap/>
                  <w:vAlign w:val="center"/>
                </w:tcPr>
                <w:p w14:paraId="6AE7BED4">
                  <w:pPr>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5.0</w:t>
                  </w:r>
                </w:p>
              </w:tc>
              <w:tc>
                <w:tcPr>
                  <w:tcW w:w="920" w:type="pct"/>
                  <w:tcBorders>
                    <w:tl2br w:val="nil"/>
                    <w:tr2bl w:val="nil"/>
                  </w:tcBorders>
                  <w:noWrap/>
                  <w:vAlign w:val="center"/>
                </w:tcPr>
                <w:p w14:paraId="177E005A">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w:t>
                  </w:r>
                </w:p>
              </w:tc>
              <w:tc>
                <w:tcPr>
                  <w:tcW w:w="714" w:type="pct"/>
                  <w:vMerge w:val="restart"/>
                  <w:tcBorders>
                    <w:tl2br w:val="nil"/>
                    <w:tr2bl w:val="nil"/>
                  </w:tcBorders>
                  <w:noWrap/>
                  <w:vAlign w:val="center"/>
                </w:tcPr>
                <w:p w14:paraId="66215593">
                  <w:pPr>
                    <w:jc w:val="center"/>
                    <w:rPr>
                      <w:rFonts w:ascii="Times New Roman" w:hAnsi="Times New Roman"/>
                      <w:kern w:val="0"/>
                      <w:szCs w:val="21"/>
                    </w:rPr>
                  </w:pPr>
                  <w:r>
                    <w:rPr>
                      <w:rFonts w:hint="eastAsia" w:ascii="Times New Roman" w:hAnsi="Times New Roman"/>
                      <w:kern w:val="0"/>
                      <w:szCs w:val="21"/>
                      <w:lang w:val="en-US" w:eastAsia="zh-CN"/>
                    </w:rPr>
                    <w:t>企业边界</w:t>
                  </w:r>
                </w:p>
              </w:tc>
              <w:tc>
                <w:tcPr>
                  <w:tcW w:w="2446" w:type="pct"/>
                  <w:tcBorders>
                    <w:tl2br w:val="nil"/>
                    <w:tr2bl w:val="nil"/>
                  </w:tcBorders>
                  <w:noWrap/>
                  <w:vAlign w:val="center"/>
                </w:tcPr>
                <w:p w14:paraId="7698A641">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《恶臭污染物排放标准》（GB14554-93）</w:t>
                  </w:r>
                </w:p>
              </w:tc>
            </w:tr>
            <w:tr w14:paraId="2EC7E1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9" w:hRule="atLeast"/>
                <w:jc w:val="center"/>
              </w:trPr>
              <w:tc>
                <w:tcPr>
                  <w:tcW w:w="381" w:type="pct"/>
                  <w:tcBorders>
                    <w:tl2br w:val="nil"/>
                    <w:tr2bl w:val="nil"/>
                  </w:tcBorders>
                  <w:noWrap/>
                  <w:vAlign w:val="center"/>
                </w:tcPr>
                <w:p w14:paraId="3EC15FF3">
                  <w:pPr>
                    <w:adjustRightInd w:val="0"/>
                    <w:snapToGrid w:val="0"/>
                    <w:jc w:val="center"/>
                    <w:rPr>
                      <w:rFonts w:ascii="Times New Roman" w:hAnsi="Times New Roman"/>
                      <w:kern w:val="0"/>
                      <w:szCs w:val="21"/>
                    </w:rPr>
                  </w:pPr>
                  <w:r>
                    <w:rPr>
                      <w:rFonts w:hint="eastAsia" w:ascii="Times New Roman" w:hAnsi="Times New Roman"/>
                      <w:szCs w:val="21"/>
                      <w:lang w:val="en-US" w:eastAsia="zh-CN"/>
                    </w:rPr>
                    <w:t>甲苯</w:t>
                  </w:r>
                </w:p>
              </w:tc>
              <w:tc>
                <w:tcPr>
                  <w:tcW w:w="537" w:type="pct"/>
                  <w:tcBorders>
                    <w:tl2br w:val="nil"/>
                    <w:tr2bl w:val="nil"/>
                  </w:tcBorders>
                  <w:noWrap/>
                  <w:vAlign w:val="center"/>
                </w:tcPr>
                <w:p w14:paraId="2751FDBC">
                  <w:pPr>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0.8</w:t>
                  </w:r>
                </w:p>
              </w:tc>
              <w:tc>
                <w:tcPr>
                  <w:tcW w:w="920" w:type="pct"/>
                  <w:tcBorders>
                    <w:tl2br w:val="nil"/>
                    <w:tr2bl w:val="nil"/>
                  </w:tcBorders>
                  <w:noWrap/>
                  <w:vAlign w:val="center"/>
                </w:tcPr>
                <w:p w14:paraId="6F03CFAE">
                  <w:pPr>
                    <w:jc w:val="center"/>
                    <w:rPr>
                      <w:rFonts w:hint="eastAsia" w:ascii="Times New Roman" w:hAnsi="Times New Roman" w:eastAsia="宋体"/>
                      <w:kern w:val="0"/>
                      <w:szCs w:val="21"/>
                      <w:lang w:val="en-US" w:eastAsia="zh-CN"/>
                    </w:rPr>
                  </w:pPr>
                  <w:r>
                    <w:rPr>
                      <w:rFonts w:ascii="Times New Roman" w:hAnsi="Times New Roman"/>
                      <w:kern w:val="0"/>
                      <w:szCs w:val="21"/>
                    </w:rPr>
                    <w:t>监控点处1h平均浓度值</w:t>
                  </w:r>
                </w:p>
              </w:tc>
              <w:tc>
                <w:tcPr>
                  <w:tcW w:w="714" w:type="pct"/>
                  <w:vMerge w:val="continue"/>
                  <w:tcBorders>
                    <w:tl2br w:val="nil"/>
                    <w:tr2bl w:val="nil"/>
                  </w:tcBorders>
                  <w:noWrap/>
                  <w:vAlign w:val="center"/>
                </w:tcPr>
                <w:p w14:paraId="3F44A4C8">
                  <w:pPr>
                    <w:jc w:val="center"/>
                    <w:rPr>
                      <w:rFonts w:ascii="Times New Roman" w:hAnsi="Times New Roman"/>
                      <w:kern w:val="0"/>
                      <w:szCs w:val="21"/>
                    </w:rPr>
                  </w:pPr>
                </w:p>
              </w:tc>
              <w:tc>
                <w:tcPr>
                  <w:tcW w:w="2446" w:type="pct"/>
                  <w:tcBorders>
                    <w:tl2br w:val="nil"/>
                    <w:tr2bl w:val="nil"/>
                  </w:tcBorders>
                  <w:noWrap/>
                  <w:vAlign w:val="center"/>
                </w:tcPr>
                <w:p w14:paraId="58B554F9">
                  <w:pPr>
                    <w:jc w:val="center"/>
                    <w:rPr>
                      <w:rFonts w:ascii="Times New Roman" w:hAnsi="Times New Roman"/>
                      <w:kern w:val="0"/>
                      <w:szCs w:val="21"/>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中表9企业边界大气污染物浓度限值</w:t>
                  </w:r>
                </w:p>
              </w:tc>
            </w:tr>
            <w:tr w14:paraId="6BFFB5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tcBorders>
                    <w:tl2br w:val="nil"/>
                    <w:tr2bl w:val="nil"/>
                  </w:tcBorders>
                  <w:noWrap/>
                  <w:vAlign w:val="center"/>
                </w:tcPr>
                <w:p w14:paraId="3FDFA143">
                  <w:pPr>
                    <w:adjustRightInd w:val="0"/>
                    <w:snapToGrid w:val="0"/>
                    <w:jc w:val="center"/>
                    <w:rPr>
                      <w:rFonts w:ascii="Times New Roman" w:hAnsi="Times New Roman"/>
                      <w:kern w:val="0"/>
                      <w:szCs w:val="21"/>
                    </w:rPr>
                  </w:pPr>
                  <w:r>
                    <w:rPr>
                      <w:rFonts w:hint="eastAsia" w:ascii="Times New Roman" w:hAnsi="Times New Roman"/>
                      <w:szCs w:val="21"/>
                      <w:lang w:val="en-US" w:eastAsia="zh-CN"/>
                    </w:rPr>
                    <w:t>酚类</w:t>
                  </w:r>
                </w:p>
              </w:tc>
              <w:tc>
                <w:tcPr>
                  <w:tcW w:w="537" w:type="pct"/>
                  <w:tcBorders>
                    <w:tl2br w:val="nil"/>
                    <w:tr2bl w:val="nil"/>
                  </w:tcBorders>
                  <w:noWrap/>
                  <w:vAlign w:val="center"/>
                </w:tcPr>
                <w:p w14:paraId="7AAE73AC">
                  <w:pPr>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0.02</w:t>
                  </w:r>
                </w:p>
              </w:tc>
              <w:tc>
                <w:tcPr>
                  <w:tcW w:w="920" w:type="pct"/>
                  <w:tcBorders>
                    <w:tl2br w:val="nil"/>
                    <w:tr2bl w:val="nil"/>
                  </w:tcBorders>
                  <w:noWrap/>
                  <w:vAlign w:val="center"/>
                </w:tcPr>
                <w:p w14:paraId="329C5660">
                  <w:pPr>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最高允许排放浓度</w:t>
                  </w:r>
                </w:p>
              </w:tc>
              <w:tc>
                <w:tcPr>
                  <w:tcW w:w="714" w:type="pct"/>
                  <w:vMerge w:val="continue"/>
                  <w:tcBorders>
                    <w:tl2br w:val="nil"/>
                    <w:tr2bl w:val="nil"/>
                  </w:tcBorders>
                  <w:noWrap/>
                  <w:vAlign w:val="center"/>
                </w:tcPr>
                <w:p w14:paraId="6AEB182D">
                  <w:pPr>
                    <w:jc w:val="center"/>
                    <w:rPr>
                      <w:rFonts w:ascii="Times New Roman" w:hAnsi="Times New Roman"/>
                      <w:kern w:val="0"/>
                      <w:szCs w:val="21"/>
                    </w:rPr>
                  </w:pPr>
                </w:p>
              </w:tc>
              <w:tc>
                <w:tcPr>
                  <w:tcW w:w="2446" w:type="pct"/>
                  <w:vMerge w:val="restart"/>
                  <w:tcBorders>
                    <w:tl2br w:val="nil"/>
                    <w:tr2bl w:val="nil"/>
                  </w:tcBorders>
                  <w:noWrap/>
                  <w:vAlign w:val="center"/>
                </w:tcPr>
                <w:p w14:paraId="4F895FAA">
                  <w:pPr>
                    <w:jc w:val="center"/>
                    <w:rPr>
                      <w:rFonts w:ascii="Times New Roman" w:hAnsi="Times New Roman"/>
                      <w:kern w:val="0"/>
                      <w:szCs w:val="21"/>
                    </w:rPr>
                  </w:pPr>
                  <w:r>
                    <w:rPr>
                      <w:rFonts w:ascii="Times New Roman" w:hAnsi="Times New Roman"/>
                      <w:szCs w:val="21"/>
                    </w:rPr>
                    <w:t>安徽省《固定源挥发性有机物综合排放标准 第6部分：其他行业》（DB34/ 4812.6-2024）表</w:t>
                  </w:r>
                  <w:r>
                    <w:rPr>
                      <w:rFonts w:hint="eastAsia"/>
                      <w:szCs w:val="21"/>
                      <w:lang w:val="en-US" w:eastAsia="zh-CN"/>
                    </w:rPr>
                    <w:t>5</w:t>
                  </w:r>
                  <w:r>
                    <w:rPr>
                      <w:rFonts w:ascii="Times New Roman" w:hAnsi="Times New Roman"/>
                      <w:szCs w:val="21"/>
                    </w:rPr>
                    <w:t>相关标准限值</w:t>
                  </w:r>
                </w:p>
              </w:tc>
            </w:tr>
            <w:tr w14:paraId="1E540C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tcBorders>
                    <w:tl2br w:val="nil"/>
                    <w:tr2bl w:val="nil"/>
                  </w:tcBorders>
                  <w:noWrap/>
                  <w:vAlign w:val="center"/>
                </w:tcPr>
                <w:p w14:paraId="1C8D78B4">
                  <w:pPr>
                    <w:adjustRightInd w:val="0"/>
                    <w:snapToGrid w:val="0"/>
                    <w:jc w:val="center"/>
                    <w:rPr>
                      <w:rFonts w:ascii="Times New Roman" w:hAnsi="Times New Roman"/>
                      <w:kern w:val="0"/>
                      <w:szCs w:val="21"/>
                    </w:rPr>
                  </w:pPr>
                  <w:r>
                    <w:rPr>
                      <w:rFonts w:hint="eastAsia" w:ascii="Times New Roman" w:hAnsi="Times New Roman"/>
                      <w:szCs w:val="21"/>
                      <w:lang w:val="en-US" w:eastAsia="zh-CN"/>
                    </w:rPr>
                    <w:t>氯苯类</w:t>
                  </w:r>
                </w:p>
              </w:tc>
              <w:tc>
                <w:tcPr>
                  <w:tcW w:w="537" w:type="pct"/>
                  <w:tcBorders>
                    <w:tl2br w:val="nil"/>
                    <w:tr2bl w:val="nil"/>
                  </w:tcBorders>
                  <w:noWrap/>
                  <w:vAlign w:val="center"/>
                </w:tcPr>
                <w:p w14:paraId="75C03347">
                  <w:pPr>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0.2</w:t>
                  </w:r>
                </w:p>
              </w:tc>
              <w:tc>
                <w:tcPr>
                  <w:tcW w:w="920" w:type="pct"/>
                  <w:tcBorders>
                    <w:tl2br w:val="nil"/>
                    <w:tr2bl w:val="nil"/>
                  </w:tcBorders>
                  <w:noWrap/>
                  <w:vAlign w:val="center"/>
                </w:tcPr>
                <w:p w14:paraId="28A5FB1C">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最高允许排放浓度</w:t>
                  </w:r>
                </w:p>
              </w:tc>
              <w:tc>
                <w:tcPr>
                  <w:tcW w:w="714" w:type="pct"/>
                  <w:vMerge w:val="continue"/>
                  <w:tcBorders>
                    <w:tl2br w:val="nil"/>
                    <w:tr2bl w:val="nil"/>
                  </w:tcBorders>
                  <w:noWrap/>
                  <w:vAlign w:val="center"/>
                </w:tcPr>
                <w:p w14:paraId="6AA837A9">
                  <w:pPr>
                    <w:jc w:val="center"/>
                    <w:rPr>
                      <w:rFonts w:ascii="Times New Roman" w:hAnsi="Times New Roman"/>
                      <w:kern w:val="0"/>
                      <w:szCs w:val="21"/>
                    </w:rPr>
                  </w:pPr>
                </w:p>
              </w:tc>
              <w:tc>
                <w:tcPr>
                  <w:tcW w:w="2446" w:type="pct"/>
                  <w:vMerge w:val="continue"/>
                  <w:tcBorders>
                    <w:tl2br w:val="nil"/>
                    <w:tr2bl w:val="nil"/>
                  </w:tcBorders>
                  <w:noWrap/>
                  <w:vAlign w:val="center"/>
                </w:tcPr>
                <w:p w14:paraId="0099E827">
                  <w:pPr>
                    <w:jc w:val="center"/>
                    <w:rPr>
                      <w:rFonts w:ascii="Times New Roman" w:hAnsi="Times New Roman"/>
                      <w:kern w:val="0"/>
                      <w:szCs w:val="21"/>
                    </w:rPr>
                  </w:pPr>
                </w:p>
              </w:tc>
            </w:tr>
            <w:tr w14:paraId="275410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81" w:type="pct"/>
                  <w:tcBorders>
                    <w:tl2br w:val="nil"/>
                    <w:tr2bl w:val="nil"/>
                  </w:tcBorders>
                  <w:noWrap/>
                  <w:vAlign w:val="center"/>
                </w:tcPr>
                <w:p w14:paraId="25A52DFE">
                  <w:pPr>
                    <w:adjustRightInd w:val="0"/>
                    <w:snapToGrid w:val="0"/>
                    <w:jc w:val="center"/>
                    <w:rPr>
                      <w:rFonts w:ascii="Times New Roman" w:hAnsi="Times New Roman"/>
                      <w:kern w:val="0"/>
                      <w:szCs w:val="21"/>
                    </w:rPr>
                  </w:pPr>
                  <w:r>
                    <w:rPr>
                      <w:rFonts w:hint="eastAsia" w:ascii="Times New Roman" w:hAnsi="Times New Roman"/>
                      <w:szCs w:val="21"/>
                      <w:lang w:val="en-US" w:eastAsia="zh-CN"/>
                    </w:rPr>
                    <w:t>乙苯</w:t>
                  </w:r>
                </w:p>
              </w:tc>
              <w:tc>
                <w:tcPr>
                  <w:tcW w:w="537" w:type="pct"/>
                  <w:tcBorders>
                    <w:tl2br w:val="nil"/>
                    <w:tr2bl w:val="nil"/>
                  </w:tcBorders>
                  <w:noWrap/>
                  <w:vAlign w:val="center"/>
                </w:tcPr>
                <w:p w14:paraId="35B2DA9D">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w:t>
                  </w:r>
                </w:p>
              </w:tc>
              <w:tc>
                <w:tcPr>
                  <w:tcW w:w="920" w:type="pct"/>
                  <w:tcBorders>
                    <w:tl2br w:val="nil"/>
                    <w:tr2bl w:val="nil"/>
                  </w:tcBorders>
                  <w:noWrap/>
                  <w:vAlign w:val="center"/>
                </w:tcPr>
                <w:p w14:paraId="00FFD6DC">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w:t>
                  </w:r>
                </w:p>
              </w:tc>
              <w:tc>
                <w:tcPr>
                  <w:tcW w:w="714" w:type="pct"/>
                  <w:vMerge w:val="continue"/>
                  <w:tcBorders>
                    <w:tl2br w:val="nil"/>
                    <w:tr2bl w:val="nil"/>
                  </w:tcBorders>
                  <w:noWrap/>
                  <w:vAlign w:val="center"/>
                </w:tcPr>
                <w:p w14:paraId="32BFD98F">
                  <w:pPr>
                    <w:jc w:val="center"/>
                    <w:rPr>
                      <w:rFonts w:ascii="Times New Roman" w:hAnsi="Times New Roman"/>
                      <w:kern w:val="0"/>
                      <w:szCs w:val="21"/>
                    </w:rPr>
                  </w:pPr>
                </w:p>
              </w:tc>
              <w:tc>
                <w:tcPr>
                  <w:tcW w:w="2446" w:type="pct"/>
                  <w:tcBorders>
                    <w:tl2br w:val="nil"/>
                    <w:tr2bl w:val="nil"/>
                  </w:tcBorders>
                  <w:noWrap/>
                  <w:vAlign w:val="center"/>
                </w:tcPr>
                <w:p w14:paraId="6468E09E">
                  <w:pPr>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w:t>
                  </w:r>
                </w:p>
              </w:tc>
            </w:tr>
            <w:tr w14:paraId="524F5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381" w:type="pct"/>
                  <w:tcBorders>
                    <w:tl2br w:val="nil"/>
                    <w:tr2bl w:val="nil"/>
                  </w:tcBorders>
                  <w:noWrap/>
                  <w:vAlign w:val="center"/>
                </w:tcPr>
                <w:p w14:paraId="67677ED6">
                  <w:pPr>
                    <w:adjustRightInd w:val="0"/>
                    <w:snapToGrid w:val="0"/>
                    <w:jc w:val="center"/>
                    <w:rPr>
                      <w:rFonts w:hint="eastAsia" w:ascii="Times New Roman" w:hAnsi="Times New Roman" w:eastAsia="宋体"/>
                      <w:szCs w:val="21"/>
                      <w:lang w:val="en-US" w:eastAsia="zh-CN"/>
                    </w:rPr>
                  </w:pPr>
                  <w:r>
                    <w:rPr>
                      <w:rFonts w:hint="eastAsia" w:ascii="Times New Roman" w:hAnsi="Times New Roman"/>
                      <w:szCs w:val="21"/>
                      <w:lang w:val="en-US" w:eastAsia="zh-CN"/>
                    </w:rPr>
                    <w:t>二氯甲烷</w:t>
                  </w:r>
                  <w:r>
                    <w:rPr>
                      <w:rFonts w:hint="eastAsia"/>
                      <w:b w:val="0"/>
                      <w:bCs/>
                      <w:kern w:val="0"/>
                      <w:sz w:val="24"/>
                      <w:szCs w:val="20"/>
                      <w:lang w:val="en-US" w:eastAsia="zh-CN"/>
                    </w:rPr>
                    <w:t>*</w:t>
                  </w:r>
                </w:p>
              </w:tc>
              <w:tc>
                <w:tcPr>
                  <w:tcW w:w="537" w:type="pct"/>
                  <w:tcBorders>
                    <w:tl2br w:val="nil"/>
                    <w:tr2bl w:val="nil"/>
                  </w:tcBorders>
                  <w:noWrap/>
                  <w:vAlign w:val="center"/>
                </w:tcPr>
                <w:p w14:paraId="6E992BE7">
                  <w:p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w:t>
                  </w:r>
                </w:p>
              </w:tc>
              <w:tc>
                <w:tcPr>
                  <w:tcW w:w="920" w:type="pct"/>
                  <w:tcBorders>
                    <w:tl2br w:val="nil"/>
                    <w:tr2bl w:val="nil"/>
                  </w:tcBorders>
                  <w:noWrap/>
                  <w:vAlign w:val="center"/>
                </w:tcPr>
                <w:p w14:paraId="6DE79D95">
                  <w:p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w:t>
                  </w:r>
                </w:p>
              </w:tc>
              <w:tc>
                <w:tcPr>
                  <w:tcW w:w="714" w:type="pct"/>
                  <w:vMerge w:val="continue"/>
                  <w:tcBorders>
                    <w:tl2br w:val="nil"/>
                    <w:tr2bl w:val="nil"/>
                  </w:tcBorders>
                  <w:noWrap/>
                  <w:vAlign w:val="center"/>
                </w:tcPr>
                <w:p w14:paraId="70780550">
                  <w:pPr>
                    <w:jc w:val="center"/>
                    <w:rPr>
                      <w:rFonts w:ascii="Times New Roman" w:hAnsi="Times New Roman"/>
                      <w:kern w:val="0"/>
                      <w:szCs w:val="21"/>
                    </w:rPr>
                  </w:pPr>
                </w:p>
              </w:tc>
              <w:tc>
                <w:tcPr>
                  <w:tcW w:w="2446" w:type="pct"/>
                  <w:tcBorders>
                    <w:tl2br w:val="nil"/>
                    <w:tr2bl w:val="nil"/>
                  </w:tcBorders>
                  <w:noWrap/>
                  <w:vAlign w:val="center"/>
                </w:tcPr>
                <w:p w14:paraId="598009A8">
                  <w:p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w:t>
                  </w:r>
                </w:p>
              </w:tc>
            </w:tr>
            <w:tr w14:paraId="28A224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381" w:type="pct"/>
                  <w:tcBorders>
                    <w:tl2br w:val="nil"/>
                    <w:tr2bl w:val="nil"/>
                  </w:tcBorders>
                  <w:noWrap/>
                  <w:vAlign w:val="center"/>
                </w:tcPr>
                <w:p w14:paraId="13D50303">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臭气浓度</w:t>
                  </w:r>
                </w:p>
              </w:tc>
              <w:tc>
                <w:tcPr>
                  <w:tcW w:w="537" w:type="pct"/>
                  <w:tcBorders>
                    <w:tl2br w:val="nil"/>
                    <w:tr2bl w:val="nil"/>
                  </w:tcBorders>
                  <w:noWrap/>
                  <w:vAlign w:val="center"/>
                </w:tcPr>
                <w:p w14:paraId="6E68639A">
                  <w:p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20</w:t>
                  </w:r>
                </w:p>
              </w:tc>
              <w:tc>
                <w:tcPr>
                  <w:tcW w:w="920" w:type="pct"/>
                  <w:tcBorders>
                    <w:tl2br w:val="nil"/>
                    <w:tr2bl w:val="nil"/>
                  </w:tcBorders>
                  <w:noWrap/>
                  <w:vAlign w:val="center"/>
                </w:tcPr>
                <w:p w14:paraId="7C541062">
                  <w:p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w:t>
                  </w:r>
                </w:p>
              </w:tc>
              <w:tc>
                <w:tcPr>
                  <w:tcW w:w="714" w:type="pct"/>
                  <w:vMerge w:val="continue"/>
                  <w:tcBorders>
                    <w:tl2br w:val="nil"/>
                    <w:tr2bl w:val="nil"/>
                  </w:tcBorders>
                  <w:noWrap/>
                  <w:vAlign w:val="center"/>
                </w:tcPr>
                <w:p w14:paraId="4B988D85">
                  <w:pPr>
                    <w:jc w:val="center"/>
                    <w:rPr>
                      <w:rFonts w:ascii="Times New Roman" w:hAnsi="Times New Roman"/>
                      <w:kern w:val="0"/>
                      <w:szCs w:val="21"/>
                    </w:rPr>
                  </w:pPr>
                </w:p>
              </w:tc>
              <w:tc>
                <w:tcPr>
                  <w:tcW w:w="2446" w:type="pct"/>
                  <w:tcBorders>
                    <w:tl2br w:val="nil"/>
                    <w:tr2bl w:val="nil"/>
                  </w:tcBorders>
                  <w:noWrap/>
                  <w:vAlign w:val="center"/>
                </w:tcPr>
                <w:p w14:paraId="772B8EC9">
                  <w:pPr>
                    <w:jc w:val="center"/>
                    <w:rPr>
                      <w:rFonts w:hint="eastAsia" w:ascii="Times New Roman" w:hAnsi="Times New Roman"/>
                      <w:kern w:val="0"/>
                      <w:szCs w:val="21"/>
                      <w:lang w:val="en-US" w:eastAsia="zh-CN"/>
                    </w:rPr>
                  </w:pPr>
                  <w:r>
                    <w:rPr>
                      <w:rFonts w:hint="eastAsia" w:ascii="Times New Roman" w:hAnsi="Times New Roman"/>
                      <w:kern w:val="0"/>
                      <w:szCs w:val="21"/>
                      <w:lang w:val="en-US" w:eastAsia="zh-CN"/>
                    </w:rPr>
                    <w:t>《恶臭污染物排放标准》（GB14554-93）</w:t>
                  </w:r>
                </w:p>
              </w:tc>
            </w:tr>
          </w:tbl>
          <w:p w14:paraId="34B207BE">
            <w:pPr>
              <w:keepNext w:val="0"/>
              <w:keepLines w:val="0"/>
              <w:pageBreakBefore w:val="0"/>
              <w:widowControl w:val="0"/>
              <w:kinsoku/>
              <w:wordWrap/>
              <w:overflowPunct/>
              <w:topLinePunct w:val="0"/>
              <w:autoSpaceDE/>
              <w:autoSpaceDN/>
              <w:bidi w:val="0"/>
              <w:adjustRightInd w:val="0"/>
              <w:snapToGrid/>
              <w:spacing w:beforeAutospacing="0" w:line="240" w:lineRule="auto"/>
              <w:textAlignment w:val="auto"/>
              <w:rPr>
                <w:b w:val="0"/>
                <w:bCs/>
                <w:kern w:val="0"/>
                <w:sz w:val="24"/>
                <w:szCs w:val="20"/>
              </w:rPr>
            </w:pPr>
            <w:r>
              <w:rPr>
                <w:rFonts w:hint="eastAsia"/>
                <w:b w:val="0"/>
                <w:bCs/>
                <w:kern w:val="0"/>
                <w:sz w:val="24"/>
                <w:szCs w:val="20"/>
              </w:rPr>
              <w:t>* 待国家污染物监测方法标准发布后实施</w:t>
            </w:r>
          </w:p>
          <w:p w14:paraId="373CDBD5">
            <w:pPr>
              <w:adjustRightInd w:val="0"/>
              <w:spacing w:before="100" w:beforeAutospacing="1" w:line="360" w:lineRule="auto"/>
              <w:ind w:firstLine="482" w:firstLineChars="200"/>
              <w:rPr>
                <w:b/>
                <w:sz w:val="24"/>
              </w:rPr>
            </w:pPr>
            <w:r>
              <w:rPr>
                <w:b/>
                <w:kern w:val="0"/>
                <w:sz w:val="24"/>
                <w:szCs w:val="20"/>
              </w:rPr>
              <w:t>2、</w:t>
            </w:r>
            <w:r>
              <w:rPr>
                <w:b/>
                <w:sz w:val="24"/>
              </w:rPr>
              <w:t>废水</w:t>
            </w:r>
          </w:p>
          <w:p w14:paraId="34CA45E8">
            <w:pPr>
              <w:widowControl/>
              <w:autoSpaceDE w:val="0"/>
              <w:autoSpaceDN w:val="0"/>
              <w:adjustRightInd w:val="0"/>
              <w:snapToGrid w:val="0"/>
              <w:spacing w:line="360" w:lineRule="auto"/>
              <w:ind w:firstLine="482"/>
              <w:jc w:val="left"/>
              <w:rPr>
                <w:sz w:val="24"/>
                <w:szCs w:val="22"/>
              </w:rPr>
            </w:pPr>
            <w:r>
              <w:rPr>
                <w:bCs/>
                <w:sz w:val="24"/>
                <w:szCs w:val="22"/>
              </w:rPr>
              <w:t>本项目生活污水经化粪池处理达《污水综合排放标准》（GB8978-1996）表4三级排放标准和天门山污水处理厂纳管标准要求后经市政污水管网排入天门山污水处理厂。天门山污水处理厂</w:t>
            </w:r>
            <w:r>
              <w:rPr>
                <w:sz w:val="24"/>
                <w:szCs w:val="22"/>
              </w:rPr>
              <w:t>废水排放执行《城镇污水处理厂污染物排放标准》（GB18918-2002）一级A标准。具体见下表。</w:t>
            </w:r>
          </w:p>
          <w:p w14:paraId="4EE8B2B7">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表3-</w:t>
            </w:r>
            <w:r>
              <w:rPr>
                <w:rFonts w:hint="eastAsia"/>
                <w:b/>
                <w:kern w:val="0"/>
                <w:sz w:val="24"/>
                <w:lang w:val="en-US" w:eastAsia="zh-CN"/>
              </w:rPr>
              <w:t>5</w:t>
            </w:r>
            <w:r>
              <w:rPr>
                <w:b/>
                <w:kern w:val="0"/>
                <w:sz w:val="24"/>
              </w:rPr>
              <w:t xml:space="preserve">  废水污染物排放标准（单位：mg/L，pH值为无量纲）</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17"/>
              <w:gridCol w:w="994"/>
              <w:gridCol w:w="1135"/>
              <w:gridCol w:w="853"/>
              <w:gridCol w:w="710"/>
              <w:gridCol w:w="901"/>
            </w:tblGrid>
            <w:tr w14:paraId="3A818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2237" w:type="pct"/>
                  <w:tcBorders>
                    <w:tl2br w:val="nil"/>
                    <w:tr2bl w:val="nil"/>
                  </w:tcBorders>
                  <w:vAlign w:val="center"/>
                </w:tcPr>
                <w:p w14:paraId="501D03BA">
                  <w:pPr>
                    <w:widowControl/>
                    <w:ind w:left="-105" w:leftChars="-50" w:right="-105" w:rightChars="-50"/>
                    <w:jc w:val="center"/>
                    <w:rPr>
                      <w:b/>
                      <w:kern w:val="0"/>
                      <w:szCs w:val="21"/>
                    </w:rPr>
                  </w:pPr>
                  <w:r>
                    <w:rPr>
                      <w:b/>
                      <w:kern w:val="0"/>
                      <w:szCs w:val="21"/>
                    </w:rPr>
                    <w:t>污染因子</w:t>
                  </w:r>
                </w:p>
              </w:tc>
              <w:tc>
                <w:tcPr>
                  <w:tcW w:w="598" w:type="pct"/>
                  <w:tcBorders>
                    <w:tl2br w:val="nil"/>
                    <w:tr2bl w:val="nil"/>
                  </w:tcBorders>
                  <w:vAlign w:val="center"/>
                </w:tcPr>
                <w:p w14:paraId="0424C9F8">
                  <w:pPr>
                    <w:widowControl/>
                    <w:ind w:left="-105" w:leftChars="-50" w:right="-105" w:rightChars="-50"/>
                    <w:jc w:val="center"/>
                    <w:rPr>
                      <w:b/>
                      <w:kern w:val="0"/>
                      <w:szCs w:val="21"/>
                    </w:rPr>
                  </w:pPr>
                  <w:r>
                    <w:rPr>
                      <w:b/>
                      <w:kern w:val="0"/>
                      <w:szCs w:val="21"/>
                    </w:rPr>
                    <w:t>pH</w:t>
                  </w:r>
                </w:p>
              </w:tc>
              <w:tc>
                <w:tcPr>
                  <w:tcW w:w="683" w:type="pct"/>
                  <w:tcBorders>
                    <w:tl2br w:val="nil"/>
                    <w:tr2bl w:val="nil"/>
                  </w:tcBorders>
                  <w:vAlign w:val="center"/>
                </w:tcPr>
                <w:p w14:paraId="1264E8F1">
                  <w:pPr>
                    <w:widowControl/>
                    <w:ind w:left="-105" w:leftChars="-50" w:right="-105" w:rightChars="-50"/>
                    <w:jc w:val="center"/>
                    <w:rPr>
                      <w:b/>
                      <w:kern w:val="0"/>
                      <w:szCs w:val="21"/>
                    </w:rPr>
                  </w:pPr>
                  <w:r>
                    <w:rPr>
                      <w:b/>
                      <w:kern w:val="0"/>
                      <w:szCs w:val="21"/>
                    </w:rPr>
                    <w:t>COD</w:t>
                  </w:r>
                </w:p>
              </w:tc>
              <w:tc>
                <w:tcPr>
                  <w:tcW w:w="513" w:type="pct"/>
                  <w:tcBorders>
                    <w:tl2br w:val="nil"/>
                    <w:tr2bl w:val="nil"/>
                  </w:tcBorders>
                  <w:vAlign w:val="center"/>
                </w:tcPr>
                <w:p w14:paraId="444921B8">
                  <w:pPr>
                    <w:widowControl/>
                    <w:ind w:left="-105" w:leftChars="-50" w:right="-105" w:rightChars="-50"/>
                    <w:jc w:val="center"/>
                    <w:rPr>
                      <w:b/>
                      <w:kern w:val="0"/>
                      <w:szCs w:val="21"/>
                    </w:rPr>
                  </w:pPr>
                  <w:r>
                    <w:rPr>
                      <w:b/>
                      <w:kern w:val="0"/>
                      <w:szCs w:val="21"/>
                    </w:rPr>
                    <w:t>BOD</w:t>
                  </w:r>
                  <w:r>
                    <w:rPr>
                      <w:b/>
                      <w:kern w:val="0"/>
                      <w:szCs w:val="21"/>
                      <w:vertAlign w:val="subscript"/>
                    </w:rPr>
                    <w:t>5</w:t>
                  </w:r>
                </w:p>
              </w:tc>
              <w:tc>
                <w:tcPr>
                  <w:tcW w:w="427" w:type="pct"/>
                  <w:tcBorders>
                    <w:tl2br w:val="nil"/>
                    <w:tr2bl w:val="nil"/>
                  </w:tcBorders>
                  <w:vAlign w:val="center"/>
                </w:tcPr>
                <w:p w14:paraId="449F6437">
                  <w:pPr>
                    <w:widowControl/>
                    <w:ind w:left="-105" w:leftChars="-50" w:right="-105" w:rightChars="-50"/>
                    <w:jc w:val="center"/>
                    <w:rPr>
                      <w:b/>
                      <w:kern w:val="0"/>
                      <w:szCs w:val="21"/>
                    </w:rPr>
                  </w:pPr>
                  <w:r>
                    <w:rPr>
                      <w:b/>
                      <w:kern w:val="0"/>
                      <w:szCs w:val="21"/>
                    </w:rPr>
                    <w:t>SS</w:t>
                  </w:r>
                </w:p>
              </w:tc>
              <w:tc>
                <w:tcPr>
                  <w:tcW w:w="542" w:type="pct"/>
                  <w:tcBorders>
                    <w:tl2br w:val="nil"/>
                    <w:tr2bl w:val="nil"/>
                  </w:tcBorders>
                  <w:vAlign w:val="center"/>
                </w:tcPr>
                <w:p w14:paraId="31D459B0">
                  <w:pPr>
                    <w:widowControl/>
                    <w:ind w:left="-105" w:leftChars="-50" w:right="-105" w:rightChars="-50"/>
                    <w:jc w:val="center"/>
                    <w:rPr>
                      <w:b/>
                      <w:kern w:val="0"/>
                      <w:szCs w:val="21"/>
                    </w:rPr>
                  </w:pPr>
                  <w:r>
                    <w:rPr>
                      <w:b/>
                      <w:kern w:val="0"/>
                      <w:szCs w:val="21"/>
                    </w:rPr>
                    <w:t>氨氮</w:t>
                  </w:r>
                </w:p>
              </w:tc>
            </w:tr>
            <w:tr w14:paraId="61CC8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37" w:type="pct"/>
                  <w:tcBorders>
                    <w:tl2br w:val="nil"/>
                    <w:tr2bl w:val="nil"/>
                  </w:tcBorders>
                  <w:vAlign w:val="center"/>
                </w:tcPr>
                <w:p w14:paraId="16552538">
                  <w:pPr>
                    <w:widowControl/>
                    <w:jc w:val="center"/>
                    <w:rPr>
                      <w:kern w:val="0"/>
                      <w:szCs w:val="21"/>
                    </w:rPr>
                  </w:pPr>
                  <w:r>
                    <w:rPr>
                      <w:kern w:val="0"/>
                      <w:szCs w:val="21"/>
                    </w:rPr>
                    <w:t>《污水综合排放标准》（GB8978-1996）表4三级标准</w:t>
                  </w:r>
                </w:p>
              </w:tc>
              <w:tc>
                <w:tcPr>
                  <w:tcW w:w="598" w:type="pct"/>
                  <w:tcBorders>
                    <w:tl2br w:val="nil"/>
                    <w:tr2bl w:val="nil"/>
                  </w:tcBorders>
                  <w:vAlign w:val="center"/>
                </w:tcPr>
                <w:p w14:paraId="5B8195A2">
                  <w:pPr>
                    <w:widowControl/>
                    <w:ind w:left="-105" w:leftChars="-50" w:right="-105" w:rightChars="-50"/>
                    <w:jc w:val="center"/>
                    <w:rPr>
                      <w:kern w:val="0"/>
                      <w:szCs w:val="21"/>
                    </w:rPr>
                  </w:pPr>
                  <w:r>
                    <w:rPr>
                      <w:kern w:val="0"/>
                      <w:szCs w:val="21"/>
                    </w:rPr>
                    <w:t>6-9</w:t>
                  </w:r>
                </w:p>
              </w:tc>
              <w:tc>
                <w:tcPr>
                  <w:tcW w:w="683" w:type="pct"/>
                  <w:tcBorders>
                    <w:tl2br w:val="nil"/>
                    <w:tr2bl w:val="nil"/>
                  </w:tcBorders>
                  <w:vAlign w:val="center"/>
                </w:tcPr>
                <w:p w14:paraId="15563BD9">
                  <w:pPr>
                    <w:widowControl/>
                    <w:ind w:left="-105" w:leftChars="-50" w:right="-105" w:rightChars="-50"/>
                    <w:jc w:val="center"/>
                    <w:rPr>
                      <w:kern w:val="0"/>
                      <w:szCs w:val="21"/>
                    </w:rPr>
                  </w:pPr>
                  <w:r>
                    <w:rPr>
                      <w:kern w:val="0"/>
                      <w:szCs w:val="21"/>
                    </w:rPr>
                    <w:t>500</w:t>
                  </w:r>
                </w:p>
              </w:tc>
              <w:tc>
                <w:tcPr>
                  <w:tcW w:w="513" w:type="pct"/>
                  <w:tcBorders>
                    <w:tl2br w:val="nil"/>
                    <w:tr2bl w:val="nil"/>
                  </w:tcBorders>
                  <w:vAlign w:val="center"/>
                </w:tcPr>
                <w:p w14:paraId="2842BF10">
                  <w:pPr>
                    <w:widowControl/>
                    <w:ind w:left="-105" w:leftChars="-50" w:right="-105" w:rightChars="-50"/>
                    <w:jc w:val="center"/>
                    <w:rPr>
                      <w:kern w:val="0"/>
                      <w:szCs w:val="21"/>
                    </w:rPr>
                  </w:pPr>
                  <w:r>
                    <w:rPr>
                      <w:kern w:val="0"/>
                      <w:szCs w:val="21"/>
                    </w:rPr>
                    <w:t>300</w:t>
                  </w:r>
                </w:p>
              </w:tc>
              <w:tc>
                <w:tcPr>
                  <w:tcW w:w="427" w:type="pct"/>
                  <w:tcBorders>
                    <w:tl2br w:val="nil"/>
                    <w:tr2bl w:val="nil"/>
                  </w:tcBorders>
                  <w:vAlign w:val="center"/>
                </w:tcPr>
                <w:p w14:paraId="23A88A60">
                  <w:pPr>
                    <w:widowControl/>
                    <w:ind w:left="-105" w:leftChars="-50" w:right="-105" w:rightChars="-50"/>
                    <w:jc w:val="center"/>
                    <w:rPr>
                      <w:kern w:val="0"/>
                      <w:szCs w:val="21"/>
                    </w:rPr>
                  </w:pPr>
                  <w:r>
                    <w:rPr>
                      <w:kern w:val="0"/>
                      <w:szCs w:val="21"/>
                    </w:rPr>
                    <w:t>400</w:t>
                  </w:r>
                </w:p>
              </w:tc>
              <w:tc>
                <w:tcPr>
                  <w:tcW w:w="542" w:type="pct"/>
                  <w:tcBorders>
                    <w:tl2br w:val="nil"/>
                    <w:tr2bl w:val="nil"/>
                  </w:tcBorders>
                  <w:vAlign w:val="center"/>
                </w:tcPr>
                <w:p w14:paraId="13D15C3F">
                  <w:pPr>
                    <w:widowControl/>
                    <w:ind w:left="-105" w:leftChars="-50" w:right="-105" w:rightChars="-50"/>
                    <w:jc w:val="center"/>
                    <w:rPr>
                      <w:kern w:val="0"/>
                      <w:szCs w:val="21"/>
                    </w:rPr>
                  </w:pPr>
                  <w:r>
                    <w:rPr>
                      <w:kern w:val="0"/>
                      <w:szCs w:val="21"/>
                    </w:rPr>
                    <w:t>-</w:t>
                  </w:r>
                </w:p>
              </w:tc>
            </w:tr>
            <w:tr w14:paraId="3A67C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2237" w:type="pct"/>
                  <w:tcBorders>
                    <w:tl2br w:val="nil"/>
                    <w:tr2bl w:val="nil"/>
                  </w:tcBorders>
                  <w:vAlign w:val="center"/>
                </w:tcPr>
                <w:p w14:paraId="0C128A2A">
                  <w:pPr>
                    <w:widowControl/>
                    <w:ind w:left="-105" w:leftChars="-50" w:right="-105" w:rightChars="-50"/>
                    <w:jc w:val="center"/>
                    <w:rPr>
                      <w:kern w:val="0"/>
                      <w:szCs w:val="21"/>
                    </w:rPr>
                  </w:pPr>
                  <w:r>
                    <w:rPr>
                      <w:kern w:val="0"/>
                      <w:szCs w:val="21"/>
                    </w:rPr>
                    <w:t>天门山污水处理厂纳管标准</w:t>
                  </w:r>
                </w:p>
              </w:tc>
              <w:tc>
                <w:tcPr>
                  <w:tcW w:w="598" w:type="pct"/>
                  <w:tcBorders>
                    <w:tl2br w:val="nil"/>
                    <w:tr2bl w:val="nil"/>
                  </w:tcBorders>
                  <w:vAlign w:val="center"/>
                </w:tcPr>
                <w:p w14:paraId="3E4B168B">
                  <w:pPr>
                    <w:widowControl/>
                    <w:ind w:left="-105" w:leftChars="-50" w:right="-105" w:rightChars="-50"/>
                    <w:jc w:val="center"/>
                    <w:rPr>
                      <w:kern w:val="0"/>
                      <w:szCs w:val="21"/>
                    </w:rPr>
                  </w:pPr>
                  <w:r>
                    <w:rPr>
                      <w:kern w:val="0"/>
                      <w:szCs w:val="21"/>
                    </w:rPr>
                    <w:t>6-9</w:t>
                  </w:r>
                </w:p>
              </w:tc>
              <w:tc>
                <w:tcPr>
                  <w:tcW w:w="683" w:type="pct"/>
                  <w:tcBorders>
                    <w:tl2br w:val="nil"/>
                    <w:tr2bl w:val="nil"/>
                  </w:tcBorders>
                  <w:vAlign w:val="center"/>
                </w:tcPr>
                <w:p w14:paraId="61ACAF8E">
                  <w:pPr>
                    <w:widowControl/>
                    <w:ind w:left="-105" w:leftChars="-50" w:right="-105" w:rightChars="-50"/>
                    <w:jc w:val="center"/>
                    <w:rPr>
                      <w:kern w:val="0"/>
                      <w:szCs w:val="21"/>
                    </w:rPr>
                  </w:pPr>
                  <w:r>
                    <w:rPr>
                      <w:rFonts w:hint="eastAsia"/>
                      <w:kern w:val="0"/>
                      <w:szCs w:val="21"/>
                    </w:rPr>
                    <w:t>3</w:t>
                  </w:r>
                  <w:r>
                    <w:rPr>
                      <w:kern w:val="0"/>
                      <w:szCs w:val="21"/>
                    </w:rPr>
                    <w:t>50</w:t>
                  </w:r>
                </w:p>
              </w:tc>
              <w:tc>
                <w:tcPr>
                  <w:tcW w:w="513" w:type="pct"/>
                  <w:tcBorders>
                    <w:tl2br w:val="nil"/>
                    <w:tr2bl w:val="nil"/>
                  </w:tcBorders>
                  <w:vAlign w:val="center"/>
                </w:tcPr>
                <w:p w14:paraId="38D7CB5B">
                  <w:pPr>
                    <w:widowControl/>
                    <w:ind w:left="-105" w:leftChars="-50" w:right="-105" w:rightChars="-50"/>
                    <w:jc w:val="center"/>
                    <w:rPr>
                      <w:kern w:val="0"/>
                      <w:szCs w:val="21"/>
                    </w:rPr>
                  </w:pPr>
                  <w:r>
                    <w:rPr>
                      <w:rFonts w:hint="eastAsia"/>
                      <w:kern w:val="0"/>
                      <w:szCs w:val="21"/>
                    </w:rPr>
                    <w:t>1</w:t>
                  </w:r>
                  <w:r>
                    <w:rPr>
                      <w:kern w:val="0"/>
                      <w:szCs w:val="21"/>
                    </w:rPr>
                    <w:t>60</w:t>
                  </w:r>
                </w:p>
              </w:tc>
              <w:tc>
                <w:tcPr>
                  <w:tcW w:w="427" w:type="pct"/>
                  <w:tcBorders>
                    <w:tl2br w:val="nil"/>
                    <w:tr2bl w:val="nil"/>
                  </w:tcBorders>
                  <w:vAlign w:val="center"/>
                </w:tcPr>
                <w:p w14:paraId="49A123B2">
                  <w:pPr>
                    <w:widowControl/>
                    <w:ind w:left="-105" w:leftChars="-50" w:right="-105" w:rightChars="-50"/>
                    <w:jc w:val="center"/>
                    <w:rPr>
                      <w:kern w:val="0"/>
                      <w:szCs w:val="21"/>
                    </w:rPr>
                  </w:pPr>
                  <w:r>
                    <w:rPr>
                      <w:rFonts w:hint="eastAsia"/>
                      <w:kern w:val="0"/>
                      <w:szCs w:val="21"/>
                    </w:rPr>
                    <w:t>3</w:t>
                  </w:r>
                  <w:r>
                    <w:rPr>
                      <w:kern w:val="0"/>
                      <w:szCs w:val="21"/>
                    </w:rPr>
                    <w:t>00</w:t>
                  </w:r>
                </w:p>
              </w:tc>
              <w:tc>
                <w:tcPr>
                  <w:tcW w:w="542" w:type="pct"/>
                  <w:tcBorders>
                    <w:tl2br w:val="nil"/>
                    <w:tr2bl w:val="nil"/>
                  </w:tcBorders>
                  <w:vAlign w:val="center"/>
                </w:tcPr>
                <w:p w14:paraId="45E34200">
                  <w:pPr>
                    <w:widowControl/>
                    <w:ind w:left="-105" w:leftChars="-50" w:right="-105" w:rightChars="-50"/>
                    <w:jc w:val="center"/>
                    <w:rPr>
                      <w:kern w:val="0"/>
                      <w:szCs w:val="21"/>
                    </w:rPr>
                  </w:pPr>
                  <w:r>
                    <w:rPr>
                      <w:rFonts w:hint="eastAsia"/>
                      <w:kern w:val="0"/>
                      <w:szCs w:val="21"/>
                    </w:rPr>
                    <w:t>2</w:t>
                  </w:r>
                  <w:r>
                    <w:rPr>
                      <w:kern w:val="0"/>
                      <w:szCs w:val="21"/>
                    </w:rPr>
                    <w:t>2</w:t>
                  </w:r>
                </w:p>
              </w:tc>
            </w:tr>
            <w:tr w14:paraId="5D69F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237" w:type="pct"/>
                  <w:tcBorders>
                    <w:tl2br w:val="nil"/>
                    <w:tr2bl w:val="nil"/>
                  </w:tcBorders>
                  <w:vAlign w:val="center"/>
                </w:tcPr>
                <w:p w14:paraId="547B064B">
                  <w:pPr>
                    <w:widowControl/>
                    <w:jc w:val="center"/>
                    <w:rPr>
                      <w:kern w:val="0"/>
                      <w:szCs w:val="21"/>
                    </w:rPr>
                  </w:pPr>
                  <w:r>
                    <w:rPr>
                      <w:kern w:val="0"/>
                      <w:szCs w:val="21"/>
                    </w:rPr>
                    <w:t>本项目废水执行标准</w:t>
                  </w:r>
                </w:p>
              </w:tc>
              <w:tc>
                <w:tcPr>
                  <w:tcW w:w="598" w:type="pct"/>
                  <w:tcBorders>
                    <w:tl2br w:val="nil"/>
                    <w:tr2bl w:val="nil"/>
                  </w:tcBorders>
                  <w:vAlign w:val="center"/>
                </w:tcPr>
                <w:p w14:paraId="0EAD4B15">
                  <w:pPr>
                    <w:widowControl/>
                    <w:ind w:left="-105" w:leftChars="-50" w:right="-105" w:rightChars="-50"/>
                    <w:jc w:val="center"/>
                    <w:rPr>
                      <w:kern w:val="0"/>
                      <w:szCs w:val="21"/>
                    </w:rPr>
                  </w:pPr>
                  <w:r>
                    <w:rPr>
                      <w:kern w:val="0"/>
                      <w:szCs w:val="21"/>
                    </w:rPr>
                    <w:t>6-9</w:t>
                  </w:r>
                </w:p>
              </w:tc>
              <w:tc>
                <w:tcPr>
                  <w:tcW w:w="683" w:type="pct"/>
                  <w:tcBorders>
                    <w:tl2br w:val="nil"/>
                    <w:tr2bl w:val="nil"/>
                  </w:tcBorders>
                  <w:vAlign w:val="center"/>
                </w:tcPr>
                <w:p w14:paraId="29262452">
                  <w:pPr>
                    <w:widowControl/>
                    <w:ind w:left="-105" w:leftChars="-50" w:right="-105" w:rightChars="-50"/>
                    <w:jc w:val="center"/>
                    <w:rPr>
                      <w:kern w:val="0"/>
                      <w:szCs w:val="21"/>
                    </w:rPr>
                  </w:pPr>
                  <w:r>
                    <w:rPr>
                      <w:rFonts w:hint="eastAsia"/>
                      <w:kern w:val="0"/>
                      <w:szCs w:val="21"/>
                    </w:rPr>
                    <w:t>3</w:t>
                  </w:r>
                  <w:r>
                    <w:rPr>
                      <w:kern w:val="0"/>
                      <w:szCs w:val="21"/>
                    </w:rPr>
                    <w:t>50</w:t>
                  </w:r>
                </w:p>
              </w:tc>
              <w:tc>
                <w:tcPr>
                  <w:tcW w:w="513" w:type="pct"/>
                  <w:tcBorders>
                    <w:tl2br w:val="nil"/>
                    <w:tr2bl w:val="nil"/>
                  </w:tcBorders>
                  <w:vAlign w:val="center"/>
                </w:tcPr>
                <w:p w14:paraId="374C2067">
                  <w:pPr>
                    <w:widowControl/>
                    <w:ind w:left="-105" w:leftChars="-50" w:right="-105" w:rightChars="-50"/>
                    <w:jc w:val="center"/>
                    <w:rPr>
                      <w:kern w:val="0"/>
                      <w:szCs w:val="21"/>
                    </w:rPr>
                  </w:pPr>
                  <w:r>
                    <w:rPr>
                      <w:rFonts w:hint="eastAsia"/>
                      <w:kern w:val="0"/>
                      <w:szCs w:val="21"/>
                    </w:rPr>
                    <w:t>1</w:t>
                  </w:r>
                  <w:r>
                    <w:rPr>
                      <w:kern w:val="0"/>
                      <w:szCs w:val="21"/>
                    </w:rPr>
                    <w:t>60</w:t>
                  </w:r>
                </w:p>
              </w:tc>
              <w:tc>
                <w:tcPr>
                  <w:tcW w:w="427" w:type="pct"/>
                  <w:tcBorders>
                    <w:tl2br w:val="nil"/>
                    <w:tr2bl w:val="nil"/>
                  </w:tcBorders>
                  <w:vAlign w:val="center"/>
                </w:tcPr>
                <w:p w14:paraId="7E83D53F">
                  <w:pPr>
                    <w:widowControl/>
                    <w:ind w:left="-105" w:leftChars="-50" w:right="-105" w:rightChars="-50"/>
                    <w:jc w:val="center"/>
                    <w:rPr>
                      <w:kern w:val="0"/>
                      <w:szCs w:val="21"/>
                    </w:rPr>
                  </w:pPr>
                  <w:r>
                    <w:rPr>
                      <w:rFonts w:hint="eastAsia"/>
                      <w:kern w:val="0"/>
                      <w:szCs w:val="21"/>
                    </w:rPr>
                    <w:t>3</w:t>
                  </w:r>
                  <w:r>
                    <w:rPr>
                      <w:kern w:val="0"/>
                      <w:szCs w:val="21"/>
                    </w:rPr>
                    <w:t>00</w:t>
                  </w:r>
                </w:p>
              </w:tc>
              <w:tc>
                <w:tcPr>
                  <w:tcW w:w="542" w:type="pct"/>
                  <w:tcBorders>
                    <w:tl2br w:val="nil"/>
                    <w:tr2bl w:val="nil"/>
                  </w:tcBorders>
                  <w:vAlign w:val="center"/>
                </w:tcPr>
                <w:p w14:paraId="2298DD2E">
                  <w:pPr>
                    <w:widowControl/>
                    <w:ind w:left="-105" w:leftChars="-50" w:right="-105" w:rightChars="-50"/>
                    <w:jc w:val="center"/>
                    <w:rPr>
                      <w:kern w:val="0"/>
                      <w:szCs w:val="21"/>
                    </w:rPr>
                  </w:pPr>
                  <w:r>
                    <w:rPr>
                      <w:rFonts w:hint="eastAsia"/>
                      <w:kern w:val="0"/>
                      <w:szCs w:val="21"/>
                    </w:rPr>
                    <w:t>2</w:t>
                  </w:r>
                  <w:r>
                    <w:rPr>
                      <w:kern w:val="0"/>
                      <w:szCs w:val="21"/>
                    </w:rPr>
                    <w:t>2</w:t>
                  </w:r>
                </w:p>
              </w:tc>
            </w:tr>
            <w:tr w14:paraId="3694D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37" w:type="pct"/>
                  <w:tcBorders>
                    <w:tl2br w:val="nil"/>
                    <w:tr2bl w:val="nil"/>
                  </w:tcBorders>
                  <w:vAlign w:val="center"/>
                </w:tcPr>
                <w:p w14:paraId="7E9A5F29">
                  <w:pPr>
                    <w:widowControl/>
                    <w:jc w:val="center"/>
                    <w:rPr>
                      <w:kern w:val="0"/>
                      <w:szCs w:val="21"/>
                    </w:rPr>
                  </w:pPr>
                  <w:r>
                    <w:rPr>
                      <w:kern w:val="0"/>
                      <w:szCs w:val="21"/>
                    </w:rPr>
                    <w:t>《城镇污水处理厂污染物排放标准》（GB18918-2002）中一级A标准</w:t>
                  </w:r>
                </w:p>
              </w:tc>
              <w:tc>
                <w:tcPr>
                  <w:tcW w:w="598" w:type="pct"/>
                  <w:tcBorders>
                    <w:tl2br w:val="nil"/>
                    <w:tr2bl w:val="nil"/>
                  </w:tcBorders>
                  <w:vAlign w:val="center"/>
                </w:tcPr>
                <w:p w14:paraId="0341B67D">
                  <w:pPr>
                    <w:widowControl/>
                    <w:jc w:val="center"/>
                    <w:rPr>
                      <w:kern w:val="0"/>
                      <w:szCs w:val="21"/>
                    </w:rPr>
                  </w:pPr>
                  <w:r>
                    <w:rPr>
                      <w:kern w:val="0"/>
                      <w:szCs w:val="21"/>
                    </w:rPr>
                    <w:t>6~9</w:t>
                  </w:r>
                </w:p>
              </w:tc>
              <w:tc>
                <w:tcPr>
                  <w:tcW w:w="683" w:type="pct"/>
                  <w:tcBorders>
                    <w:tl2br w:val="nil"/>
                    <w:tr2bl w:val="nil"/>
                  </w:tcBorders>
                  <w:vAlign w:val="center"/>
                </w:tcPr>
                <w:p w14:paraId="0B028000">
                  <w:pPr>
                    <w:widowControl/>
                    <w:jc w:val="center"/>
                    <w:rPr>
                      <w:kern w:val="0"/>
                      <w:szCs w:val="21"/>
                    </w:rPr>
                  </w:pPr>
                  <w:r>
                    <w:rPr>
                      <w:kern w:val="0"/>
                      <w:szCs w:val="21"/>
                    </w:rPr>
                    <w:t>50</w:t>
                  </w:r>
                </w:p>
              </w:tc>
              <w:tc>
                <w:tcPr>
                  <w:tcW w:w="513" w:type="pct"/>
                  <w:tcBorders>
                    <w:tl2br w:val="nil"/>
                    <w:tr2bl w:val="nil"/>
                  </w:tcBorders>
                  <w:vAlign w:val="center"/>
                </w:tcPr>
                <w:p w14:paraId="79F54861">
                  <w:pPr>
                    <w:widowControl/>
                    <w:jc w:val="center"/>
                    <w:rPr>
                      <w:kern w:val="0"/>
                      <w:szCs w:val="21"/>
                    </w:rPr>
                  </w:pPr>
                  <w:r>
                    <w:rPr>
                      <w:kern w:val="0"/>
                      <w:szCs w:val="21"/>
                    </w:rPr>
                    <w:t>10</w:t>
                  </w:r>
                </w:p>
              </w:tc>
              <w:tc>
                <w:tcPr>
                  <w:tcW w:w="427" w:type="pct"/>
                  <w:tcBorders>
                    <w:tl2br w:val="nil"/>
                    <w:tr2bl w:val="nil"/>
                  </w:tcBorders>
                  <w:vAlign w:val="center"/>
                </w:tcPr>
                <w:p w14:paraId="51E6B3E7">
                  <w:pPr>
                    <w:widowControl/>
                    <w:jc w:val="center"/>
                    <w:rPr>
                      <w:kern w:val="0"/>
                      <w:szCs w:val="21"/>
                    </w:rPr>
                  </w:pPr>
                  <w:r>
                    <w:rPr>
                      <w:kern w:val="0"/>
                      <w:szCs w:val="21"/>
                    </w:rPr>
                    <w:t>10</w:t>
                  </w:r>
                </w:p>
              </w:tc>
              <w:tc>
                <w:tcPr>
                  <w:tcW w:w="542" w:type="pct"/>
                  <w:tcBorders>
                    <w:tl2br w:val="nil"/>
                    <w:tr2bl w:val="nil"/>
                  </w:tcBorders>
                  <w:vAlign w:val="center"/>
                </w:tcPr>
                <w:p w14:paraId="1A908D98">
                  <w:pPr>
                    <w:widowControl/>
                    <w:jc w:val="center"/>
                    <w:rPr>
                      <w:kern w:val="0"/>
                      <w:szCs w:val="21"/>
                    </w:rPr>
                  </w:pPr>
                  <w:r>
                    <w:rPr>
                      <w:kern w:val="0"/>
                      <w:szCs w:val="21"/>
                    </w:rPr>
                    <w:t>5（8）</w:t>
                  </w:r>
                </w:p>
              </w:tc>
            </w:tr>
          </w:tbl>
          <w:p w14:paraId="0611338D">
            <w:pPr>
              <w:ind w:firstLine="420" w:firstLineChars="200"/>
              <w:rPr>
                <w:sz w:val="24"/>
                <w:szCs w:val="22"/>
              </w:rPr>
            </w:pPr>
            <w:r>
              <w:rPr>
                <w:szCs w:val="21"/>
              </w:rPr>
              <w:t>注：括号外数值为水温＞12℃时的控制指标，括号内数值为水温≤12℃时的控制指标。</w:t>
            </w:r>
          </w:p>
          <w:p w14:paraId="5CF34D89">
            <w:pPr>
              <w:spacing w:before="100" w:beforeAutospacing="1" w:line="360" w:lineRule="auto"/>
              <w:ind w:firstLine="482" w:firstLineChars="200"/>
              <w:rPr>
                <w:kern w:val="0"/>
                <w:sz w:val="24"/>
                <w:szCs w:val="20"/>
              </w:rPr>
            </w:pPr>
            <w:r>
              <w:rPr>
                <w:b/>
                <w:kern w:val="0"/>
                <w:sz w:val="24"/>
                <w:szCs w:val="20"/>
              </w:rPr>
              <w:t>3、噪声</w:t>
            </w:r>
          </w:p>
          <w:p w14:paraId="7CF26C23">
            <w:pPr>
              <w:keepNext w:val="0"/>
              <w:keepLines w:val="0"/>
              <w:pageBreakBefore w:val="0"/>
              <w:widowControl/>
              <w:kinsoku/>
              <w:wordWrap/>
              <w:overflowPunct/>
              <w:topLinePunct w:val="0"/>
              <w:autoSpaceDE/>
              <w:autoSpaceDN/>
              <w:bidi w:val="0"/>
              <w:adjustRightInd/>
              <w:snapToGrid/>
              <w:spacing w:beforeAutospacing="0" w:line="360" w:lineRule="auto"/>
              <w:ind w:left="0" w:leftChars="0" w:firstLine="480" w:firstLineChars="200"/>
              <w:jc w:val="left"/>
              <w:textAlignment w:val="auto"/>
              <w:rPr>
                <w:kern w:val="0"/>
                <w:sz w:val="24"/>
                <w:szCs w:val="20"/>
              </w:rPr>
            </w:pPr>
            <w:r>
              <w:rPr>
                <w:rFonts w:hint="eastAsia"/>
                <w:kern w:val="0"/>
                <w:sz w:val="24"/>
                <w:szCs w:val="20"/>
              </w:rPr>
              <w:t>项目</w:t>
            </w:r>
            <w:r>
              <w:rPr>
                <w:kern w:val="0"/>
                <w:sz w:val="24"/>
                <w:szCs w:val="20"/>
              </w:rPr>
              <w:t>运营期</w:t>
            </w:r>
            <w:r>
              <w:rPr>
                <w:rFonts w:hint="eastAsia"/>
                <w:kern w:val="0"/>
                <w:sz w:val="24"/>
                <w:szCs w:val="20"/>
              </w:rPr>
              <w:t>厂界</w:t>
            </w:r>
            <w:r>
              <w:rPr>
                <w:kern w:val="0"/>
                <w:sz w:val="24"/>
                <w:szCs w:val="20"/>
              </w:rPr>
              <w:t>噪声执行《工业企业厂界环境噪声排放标准》（</w:t>
            </w:r>
            <w:r>
              <w:rPr>
                <w:bCs/>
                <w:kern w:val="0"/>
                <w:sz w:val="24"/>
                <w:szCs w:val="20"/>
              </w:rPr>
              <w:t>GB12348-2008）</w:t>
            </w:r>
            <w:r>
              <w:rPr>
                <w:kern w:val="0"/>
                <w:sz w:val="24"/>
                <w:szCs w:val="20"/>
              </w:rPr>
              <w:t>中的3类标准，具体见下表。</w:t>
            </w:r>
          </w:p>
          <w:p w14:paraId="7B2B8614">
            <w:pPr>
              <w:keepNext w:val="0"/>
              <w:keepLines w:val="0"/>
              <w:pageBreakBefore w:val="0"/>
              <w:widowControl/>
              <w:kinsoku/>
              <w:wordWrap/>
              <w:overflowPunct/>
              <w:topLinePunct w:val="0"/>
              <w:autoSpaceDE/>
              <w:autoSpaceDN/>
              <w:bidi w:val="0"/>
              <w:adjustRightInd/>
              <w:snapToGrid/>
              <w:spacing w:beforeAutospacing="0" w:line="360" w:lineRule="auto"/>
              <w:ind w:left="0" w:leftChars="0"/>
              <w:jc w:val="center"/>
              <w:textAlignment w:val="auto"/>
              <w:rPr>
                <w:rFonts w:hint="eastAsia" w:eastAsia="宋体"/>
                <w:b/>
                <w:kern w:val="0"/>
                <w:sz w:val="24"/>
                <w:szCs w:val="20"/>
                <w:lang w:eastAsia="zh-CN"/>
              </w:rPr>
            </w:pPr>
            <w:r>
              <w:rPr>
                <w:b/>
                <w:kern w:val="0"/>
                <w:sz w:val="24"/>
                <w:szCs w:val="20"/>
              </w:rPr>
              <w:t>表3-</w:t>
            </w:r>
            <w:r>
              <w:rPr>
                <w:rFonts w:hint="eastAsia"/>
                <w:b/>
                <w:kern w:val="0"/>
                <w:sz w:val="24"/>
                <w:szCs w:val="20"/>
                <w:lang w:val="en-US" w:eastAsia="zh-CN"/>
              </w:rPr>
              <w:t>6</w:t>
            </w:r>
            <w:r>
              <w:rPr>
                <w:b/>
                <w:kern w:val="0"/>
                <w:sz w:val="24"/>
                <w:szCs w:val="20"/>
              </w:rPr>
              <w:t xml:space="preserve">  项目环境噪声排放标准  单位：dB</w:t>
            </w:r>
            <w:r>
              <w:rPr>
                <w:rFonts w:hint="eastAsia"/>
                <w:b/>
                <w:kern w:val="0"/>
                <w:sz w:val="24"/>
                <w:szCs w:val="20"/>
                <w:lang w:eastAsia="zh-CN"/>
              </w:rPr>
              <w:t>（</w:t>
            </w:r>
            <w:r>
              <w:rPr>
                <w:b/>
                <w:kern w:val="0"/>
                <w:sz w:val="24"/>
                <w:szCs w:val="20"/>
              </w:rPr>
              <w:t>A</w:t>
            </w:r>
            <w:r>
              <w:rPr>
                <w:rFonts w:hint="eastAsia"/>
                <w:b/>
                <w:kern w:val="0"/>
                <w:sz w:val="24"/>
                <w:szCs w:val="20"/>
                <w:lang w:eastAsia="zh-CN"/>
              </w:rPr>
              <w:t>）</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1717"/>
              <w:gridCol w:w="1717"/>
              <w:gridCol w:w="3127"/>
            </w:tblGrid>
            <w:tr w14:paraId="520BF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53" w:type="pct"/>
                  <w:vMerge w:val="restart"/>
                  <w:tcBorders>
                    <w:tl2br w:val="nil"/>
                    <w:tr2bl w:val="nil"/>
                  </w:tcBorders>
                  <w:vAlign w:val="center"/>
                </w:tcPr>
                <w:p w14:paraId="4FC3A7C6">
                  <w:pPr>
                    <w:widowControl/>
                    <w:jc w:val="center"/>
                    <w:rPr>
                      <w:b/>
                      <w:kern w:val="0"/>
                      <w:szCs w:val="21"/>
                    </w:rPr>
                  </w:pPr>
                  <w:r>
                    <w:rPr>
                      <w:b/>
                      <w:kern w:val="0"/>
                      <w:szCs w:val="21"/>
                    </w:rPr>
                    <w:t>类别</w:t>
                  </w:r>
                </w:p>
              </w:tc>
              <w:tc>
                <w:tcPr>
                  <w:tcW w:w="2066" w:type="pct"/>
                  <w:gridSpan w:val="2"/>
                  <w:tcBorders>
                    <w:tl2br w:val="nil"/>
                    <w:tr2bl w:val="nil"/>
                  </w:tcBorders>
                  <w:vAlign w:val="center"/>
                </w:tcPr>
                <w:p w14:paraId="2008302C">
                  <w:pPr>
                    <w:widowControl/>
                    <w:jc w:val="center"/>
                    <w:rPr>
                      <w:rFonts w:hint="eastAsia" w:eastAsia="宋体"/>
                      <w:b/>
                      <w:kern w:val="0"/>
                      <w:szCs w:val="21"/>
                      <w:lang w:eastAsia="zh-CN"/>
                    </w:rPr>
                  </w:pPr>
                  <w:r>
                    <w:rPr>
                      <w:b/>
                      <w:kern w:val="0"/>
                      <w:szCs w:val="21"/>
                    </w:rPr>
                    <w:t>标准值dB</w:t>
                  </w:r>
                  <w:r>
                    <w:rPr>
                      <w:rFonts w:hint="eastAsia"/>
                      <w:b/>
                      <w:kern w:val="0"/>
                      <w:szCs w:val="21"/>
                      <w:lang w:eastAsia="zh-CN"/>
                    </w:rPr>
                    <w:t>（</w:t>
                  </w:r>
                  <w:r>
                    <w:rPr>
                      <w:b/>
                      <w:kern w:val="0"/>
                      <w:szCs w:val="21"/>
                    </w:rPr>
                    <w:t>A</w:t>
                  </w:r>
                  <w:r>
                    <w:rPr>
                      <w:rFonts w:hint="eastAsia"/>
                      <w:b/>
                      <w:kern w:val="0"/>
                      <w:szCs w:val="21"/>
                      <w:lang w:eastAsia="zh-CN"/>
                    </w:rPr>
                    <w:t>）</w:t>
                  </w:r>
                </w:p>
              </w:tc>
              <w:tc>
                <w:tcPr>
                  <w:tcW w:w="1881" w:type="pct"/>
                  <w:vMerge w:val="restart"/>
                  <w:tcBorders>
                    <w:tl2br w:val="nil"/>
                    <w:tr2bl w:val="nil"/>
                  </w:tcBorders>
                  <w:vAlign w:val="center"/>
                </w:tcPr>
                <w:p w14:paraId="752CC845">
                  <w:pPr>
                    <w:widowControl/>
                    <w:jc w:val="center"/>
                    <w:rPr>
                      <w:b/>
                      <w:kern w:val="0"/>
                      <w:szCs w:val="21"/>
                    </w:rPr>
                  </w:pPr>
                  <w:r>
                    <w:rPr>
                      <w:b/>
                      <w:kern w:val="0"/>
                      <w:szCs w:val="21"/>
                    </w:rPr>
                    <w:t>标准来源</w:t>
                  </w:r>
                </w:p>
              </w:tc>
            </w:tr>
            <w:tr w14:paraId="1F4C6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53" w:type="pct"/>
                  <w:vMerge w:val="continue"/>
                  <w:tcBorders>
                    <w:tl2br w:val="nil"/>
                    <w:tr2bl w:val="nil"/>
                  </w:tcBorders>
                  <w:vAlign w:val="center"/>
                </w:tcPr>
                <w:p w14:paraId="306C95E7">
                  <w:pPr>
                    <w:widowControl/>
                    <w:jc w:val="center"/>
                    <w:rPr>
                      <w:b/>
                      <w:kern w:val="0"/>
                      <w:szCs w:val="21"/>
                    </w:rPr>
                  </w:pPr>
                </w:p>
              </w:tc>
              <w:tc>
                <w:tcPr>
                  <w:tcW w:w="1033" w:type="pct"/>
                  <w:tcBorders>
                    <w:tl2br w:val="nil"/>
                    <w:tr2bl w:val="nil"/>
                  </w:tcBorders>
                  <w:vAlign w:val="center"/>
                </w:tcPr>
                <w:p w14:paraId="50BF8773">
                  <w:pPr>
                    <w:widowControl/>
                    <w:jc w:val="center"/>
                    <w:rPr>
                      <w:b/>
                      <w:kern w:val="0"/>
                      <w:szCs w:val="21"/>
                    </w:rPr>
                  </w:pPr>
                  <w:r>
                    <w:rPr>
                      <w:b/>
                      <w:kern w:val="0"/>
                      <w:szCs w:val="21"/>
                    </w:rPr>
                    <w:t>昼间</w:t>
                  </w:r>
                </w:p>
              </w:tc>
              <w:tc>
                <w:tcPr>
                  <w:tcW w:w="1033" w:type="pct"/>
                  <w:tcBorders>
                    <w:tl2br w:val="nil"/>
                    <w:tr2bl w:val="nil"/>
                  </w:tcBorders>
                  <w:vAlign w:val="center"/>
                </w:tcPr>
                <w:p w14:paraId="5EBC1A05">
                  <w:pPr>
                    <w:widowControl/>
                    <w:jc w:val="center"/>
                    <w:rPr>
                      <w:b/>
                      <w:kern w:val="0"/>
                      <w:szCs w:val="21"/>
                    </w:rPr>
                  </w:pPr>
                  <w:r>
                    <w:rPr>
                      <w:b/>
                      <w:kern w:val="0"/>
                      <w:szCs w:val="21"/>
                    </w:rPr>
                    <w:t>夜间</w:t>
                  </w:r>
                </w:p>
              </w:tc>
              <w:tc>
                <w:tcPr>
                  <w:tcW w:w="1881" w:type="pct"/>
                  <w:vMerge w:val="continue"/>
                  <w:tcBorders>
                    <w:tl2br w:val="nil"/>
                    <w:tr2bl w:val="nil"/>
                  </w:tcBorders>
                  <w:vAlign w:val="center"/>
                </w:tcPr>
                <w:p w14:paraId="713F2A73">
                  <w:pPr>
                    <w:widowControl/>
                    <w:jc w:val="center"/>
                    <w:rPr>
                      <w:b/>
                      <w:kern w:val="0"/>
                      <w:szCs w:val="21"/>
                    </w:rPr>
                  </w:pPr>
                </w:p>
              </w:tc>
            </w:tr>
            <w:tr w14:paraId="03AD0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53" w:type="pct"/>
                  <w:tcBorders>
                    <w:tl2br w:val="nil"/>
                    <w:tr2bl w:val="nil"/>
                  </w:tcBorders>
                  <w:vAlign w:val="center"/>
                </w:tcPr>
                <w:p w14:paraId="5153BCEB">
                  <w:pPr>
                    <w:widowControl/>
                    <w:jc w:val="center"/>
                    <w:rPr>
                      <w:kern w:val="0"/>
                      <w:szCs w:val="21"/>
                    </w:rPr>
                  </w:pPr>
                  <w:r>
                    <w:rPr>
                      <w:kern w:val="0"/>
                      <w:szCs w:val="21"/>
                    </w:rPr>
                    <w:t>3类</w:t>
                  </w:r>
                </w:p>
              </w:tc>
              <w:tc>
                <w:tcPr>
                  <w:tcW w:w="1033" w:type="pct"/>
                  <w:tcBorders>
                    <w:tl2br w:val="nil"/>
                    <w:tr2bl w:val="nil"/>
                  </w:tcBorders>
                  <w:vAlign w:val="center"/>
                </w:tcPr>
                <w:p w14:paraId="14835918">
                  <w:pPr>
                    <w:widowControl/>
                    <w:jc w:val="center"/>
                    <w:rPr>
                      <w:kern w:val="0"/>
                      <w:szCs w:val="21"/>
                    </w:rPr>
                  </w:pPr>
                  <w:r>
                    <w:rPr>
                      <w:kern w:val="0"/>
                      <w:szCs w:val="21"/>
                    </w:rPr>
                    <w:t>65</w:t>
                  </w:r>
                </w:p>
              </w:tc>
              <w:tc>
                <w:tcPr>
                  <w:tcW w:w="1033" w:type="pct"/>
                  <w:tcBorders>
                    <w:tl2br w:val="nil"/>
                    <w:tr2bl w:val="nil"/>
                  </w:tcBorders>
                  <w:vAlign w:val="center"/>
                </w:tcPr>
                <w:p w14:paraId="0DFD9968">
                  <w:pPr>
                    <w:widowControl/>
                    <w:jc w:val="center"/>
                    <w:rPr>
                      <w:kern w:val="0"/>
                      <w:szCs w:val="21"/>
                    </w:rPr>
                  </w:pPr>
                  <w:r>
                    <w:rPr>
                      <w:kern w:val="0"/>
                      <w:szCs w:val="21"/>
                    </w:rPr>
                    <w:t>55</w:t>
                  </w:r>
                </w:p>
              </w:tc>
              <w:tc>
                <w:tcPr>
                  <w:tcW w:w="1881" w:type="pct"/>
                  <w:tcBorders>
                    <w:tl2br w:val="nil"/>
                    <w:tr2bl w:val="nil"/>
                  </w:tcBorders>
                  <w:vAlign w:val="center"/>
                </w:tcPr>
                <w:p w14:paraId="54F2DA49">
                  <w:pPr>
                    <w:widowControl/>
                    <w:jc w:val="center"/>
                    <w:rPr>
                      <w:kern w:val="0"/>
                      <w:szCs w:val="21"/>
                    </w:rPr>
                  </w:pPr>
                  <w:r>
                    <w:rPr>
                      <w:kern w:val="0"/>
                      <w:szCs w:val="21"/>
                    </w:rPr>
                    <w:t>《工业企业厂界环境噪声排放标准》（</w:t>
                  </w:r>
                  <w:r>
                    <w:rPr>
                      <w:bCs/>
                      <w:kern w:val="0"/>
                      <w:szCs w:val="21"/>
                    </w:rPr>
                    <w:t>GB12348-2008）</w:t>
                  </w:r>
                </w:p>
              </w:tc>
            </w:tr>
          </w:tbl>
          <w:p w14:paraId="1F45DC7E">
            <w:pPr>
              <w:widowControl/>
              <w:spacing w:before="100" w:beforeAutospacing="1" w:line="360" w:lineRule="auto"/>
              <w:ind w:firstLine="482" w:firstLineChars="200"/>
              <w:jc w:val="left"/>
              <w:rPr>
                <w:b/>
                <w:kern w:val="0"/>
                <w:sz w:val="24"/>
                <w:szCs w:val="20"/>
              </w:rPr>
            </w:pPr>
            <w:r>
              <w:rPr>
                <w:b/>
                <w:kern w:val="0"/>
                <w:sz w:val="24"/>
                <w:szCs w:val="20"/>
              </w:rPr>
              <w:t>4、</w:t>
            </w:r>
            <w:r>
              <w:rPr>
                <w:rFonts w:hint="eastAsia"/>
                <w:b/>
                <w:kern w:val="0"/>
                <w:sz w:val="24"/>
                <w:szCs w:val="20"/>
              </w:rPr>
              <w:t>固废</w:t>
            </w:r>
          </w:p>
          <w:p w14:paraId="52A8F0DE">
            <w:pPr>
              <w:widowControl/>
              <w:spacing w:line="360" w:lineRule="auto"/>
              <w:ind w:firstLine="480" w:firstLineChars="200"/>
              <w:jc w:val="left"/>
              <w:rPr>
                <w:rFonts w:hint="eastAsia" w:eastAsia="宋体"/>
                <w:sz w:val="24"/>
                <w:lang w:eastAsia="zh-CN"/>
              </w:rPr>
            </w:pPr>
            <w:r>
              <w:rPr>
                <w:kern w:val="0"/>
                <w:sz w:val="24"/>
                <w:szCs w:val="20"/>
              </w:rPr>
              <w:t>本项目</w:t>
            </w:r>
            <w:r>
              <w:rPr>
                <w:sz w:val="24"/>
              </w:rPr>
              <w:t>一般固废处理处置执行《一般工业固体废物贮存和填埋污染控制标准》（GB18599-2020）的规定；本项目涉及到的危险固体废弃物的贮存应执行《危险废物贮存污染控制标准》（GB18597-2023）中有关规定</w:t>
            </w:r>
            <w:r>
              <w:rPr>
                <w:rFonts w:hint="eastAsia"/>
                <w:sz w:val="24"/>
                <w:lang w:eastAsia="zh-CN"/>
              </w:rPr>
              <w:t>。</w:t>
            </w:r>
          </w:p>
          <w:p w14:paraId="59170709">
            <w:pPr>
              <w:widowControl/>
              <w:spacing w:line="360" w:lineRule="auto"/>
              <w:ind w:firstLine="480" w:firstLineChars="200"/>
              <w:jc w:val="left"/>
              <w:rPr>
                <w:sz w:val="24"/>
              </w:rPr>
            </w:pPr>
          </w:p>
          <w:p w14:paraId="56288824">
            <w:pPr>
              <w:widowControl/>
              <w:spacing w:line="360" w:lineRule="auto"/>
              <w:jc w:val="left"/>
              <w:rPr>
                <w:kern w:val="0"/>
                <w:sz w:val="24"/>
                <w:szCs w:val="20"/>
              </w:rPr>
            </w:pPr>
          </w:p>
        </w:tc>
      </w:tr>
      <w:tr w14:paraId="1585A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639" w:hRule="atLeast"/>
          <w:jc w:val="center"/>
        </w:trPr>
        <w:tc>
          <w:tcPr>
            <w:tcW w:w="534" w:type="dxa"/>
            <w:vAlign w:val="center"/>
          </w:tcPr>
          <w:p w14:paraId="331C5611">
            <w:pPr>
              <w:autoSpaceDE w:val="0"/>
              <w:autoSpaceDN w:val="0"/>
              <w:adjustRightInd w:val="0"/>
              <w:snapToGrid w:val="0"/>
              <w:jc w:val="center"/>
              <w:rPr>
                <w:rFonts w:cs="宋体"/>
                <w:kern w:val="0"/>
                <w:sz w:val="24"/>
              </w:rPr>
            </w:pPr>
            <w:r>
              <w:rPr>
                <w:rFonts w:hint="eastAsia" w:cs="宋体"/>
                <w:kern w:val="0"/>
                <w:sz w:val="24"/>
              </w:rPr>
              <w:t>总量</w:t>
            </w:r>
          </w:p>
          <w:p w14:paraId="611E9494">
            <w:pPr>
              <w:autoSpaceDE w:val="0"/>
              <w:autoSpaceDN w:val="0"/>
              <w:adjustRightInd w:val="0"/>
              <w:snapToGrid w:val="0"/>
              <w:jc w:val="center"/>
              <w:rPr>
                <w:rFonts w:cs="宋体"/>
                <w:kern w:val="0"/>
                <w:sz w:val="24"/>
              </w:rPr>
            </w:pPr>
            <w:r>
              <w:rPr>
                <w:rFonts w:hint="eastAsia" w:cs="宋体"/>
                <w:kern w:val="0"/>
                <w:sz w:val="24"/>
              </w:rPr>
              <w:t>控制</w:t>
            </w:r>
          </w:p>
          <w:p w14:paraId="6D36D9C3">
            <w:pPr>
              <w:autoSpaceDE w:val="0"/>
              <w:autoSpaceDN w:val="0"/>
              <w:adjustRightInd w:val="0"/>
              <w:snapToGrid w:val="0"/>
              <w:jc w:val="center"/>
              <w:rPr>
                <w:rFonts w:cs="宋体"/>
                <w:kern w:val="0"/>
                <w:sz w:val="24"/>
              </w:rPr>
            </w:pPr>
            <w:r>
              <w:rPr>
                <w:rFonts w:hint="eastAsia" w:cs="宋体"/>
                <w:kern w:val="0"/>
                <w:sz w:val="24"/>
              </w:rPr>
              <w:t>指标</w:t>
            </w:r>
          </w:p>
        </w:tc>
        <w:tc>
          <w:tcPr>
            <w:tcW w:w="8527" w:type="dxa"/>
            <w:vAlign w:val="center"/>
          </w:tcPr>
          <w:p w14:paraId="5A353EDD">
            <w:pPr>
              <w:spacing w:line="360" w:lineRule="auto"/>
              <w:ind w:firstLine="480" w:firstLineChars="200"/>
              <w:rPr>
                <w:rFonts w:hint="eastAsia"/>
                <w:sz w:val="24"/>
              </w:rPr>
            </w:pPr>
            <w:r>
              <w:rPr>
                <w:rFonts w:hint="eastAsia"/>
                <w:sz w:val="24"/>
              </w:rPr>
              <w:t>根据《国务院关于印发&lt;“十四五”节能减排综合工作方案&gt;的通知》（国发[2021]33号），目前国家对化学需氧量 COD、氨氮 NH</w:t>
            </w:r>
            <w:r>
              <w:rPr>
                <w:rFonts w:hint="eastAsia"/>
                <w:sz w:val="24"/>
                <w:vertAlign w:val="subscript"/>
              </w:rPr>
              <w:t>3</w:t>
            </w:r>
            <w:r>
              <w:rPr>
                <w:rFonts w:hint="eastAsia"/>
                <w:sz w:val="24"/>
              </w:rPr>
              <w:t>-N、氮氧化物 NOx、VOCs（以非甲烷总烃计）等四种主要污染物纳入排放总量控制计划管理。</w:t>
            </w:r>
          </w:p>
          <w:p w14:paraId="3124C0BC">
            <w:pPr>
              <w:spacing w:line="360" w:lineRule="auto"/>
              <w:ind w:firstLine="480" w:firstLineChars="200"/>
              <w:rPr>
                <w:rFonts w:hint="eastAsia"/>
                <w:sz w:val="24"/>
              </w:rPr>
            </w:pPr>
            <w:r>
              <w:rPr>
                <w:rFonts w:hint="eastAsia"/>
                <w:sz w:val="24"/>
              </w:rPr>
              <w:t>本项目外排废水为生活污水，产生量为</w:t>
            </w:r>
            <w:r>
              <w:rPr>
                <w:rFonts w:hint="eastAsia"/>
                <w:sz w:val="24"/>
                <w:lang w:val="en-US" w:eastAsia="zh-CN"/>
              </w:rPr>
              <w:t>18</w:t>
            </w:r>
            <w:r>
              <w:rPr>
                <w:rFonts w:hint="eastAsia"/>
                <w:sz w:val="24"/>
              </w:rPr>
              <w:t>0t/a，经化粪池处理后进入天门山污水处理厂集中处理。废水COD 纳管前排放量为</w:t>
            </w:r>
            <w:r>
              <w:rPr>
                <w:rFonts w:hint="eastAsia"/>
                <w:sz w:val="24"/>
                <w:lang w:val="en-US" w:eastAsia="zh-CN"/>
              </w:rPr>
              <w:t>0.054</w:t>
            </w:r>
            <w:r>
              <w:rPr>
                <w:rFonts w:hint="eastAsia"/>
                <w:sz w:val="24"/>
              </w:rPr>
              <w:t>t/a，纳管后排放量为 0.0</w:t>
            </w:r>
            <w:r>
              <w:rPr>
                <w:rFonts w:hint="eastAsia"/>
                <w:sz w:val="24"/>
                <w:lang w:val="en-US" w:eastAsia="zh-CN"/>
              </w:rPr>
              <w:t>09</w:t>
            </w:r>
            <w:r>
              <w:rPr>
                <w:rFonts w:hint="eastAsia"/>
                <w:sz w:val="24"/>
              </w:rPr>
              <w:t>t/a，NH</w:t>
            </w:r>
            <w:r>
              <w:rPr>
                <w:rFonts w:hint="eastAsia"/>
                <w:sz w:val="24"/>
                <w:vertAlign w:val="subscript"/>
              </w:rPr>
              <w:t>3</w:t>
            </w:r>
            <w:r>
              <w:rPr>
                <w:rFonts w:hint="eastAsia"/>
                <w:sz w:val="24"/>
              </w:rPr>
              <w:t>-N 纳管前排放量为</w:t>
            </w:r>
            <w:r>
              <w:rPr>
                <w:rFonts w:hint="eastAsia"/>
                <w:sz w:val="24"/>
                <w:lang w:val="en-US" w:eastAsia="zh-CN"/>
              </w:rPr>
              <w:t>0.0063</w:t>
            </w:r>
            <w:r>
              <w:rPr>
                <w:rFonts w:hint="eastAsia"/>
                <w:sz w:val="24"/>
              </w:rPr>
              <w:t>t/a，纳管后排放量为0.00</w:t>
            </w:r>
            <w:r>
              <w:rPr>
                <w:rFonts w:hint="eastAsia"/>
                <w:sz w:val="24"/>
                <w:lang w:val="en-US" w:eastAsia="zh-CN"/>
              </w:rPr>
              <w:t>09</w:t>
            </w:r>
            <w:r>
              <w:rPr>
                <w:rFonts w:hint="eastAsia"/>
                <w:sz w:val="24"/>
              </w:rPr>
              <w:t>t/a。该部分 COD、NH</w:t>
            </w:r>
            <w:r>
              <w:rPr>
                <w:rFonts w:hint="eastAsia"/>
                <w:sz w:val="24"/>
                <w:vertAlign w:val="subscript"/>
              </w:rPr>
              <w:t>3</w:t>
            </w:r>
            <w:r>
              <w:rPr>
                <w:rFonts w:hint="eastAsia"/>
                <w:sz w:val="24"/>
              </w:rPr>
              <w:t>-N 排放量拟纳入到污水处理厂总量控制指标内，故不再申请总量控制指标。</w:t>
            </w:r>
          </w:p>
          <w:p w14:paraId="12605ABD">
            <w:pPr>
              <w:spacing w:line="360" w:lineRule="auto"/>
              <w:ind w:firstLine="480" w:firstLineChars="200"/>
              <w:rPr>
                <w:rFonts w:hint="eastAsia"/>
                <w:sz w:val="24"/>
              </w:rPr>
            </w:pPr>
            <w:r>
              <w:rPr>
                <w:rFonts w:hint="eastAsia"/>
                <w:sz w:val="24"/>
              </w:rPr>
              <w:t>根据工程分析核算，项目运营期大气污染物排放量见下表：</w:t>
            </w:r>
          </w:p>
          <w:p w14:paraId="7560E077">
            <w:pPr>
              <w:adjustRightInd w:val="0"/>
              <w:snapToGrid w:val="0"/>
              <w:ind w:firstLine="482" w:firstLineChars="200"/>
              <w:jc w:val="center"/>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2"/>
                <w:highlight w:val="none"/>
                <w14:textFill>
                  <w14:solidFill>
                    <w14:schemeClr w14:val="tx1"/>
                  </w14:solidFill>
                </w14:textFill>
              </w:rPr>
              <w:t>表3-</w:t>
            </w:r>
            <w:r>
              <w:rPr>
                <w:rFonts w:hint="eastAsia" w:cs="Times New Roman"/>
                <w:b/>
                <w:caps w:val="0"/>
                <w:color w:val="000000" w:themeColor="text1"/>
                <w:sz w:val="24"/>
                <w:szCs w:val="22"/>
                <w:highlight w:val="none"/>
                <w:lang w:val="en-US" w:eastAsia="zh-CN"/>
                <w14:textFill>
                  <w14:solidFill>
                    <w14:schemeClr w14:val="tx1"/>
                  </w14:solidFill>
                </w14:textFill>
              </w:rPr>
              <w:t>7</w:t>
            </w:r>
            <w:r>
              <w:rPr>
                <w:rFonts w:hint="default" w:ascii="Times New Roman" w:hAnsi="Times New Roman" w:eastAsia="宋体" w:cs="Times New Roman"/>
                <w:b/>
                <w:caps w:val="0"/>
                <w:color w:val="000000" w:themeColor="text1"/>
                <w:sz w:val="24"/>
                <w:szCs w:val="22"/>
                <w:highlight w:val="none"/>
                <w:lang w:val="en-US" w:eastAsia="zh-CN"/>
                <w14:textFill>
                  <w14:solidFill>
                    <w14:schemeClr w14:val="tx1"/>
                  </w14:solidFill>
                </w14:textFill>
              </w:rPr>
              <w:t xml:space="preserve"> </w:t>
            </w:r>
            <w:r>
              <w:rPr>
                <w:rFonts w:hint="default" w:ascii="Times New Roman" w:hAnsi="Times New Roman" w:eastAsia="宋体" w:cs="Times New Roman"/>
                <w:b/>
                <w:caps w:val="0"/>
                <w:color w:val="000000" w:themeColor="text1"/>
                <w:sz w:val="24"/>
                <w:szCs w:val="22"/>
                <w:highlight w:val="none"/>
                <w14:textFill>
                  <w14:solidFill>
                    <w14:schemeClr w14:val="tx1"/>
                  </w14:solidFill>
                </w14:textFill>
              </w:rPr>
              <w:t xml:space="preserve"> 项目总量控制指标  </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 xml:space="preserve"> </w:t>
            </w:r>
            <w:r>
              <w:rPr>
                <w:rFonts w:hint="default" w:ascii="Times New Roman" w:hAnsi="Times New Roman" w:eastAsia="宋体" w:cs="Times New Roman"/>
                <w:b/>
                <w:bCs/>
                <w:caps w:val="0"/>
                <w:color w:val="000000" w:themeColor="text1"/>
                <w:sz w:val="24"/>
                <w:szCs w:val="22"/>
                <w:highlight w:val="none"/>
                <w14:textFill>
                  <w14:solidFill>
                    <w14:schemeClr w14:val="tx1"/>
                  </w14:solidFill>
                </w14:textFill>
              </w:rPr>
              <w:t>单位：t/a</w:t>
            </w:r>
          </w:p>
          <w:tbl>
            <w:tblPr>
              <w:tblStyle w:val="58"/>
              <w:tblW w:w="490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903"/>
              <w:gridCol w:w="2876"/>
            </w:tblGrid>
            <w:tr w14:paraId="42C4A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45" w:type="pct"/>
                  <w:tcBorders>
                    <w:tl2br w:val="nil"/>
                    <w:tr2bl w:val="nil"/>
                  </w:tcBorders>
                  <w:vAlign w:val="center"/>
                </w:tcPr>
                <w:p w14:paraId="48642409">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项目</w:t>
                  </w:r>
                </w:p>
              </w:tc>
              <w:tc>
                <w:tcPr>
                  <w:tcW w:w="2391" w:type="pct"/>
                  <w:tcBorders>
                    <w:tl2br w:val="nil"/>
                    <w:tr2bl w:val="nil"/>
                  </w:tcBorders>
                  <w:vAlign w:val="center"/>
                </w:tcPr>
                <w:p w14:paraId="405AF294">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总量控制因子</w:t>
                  </w:r>
                </w:p>
              </w:tc>
              <w:tc>
                <w:tcPr>
                  <w:tcW w:w="1762" w:type="pct"/>
                  <w:tcBorders>
                    <w:tl2br w:val="nil"/>
                    <w:tr2bl w:val="nil"/>
                  </w:tcBorders>
                  <w:vAlign w:val="center"/>
                </w:tcPr>
                <w:p w14:paraId="13A5D324">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t>本项目总量控制指标</w:t>
                  </w:r>
                </w:p>
              </w:tc>
            </w:tr>
            <w:tr w14:paraId="6477B7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5" w:type="pct"/>
                  <w:tcBorders>
                    <w:tl2br w:val="nil"/>
                    <w:tr2bl w:val="nil"/>
                  </w:tcBorders>
                  <w:vAlign w:val="center"/>
                </w:tcPr>
                <w:p w14:paraId="32ADDF65">
                  <w:pPr>
                    <w:adjustRightInd w:val="0"/>
                    <w:snapToGrid w:val="0"/>
                    <w:jc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Cs w:val="21"/>
                      <w:highlight w:val="none"/>
                      <w:lang w:val="en-US" w:eastAsia="zh-CN"/>
                      <w14:textFill>
                        <w14:solidFill>
                          <w14:schemeClr w14:val="tx1"/>
                        </w14:solidFill>
                      </w14:textFill>
                    </w:rPr>
                    <w:t>废气</w:t>
                  </w:r>
                </w:p>
              </w:tc>
              <w:tc>
                <w:tcPr>
                  <w:tcW w:w="2391" w:type="pct"/>
                  <w:tcBorders>
                    <w:tl2br w:val="nil"/>
                    <w:tr2bl w:val="nil"/>
                  </w:tcBorders>
                  <w:vAlign w:val="center"/>
                </w:tcPr>
                <w:p w14:paraId="49301F8F">
                  <w:pPr>
                    <w:adjustRightInd w:val="0"/>
                    <w:snapToGrid w:val="0"/>
                    <w:jc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Cs w:val="21"/>
                      <w:highlight w:val="none"/>
                      <w:lang w:val="en-US" w:eastAsia="zh-CN"/>
                      <w14:textFill>
                        <w14:solidFill>
                          <w14:schemeClr w14:val="tx1"/>
                        </w14:solidFill>
                      </w14:textFill>
                    </w:rPr>
                    <w:t>VOC</w:t>
                  </w:r>
                  <w:r>
                    <w:rPr>
                      <w:rFonts w:hint="eastAsia" w:ascii="Times New Roman" w:hAnsi="Times New Roman" w:eastAsia="宋体" w:cs="Times New Roman"/>
                      <w:b/>
                      <w:caps w:val="0"/>
                      <w:color w:val="000000" w:themeColor="text1"/>
                      <w:szCs w:val="21"/>
                      <w:highlight w:val="none"/>
                      <w:vertAlign w:val="subscript"/>
                      <w:lang w:val="en-US" w:eastAsia="zh-CN"/>
                      <w14:textFill>
                        <w14:solidFill>
                          <w14:schemeClr w14:val="tx1"/>
                        </w14:solidFill>
                      </w14:textFill>
                    </w:rPr>
                    <w:t>S</w:t>
                  </w:r>
                  <w:r>
                    <w:rPr>
                      <w:rFonts w:hint="eastAsia"/>
                      <w:sz w:val="24"/>
                    </w:rPr>
                    <w:t>（以非甲烷总烃计）</w:t>
                  </w:r>
                </w:p>
              </w:tc>
              <w:tc>
                <w:tcPr>
                  <w:tcW w:w="1762" w:type="pct"/>
                  <w:tcBorders>
                    <w:tl2br w:val="nil"/>
                    <w:tr2bl w:val="nil"/>
                  </w:tcBorders>
                  <w:vAlign w:val="center"/>
                </w:tcPr>
                <w:p w14:paraId="0A61175D">
                  <w:pPr>
                    <w:adjustRightInd w:val="0"/>
                    <w:snapToGrid w:val="0"/>
                    <w:jc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eastAsia"/>
                      <w:kern w:val="0"/>
                      <w:szCs w:val="21"/>
                      <w:lang w:val="en-US" w:eastAsia="zh-CN"/>
                    </w:rPr>
                    <w:t>0.16</w:t>
                  </w:r>
                </w:p>
              </w:tc>
            </w:tr>
          </w:tbl>
          <w:p w14:paraId="4CCA1FC4">
            <w:pPr>
              <w:spacing w:line="360" w:lineRule="auto"/>
              <w:ind w:firstLine="480" w:firstLineChars="200"/>
              <w:rPr>
                <w:rFonts w:hint="eastAsia" w:eastAsia="宋体"/>
                <w:sz w:val="24"/>
                <w:lang w:eastAsia="zh-CN"/>
              </w:rPr>
            </w:pPr>
            <w:r>
              <w:rPr>
                <w:rFonts w:hint="eastAsia"/>
                <w:sz w:val="24"/>
              </w:rPr>
              <w:t>根据上表可以看出，项目建议申请大气总量：VOCs（以非甲烷总烃计）：0.</w:t>
            </w:r>
            <w:r>
              <w:rPr>
                <w:rFonts w:hint="eastAsia"/>
                <w:sz w:val="24"/>
                <w:lang w:val="en-US" w:eastAsia="zh-CN"/>
              </w:rPr>
              <w:t>16</w:t>
            </w:r>
            <w:r>
              <w:rPr>
                <w:rFonts w:hint="eastAsia"/>
                <w:sz w:val="24"/>
              </w:rPr>
              <w:t>t/a。</w:t>
            </w:r>
          </w:p>
          <w:p w14:paraId="18560B8E">
            <w:pPr>
              <w:adjustRightInd w:val="0"/>
              <w:snapToGrid w:val="0"/>
              <w:spacing w:line="360" w:lineRule="auto"/>
              <w:ind w:firstLine="482" w:firstLineChars="200"/>
              <w:jc w:val="left"/>
              <w:rPr>
                <w:b/>
                <w:bCs/>
                <w:kern w:val="0"/>
                <w:sz w:val="24"/>
              </w:rPr>
            </w:pPr>
            <w:r>
              <w:rPr>
                <w:rFonts w:hint="eastAsia"/>
                <w:b/>
                <w:bCs/>
                <w:kern w:val="0"/>
                <w:sz w:val="24"/>
              </w:rPr>
              <w:t>排污权使用和交易：</w:t>
            </w:r>
          </w:p>
          <w:p w14:paraId="6331A7E4">
            <w:pPr>
              <w:adjustRightInd w:val="0"/>
              <w:snapToGrid w:val="0"/>
              <w:spacing w:line="360" w:lineRule="auto"/>
              <w:ind w:firstLine="480" w:firstLineChars="200"/>
              <w:jc w:val="left"/>
              <w:rPr>
                <w:bCs/>
                <w:kern w:val="0"/>
                <w:sz w:val="24"/>
              </w:rPr>
            </w:pPr>
            <w:r>
              <w:rPr>
                <w:rFonts w:hint="eastAsia"/>
                <w:bCs/>
                <w:kern w:val="0"/>
                <w:sz w:val="24"/>
              </w:rPr>
              <w:t>安徽省生态环境厅等部门于2023年12月29日发布印发《安徽省排污权有偿使用和交易管理办法（试行）》《安徽省排污权交易规则（试行）》《安徽省排污权储备和出让管理办法（试行）》《安徽省排污权租赁管理办法（试行）》的通知（皖环发〔2023〕72号）。</w:t>
            </w:r>
          </w:p>
          <w:p w14:paraId="542AD03D">
            <w:pPr>
              <w:adjustRightInd w:val="0"/>
              <w:snapToGrid w:val="0"/>
              <w:spacing w:line="360" w:lineRule="auto"/>
              <w:ind w:firstLine="480" w:firstLineChars="200"/>
              <w:jc w:val="left"/>
              <w:rPr>
                <w:bCs/>
                <w:kern w:val="0"/>
                <w:sz w:val="24"/>
              </w:rPr>
            </w:pPr>
            <w:r>
              <w:rPr>
                <w:rFonts w:hint="eastAsia"/>
                <w:bCs/>
                <w:kern w:val="0"/>
                <w:sz w:val="24"/>
              </w:rPr>
              <w:t>（1）排污权有偿使用和交易管理相关要求</w:t>
            </w:r>
          </w:p>
          <w:p w14:paraId="093F3AAD">
            <w:pPr>
              <w:adjustRightInd w:val="0"/>
              <w:snapToGrid w:val="0"/>
              <w:spacing w:line="360" w:lineRule="auto"/>
              <w:ind w:firstLine="480" w:firstLineChars="200"/>
              <w:jc w:val="left"/>
              <w:rPr>
                <w:bCs/>
                <w:kern w:val="0"/>
                <w:sz w:val="24"/>
              </w:rPr>
            </w:pPr>
            <w:r>
              <w:rPr>
                <w:rFonts w:hint="eastAsia"/>
                <w:bCs/>
                <w:kern w:val="0"/>
                <w:sz w:val="24"/>
              </w:rPr>
              <w:t>①现阶段实施排污权交易的排污单位为全省列入排污许可重点和简化管理范围内有污染物许可排放量要求的排污单位</w:t>
            </w:r>
            <w:r>
              <w:rPr>
                <w:rFonts w:hint="eastAsia"/>
                <w:bCs/>
                <w:kern w:val="0"/>
                <w:sz w:val="24"/>
                <w:lang w:eastAsia="zh-CN"/>
              </w:rPr>
              <w:t>（</w:t>
            </w:r>
            <w:r>
              <w:rPr>
                <w:rFonts w:hint="eastAsia"/>
                <w:bCs/>
                <w:kern w:val="0"/>
                <w:sz w:val="24"/>
              </w:rPr>
              <w:t>集中式污水治理和集中式工业废气治理设施除外</w:t>
            </w:r>
            <w:r>
              <w:rPr>
                <w:rFonts w:hint="eastAsia"/>
                <w:bCs/>
                <w:kern w:val="0"/>
                <w:sz w:val="24"/>
                <w:lang w:eastAsia="zh-CN"/>
              </w:rPr>
              <w:t>）</w:t>
            </w:r>
            <w:r>
              <w:rPr>
                <w:rFonts w:hint="eastAsia"/>
                <w:bCs/>
                <w:kern w:val="0"/>
                <w:sz w:val="24"/>
              </w:rPr>
              <w:t>。</w:t>
            </w:r>
          </w:p>
          <w:p w14:paraId="7645E24C">
            <w:pPr>
              <w:adjustRightInd w:val="0"/>
              <w:snapToGrid w:val="0"/>
              <w:spacing w:line="360" w:lineRule="auto"/>
              <w:ind w:firstLine="480" w:firstLineChars="200"/>
              <w:jc w:val="left"/>
              <w:rPr>
                <w:bCs/>
                <w:kern w:val="0"/>
                <w:sz w:val="24"/>
              </w:rPr>
            </w:pPr>
            <w:r>
              <w:rPr>
                <w:rFonts w:hint="eastAsia"/>
                <w:bCs/>
                <w:kern w:val="0"/>
                <w:sz w:val="24"/>
              </w:rPr>
              <w:t>②现阶段实施排污权交易的污染物种类为化学需氧量</w:t>
            </w:r>
            <w:r>
              <w:rPr>
                <w:rFonts w:hint="eastAsia"/>
                <w:bCs/>
                <w:kern w:val="0"/>
                <w:sz w:val="24"/>
                <w:lang w:eastAsia="zh-CN"/>
              </w:rPr>
              <w:t>（</w:t>
            </w:r>
            <w:r>
              <w:rPr>
                <w:bCs/>
                <w:kern w:val="0"/>
                <w:sz w:val="24"/>
              </w:rPr>
              <w:t>COD</w:t>
            </w:r>
            <w:r>
              <w:rPr>
                <w:rFonts w:hint="eastAsia"/>
                <w:bCs/>
                <w:kern w:val="0"/>
                <w:sz w:val="24"/>
                <w:lang w:eastAsia="zh-CN"/>
              </w:rPr>
              <w:t>）</w:t>
            </w:r>
            <w:r>
              <w:rPr>
                <w:rFonts w:hint="eastAsia"/>
                <w:bCs/>
                <w:kern w:val="0"/>
                <w:sz w:val="24"/>
              </w:rPr>
              <w:t>、氨氮</w:t>
            </w:r>
            <w:r>
              <w:rPr>
                <w:rFonts w:hint="eastAsia"/>
                <w:bCs/>
                <w:kern w:val="0"/>
                <w:sz w:val="24"/>
                <w:lang w:eastAsia="zh-CN"/>
              </w:rPr>
              <w:t>（</w:t>
            </w:r>
            <w:r>
              <w:rPr>
                <w:bCs/>
                <w:kern w:val="0"/>
                <w:sz w:val="24"/>
              </w:rPr>
              <w:t>N</w:t>
            </w:r>
            <w:r>
              <w:rPr>
                <w:rFonts w:hint="eastAsia"/>
                <w:bCs/>
                <w:kern w:val="0"/>
                <w:sz w:val="24"/>
              </w:rPr>
              <w:t>H</w:t>
            </w:r>
            <w:r>
              <w:rPr>
                <w:rFonts w:hint="eastAsia"/>
                <w:bCs/>
                <w:kern w:val="0"/>
                <w:sz w:val="24"/>
                <w:vertAlign w:val="subscript"/>
              </w:rPr>
              <w:t>3</w:t>
            </w:r>
            <w:r>
              <w:rPr>
                <w:rFonts w:hint="eastAsia"/>
                <w:bCs/>
                <w:kern w:val="0"/>
                <w:sz w:val="24"/>
              </w:rPr>
              <w:t>-</w:t>
            </w:r>
            <w:r>
              <w:rPr>
                <w:bCs/>
                <w:kern w:val="0"/>
                <w:sz w:val="24"/>
              </w:rPr>
              <w:t>N</w:t>
            </w:r>
            <w:r>
              <w:rPr>
                <w:rFonts w:hint="eastAsia"/>
                <w:bCs/>
                <w:kern w:val="0"/>
                <w:sz w:val="24"/>
                <w:lang w:eastAsia="zh-CN"/>
              </w:rPr>
              <w:t>）</w:t>
            </w:r>
            <w:r>
              <w:rPr>
                <w:rFonts w:hint="eastAsia"/>
                <w:bCs/>
                <w:kern w:val="0"/>
                <w:sz w:val="24"/>
              </w:rPr>
              <w:t>、二氧化硫</w:t>
            </w:r>
            <w:r>
              <w:rPr>
                <w:rFonts w:hint="eastAsia"/>
                <w:bCs/>
                <w:kern w:val="0"/>
                <w:sz w:val="24"/>
                <w:lang w:eastAsia="zh-CN"/>
              </w:rPr>
              <w:t>（</w:t>
            </w:r>
            <w:r>
              <w:rPr>
                <w:bCs/>
                <w:kern w:val="0"/>
                <w:sz w:val="24"/>
              </w:rPr>
              <w:t>SO</w:t>
            </w:r>
            <w:r>
              <w:rPr>
                <w:rFonts w:hint="eastAsia"/>
                <w:bCs/>
                <w:kern w:val="0"/>
                <w:sz w:val="24"/>
                <w:vertAlign w:val="subscript"/>
              </w:rPr>
              <w:t>2</w:t>
            </w:r>
            <w:r>
              <w:rPr>
                <w:rFonts w:hint="eastAsia"/>
                <w:bCs/>
                <w:kern w:val="0"/>
                <w:sz w:val="24"/>
                <w:lang w:eastAsia="zh-CN"/>
              </w:rPr>
              <w:t>）</w:t>
            </w:r>
            <w:r>
              <w:rPr>
                <w:rFonts w:hint="eastAsia"/>
                <w:bCs/>
                <w:kern w:val="0"/>
                <w:sz w:val="24"/>
              </w:rPr>
              <w:t>、氮氧化物</w:t>
            </w:r>
            <w:r>
              <w:rPr>
                <w:rFonts w:hint="eastAsia"/>
                <w:bCs/>
                <w:kern w:val="0"/>
                <w:sz w:val="24"/>
                <w:lang w:eastAsia="zh-CN"/>
              </w:rPr>
              <w:t>（</w:t>
            </w:r>
            <w:r>
              <w:rPr>
                <w:bCs/>
                <w:kern w:val="0"/>
                <w:sz w:val="24"/>
              </w:rPr>
              <w:t>NOx</w:t>
            </w:r>
            <w:r>
              <w:rPr>
                <w:rFonts w:hint="eastAsia"/>
                <w:bCs/>
                <w:kern w:val="0"/>
                <w:sz w:val="24"/>
                <w:lang w:eastAsia="zh-CN"/>
              </w:rPr>
              <w:t>）</w:t>
            </w:r>
            <w:r>
              <w:rPr>
                <w:rFonts w:hint="eastAsia"/>
                <w:bCs/>
                <w:kern w:val="0"/>
                <w:sz w:val="24"/>
              </w:rPr>
              <w:t xml:space="preserve"> </w:t>
            </w:r>
            <w:r>
              <w:rPr>
                <w:bCs/>
                <w:kern w:val="0"/>
                <w:sz w:val="24"/>
              </w:rPr>
              <w:t>4</w:t>
            </w:r>
            <w:r>
              <w:rPr>
                <w:rFonts w:hint="eastAsia"/>
                <w:bCs/>
                <w:kern w:val="0"/>
                <w:sz w:val="24"/>
              </w:rPr>
              <w:t>类。各市可结合当地实际自行增加纳入排污权交易的污染物种类，报省级生态环境部门备案后实施。</w:t>
            </w:r>
          </w:p>
          <w:p w14:paraId="1A12345B">
            <w:pPr>
              <w:adjustRightInd w:val="0"/>
              <w:snapToGrid w:val="0"/>
              <w:spacing w:line="360" w:lineRule="auto"/>
              <w:ind w:firstLine="480" w:firstLineChars="200"/>
              <w:jc w:val="left"/>
              <w:rPr>
                <w:bCs/>
                <w:kern w:val="0"/>
                <w:sz w:val="24"/>
              </w:rPr>
            </w:pPr>
            <w:r>
              <w:rPr>
                <w:rFonts w:hint="eastAsia"/>
                <w:bCs/>
                <w:kern w:val="0"/>
                <w:sz w:val="24"/>
              </w:rPr>
              <w:t>③排污单位在排污权有效期内对取得的排污权拥有使用、转让、抵押、租赁等权利。纳入实施范围的排污单位新改扩建项目和现有排污单位需要新增污染物排污权的，应通过排污权交易有偿获取使用。</w:t>
            </w:r>
          </w:p>
          <w:p w14:paraId="73F2D5B8">
            <w:pPr>
              <w:adjustRightInd w:val="0"/>
              <w:snapToGrid w:val="0"/>
              <w:spacing w:line="360" w:lineRule="auto"/>
              <w:ind w:firstLine="480" w:firstLineChars="200"/>
              <w:jc w:val="left"/>
              <w:rPr>
                <w:bCs/>
                <w:kern w:val="0"/>
                <w:sz w:val="24"/>
              </w:rPr>
            </w:pPr>
            <w:r>
              <w:rPr>
                <w:rFonts w:hint="eastAsia"/>
                <w:bCs/>
                <w:kern w:val="0"/>
                <w:sz w:val="24"/>
              </w:rPr>
              <w:t>④废水、废气进入集中式治理设施的排污单位，排污权按达到集中式污染治理设施排入外环境的排放标准进行核定。</w:t>
            </w:r>
          </w:p>
          <w:p w14:paraId="4882F6F8">
            <w:pPr>
              <w:adjustRightInd w:val="0"/>
              <w:snapToGrid w:val="0"/>
              <w:spacing w:line="360" w:lineRule="auto"/>
              <w:ind w:firstLine="480" w:firstLineChars="200"/>
              <w:jc w:val="left"/>
              <w:rPr>
                <w:bCs/>
                <w:kern w:val="0"/>
                <w:sz w:val="24"/>
              </w:rPr>
            </w:pPr>
            <w:r>
              <w:rPr>
                <w:rFonts w:hint="eastAsia"/>
                <w:bCs/>
                <w:kern w:val="0"/>
                <w:sz w:val="24"/>
              </w:rPr>
              <w:t>⑤需进行排污权交易的排污单位，经县级生态环境部门初审同意后，向所在地的市级生态环境部门提出申请，并按相关规定提交申请材料。市级生态环境部门应对交易单位的排污权、来源条件等进行审查，并出具审查意见。</w:t>
            </w:r>
          </w:p>
          <w:p w14:paraId="0C0DE34D">
            <w:pPr>
              <w:adjustRightInd w:val="0"/>
              <w:snapToGrid w:val="0"/>
              <w:spacing w:line="360" w:lineRule="auto"/>
              <w:ind w:firstLine="480" w:firstLineChars="200"/>
              <w:jc w:val="left"/>
              <w:rPr>
                <w:bCs/>
                <w:kern w:val="0"/>
                <w:sz w:val="24"/>
              </w:rPr>
            </w:pPr>
            <w:r>
              <w:rPr>
                <w:rFonts w:hint="eastAsia"/>
                <w:bCs/>
                <w:kern w:val="0"/>
                <w:sz w:val="24"/>
              </w:rPr>
              <w:t>⑥排污单位优先在本市级行政区域内购买排污权。跨市级行政区域的交易，须经省生态环境厅批准，且受让区域环境质量应该达标并满足区域总量控制要求。对环境质量未达到要求或未完成上年度总量减排任务的行政区域，不得开展增加本区域相应污染物排放总量的排污权交易。</w:t>
            </w:r>
          </w:p>
          <w:p w14:paraId="13F271B2">
            <w:pPr>
              <w:adjustRightInd w:val="0"/>
              <w:snapToGrid w:val="0"/>
              <w:spacing w:line="360" w:lineRule="auto"/>
              <w:ind w:firstLine="480" w:firstLineChars="200"/>
              <w:jc w:val="left"/>
              <w:rPr>
                <w:bCs/>
                <w:kern w:val="0"/>
                <w:sz w:val="24"/>
              </w:rPr>
            </w:pPr>
            <w:r>
              <w:rPr>
                <w:rFonts w:hint="eastAsia"/>
                <w:bCs/>
                <w:kern w:val="0"/>
                <w:sz w:val="24"/>
              </w:rPr>
              <w:t>⑦排污权有效期为5年，以排污许可证确认为准，出售</w:t>
            </w:r>
            <w:r>
              <w:rPr>
                <w:rFonts w:hint="eastAsia"/>
                <w:bCs/>
                <w:kern w:val="0"/>
                <w:sz w:val="24"/>
                <w:lang w:eastAsia="zh-CN"/>
              </w:rPr>
              <w:t>（</w:t>
            </w:r>
            <w:r>
              <w:rPr>
                <w:rFonts w:hint="eastAsia"/>
                <w:bCs/>
                <w:kern w:val="0"/>
                <w:sz w:val="24"/>
              </w:rPr>
              <w:t>让</w:t>
            </w:r>
            <w:r>
              <w:rPr>
                <w:rFonts w:hint="eastAsia"/>
                <w:bCs/>
                <w:kern w:val="0"/>
                <w:sz w:val="24"/>
                <w:lang w:eastAsia="zh-CN"/>
              </w:rPr>
              <w:t>）</w:t>
            </w:r>
            <w:r>
              <w:rPr>
                <w:rFonts w:hint="eastAsia"/>
                <w:bCs/>
                <w:kern w:val="0"/>
                <w:sz w:val="24"/>
              </w:rPr>
              <w:t>的排污权有效期限不足5年的，应按有关规定补足5年。有效期满后，排污单位需要延续排污权的，应经当地核发排污许可证的生态环境部门重新核定。</w:t>
            </w:r>
          </w:p>
          <w:p w14:paraId="0D437AFE">
            <w:pPr>
              <w:adjustRightInd w:val="0"/>
              <w:snapToGrid w:val="0"/>
              <w:spacing w:line="360" w:lineRule="auto"/>
              <w:ind w:firstLine="480" w:firstLineChars="200"/>
              <w:jc w:val="left"/>
              <w:rPr>
                <w:bCs/>
                <w:kern w:val="0"/>
                <w:sz w:val="24"/>
              </w:rPr>
            </w:pPr>
            <w:r>
              <w:rPr>
                <w:rFonts w:hint="eastAsia"/>
                <w:bCs/>
                <w:kern w:val="0"/>
                <w:sz w:val="24"/>
              </w:rPr>
              <w:t>（2）本项目实施排污权交易的污染物排放情况</w:t>
            </w:r>
          </w:p>
          <w:p w14:paraId="5EE9653C">
            <w:pPr>
              <w:spacing w:line="360" w:lineRule="auto"/>
              <w:ind w:firstLine="480" w:firstLineChars="200"/>
              <w:rPr>
                <w:rFonts w:hint="eastAsia"/>
                <w:bCs/>
                <w:kern w:val="0"/>
                <w:sz w:val="24"/>
              </w:rPr>
            </w:pPr>
            <w:r>
              <w:rPr>
                <w:rFonts w:hint="eastAsia"/>
                <w:sz w:val="24"/>
              </w:rPr>
              <w:t>本项目属于C2929塑料零件及其他塑料制品制造，对照《固定污染源排污许可分类管理名录》（2019年版），本项目属于“二十四、橡胶和塑料制品业29”中的“62、塑料制品业”“其他”项，属于排污许可中“登记管理”</w:t>
            </w:r>
            <w:r>
              <w:rPr>
                <w:rFonts w:hint="eastAsia"/>
                <w:bCs/>
                <w:sz w:val="24"/>
              </w:rPr>
              <w:t>。对照</w:t>
            </w:r>
            <w:r>
              <w:rPr>
                <w:rFonts w:hint="eastAsia"/>
                <w:bCs/>
                <w:kern w:val="0"/>
                <w:sz w:val="24"/>
              </w:rPr>
              <w:t>排污权有偿使用和交易管理相关要求，本企业现阶段不属于实施排污权有偿使用和交易管理的单位，因此不需要核算实施排污权交易的污染物的排放量。</w:t>
            </w:r>
          </w:p>
          <w:p w14:paraId="51372F6F">
            <w:pPr>
              <w:spacing w:line="360" w:lineRule="auto"/>
              <w:ind w:firstLine="480" w:firstLineChars="200"/>
              <w:rPr>
                <w:rFonts w:hint="eastAsia"/>
                <w:sz w:val="24"/>
              </w:rPr>
            </w:pPr>
          </w:p>
        </w:tc>
      </w:tr>
    </w:tbl>
    <w:p w14:paraId="44637A7E">
      <w:pPr>
        <w:pStyle w:val="53"/>
        <w:spacing w:before="0" w:beforeAutospacing="0" w:after="0" w:afterAutospacing="0"/>
        <w:jc w:val="center"/>
        <w:outlineLvl w:val="0"/>
        <w:rPr>
          <w:rFonts w:ascii="Times New Roman" w:hAnsi="Times New Roman"/>
          <w:b/>
          <w:snapToGrid w:val="0"/>
          <w:sz w:val="30"/>
          <w:szCs w:val="30"/>
        </w:rPr>
      </w:pPr>
      <w:r>
        <w:rPr>
          <w:rFonts w:ascii="Times New Roman" w:hAnsi="Times New Roman"/>
          <w:snapToGrid w:val="0"/>
          <w:sz w:val="36"/>
          <w:szCs w:val="36"/>
        </w:rPr>
        <w:br w:type="page"/>
      </w:r>
      <w:r>
        <w:rPr>
          <w:rFonts w:hint="eastAsia" w:ascii="Times New Roman" w:hAnsi="Times New Roman"/>
          <w:b/>
          <w:snapToGrid w:val="0"/>
          <w:sz w:val="30"/>
          <w:szCs w:val="30"/>
        </w:rPr>
        <w:t>四、主要环境影响和保护措施</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8309"/>
      </w:tblGrid>
      <w:tr w14:paraId="38E14E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599" w:type="dxa"/>
            <w:tcMar>
              <w:left w:w="28" w:type="dxa"/>
              <w:right w:w="28" w:type="dxa"/>
            </w:tcMar>
            <w:vAlign w:val="center"/>
          </w:tcPr>
          <w:p w14:paraId="375F0EAA">
            <w:pPr>
              <w:autoSpaceDE w:val="0"/>
              <w:autoSpaceDN w:val="0"/>
              <w:adjustRightInd w:val="0"/>
              <w:snapToGrid w:val="0"/>
              <w:jc w:val="center"/>
              <w:rPr>
                <w:rFonts w:cs="宋体"/>
                <w:kern w:val="0"/>
                <w:sz w:val="24"/>
              </w:rPr>
            </w:pPr>
            <w:r>
              <w:rPr>
                <w:rFonts w:hint="eastAsia" w:cs="宋体"/>
                <w:kern w:val="0"/>
                <w:sz w:val="24"/>
              </w:rPr>
              <w:t>施工</w:t>
            </w:r>
          </w:p>
          <w:p w14:paraId="54C24FE5">
            <w:pPr>
              <w:autoSpaceDE w:val="0"/>
              <w:autoSpaceDN w:val="0"/>
              <w:adjustRightInd w:val="0"/>
              <w:snapToGrid w:val="0"/>
              <w:jc w:val="center"/>
              <w:rPr>
                <w:rFonts w:cs="宋体"/>
                <w:kern w:val="0"/>
                <w:sz w:val="24"/>
              </w:rPr>
            </w:pPr>
            <w:r>
              <w:rPr>
                <w:rFonts w:hint="eastAsia" w:cs="宋体"/>
                <w:kern w:val="0"/>
                <w:sz w:val="24"/>
              </w:rPr>
              <w:t>期环</w:t>
            </w:r>
          </w:p>
          <w:p w14:paraId="3D7FF09D">
            <w:pPr>
              <w:autoSpaceDE w:val="0"/>
              <w:autoSpaceDN w:val="0"/>
              <w:adjustRightInd w:val="0"/>
              <w:snapToGrid w:val="0"/>
              <w:jc w:val="center"/>
              <w:rPr>
                <w:rFonts w:cs="宋体"/>
                <w:kern w:val="0"/>
                <w:sz w:val="24"/>
              </w:rPr>
            </w:pPr>
            <w:r>
              <w:rPr>
                <w:rFonts w:hint="eastAsia" w:cs="宋体"/>
                <w:kern w:val="0"/>
                <w:sz w:val="24"/>
              </w:rPr>
              <w:t>境保</w:t>
            </w:r>
          </w:p>
          <w:p w14:paraId="703E8A81">
            <w:pPr>
              <w:autoSpaceDE w:val="0"/>
              <w:autoSpaceDN w:val="0"/>
              <w:adjustRightInd w:val="0"/>
              <w:snapToGrid w:val="0"/>
              <w:jc w:val="center"/>
              <w:rPr>
                <w:rFonts w:cs="宋体"/>
                <w:kern w:val="0"/>
                <w:sz w:val="24"/>
              </w:rPr>
            </w:pPr>
            <w:r>
              <w:rPr>
                <w:rFonts w:hint="eastAsia" w:cs="宋体"/>
                <w:kern w:val="0"/>
                <w:sz w:val="24"/>
              </w:rPr>
              <w:t>护措</w:t>
            </w:r>
          </w:p>
          <w:p w14:paraId="2A545E0B">
            <w:pPr>
              <w:autoSpaceDE w:val="0"/>
              <w:autoSpaceDN w:val="0"/>
              <w:adjustRightInd w:val="0"/>
              <w:snapToGrid w:val="0"/>
              <w:jc w:val="center"/>
              <w:rPr>
                <w:rFonts w:cs="宋体"/>
                <w:kern w:val="0"/>
                <w:sz w:val="24"/>
              </w:rPr>
            </w:pPr>
            <w:r>
              <w:rPr>
                <w:rFonts w:hint="eastAsia" w:cs="宋体"/>
                <w:kern w:val="0"/>
                <w:sz w:val="24"/>
              </w:rPr>
              <w:t>施</w:t>
            </w:r>
          </w:p>
        </w:tc>
        <w:tc>
          <w:tcPr>
            <w:tcW w:w="8309" w:type="dxa"/>
            <w:vAlign w:val="center"/>
          </w:tcPr>
          <w:p w14:paraId="01A8841F">
            <w:pPr>
              <w:widowControl/>
              <w:spacing w:line="360" w:lineRule="auto"/>
              <w:ind w:firstLine="480" w:firstLineChars="200"/>
              <w:jc w:val="left"/>
              <w:rPr>
                <w:sz w:val="24"/>
              </w:rPr>
            </w:pPr>
            <w:r>
              <w:rPr>
                <w:kern w:val="0"/>
                <w:sz w:val="24"/>
              </w:rPr>
              <w:t>本项目</w:t>
            </w:r>
            <w:r>
              <w:rPr>
                <w:rFonts w:hint="eastAsia"/>
                <w:sz w:val="24"/>
              </w:rPr>
              <w:t>租赁</w:t>
            </w:r>
            <w:r>
              <w:rPr>
                <w:rFonts w:hint="eastAsia"/>
                <w:sz w:val="24"/>
                <w:lang w:val="en-US" w:eastAsia="zh-CN"/>
              </w:rPr>
              <w:t>安徽三合智能设备有限公司</w:t>
            </w:r>
            <w:r>
              <w:rPr>
                <w:rFonts w:hint="eastAsia" w:eastAsiaTheme="minorEastAsia"/>
                <w:sz w:val="24"/>
              </w:rPr>
              <w:t>现有厂房</w:t>
            </w:r>
            <w:r>
              <w:rPr>
                <w:kern w:val="0"/>
                <w:sz w:val="24"/>
              </w:rPr>
              <w:t>进行生产，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1265AA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99" w:type="dxa"/>
            <w:tcMar>
              <w:left w:w="28" w:type="dxa"/>
              <w:right w:w="28" w:type="dxa"/>
            </w:tcMar>
            <w:vAlign w:val="center"/>
          </w:tcPr>
          <w:p w14:paraId="36919D1A">
            <w:pPr>
              <w:autoSpaceDE w:val="0"/>
              <w:autoSpaceDN w:val="0"/>
              <w:adjustRightInd w:val="0"/>
              <w:snapToGrid w:val="0"/>
              <w:jc w:val="center"/>
              <w:rPr>
                <w:rFonts w:cs="宋体"/>
                <w:kern w:val="0"/>
                <w:sz w:val="24"/>
              </w:rPr>
            </w:pPr>
            <w:r>
              <w:rPr>
                <w:rFonts w:hint="eastAsia" w:cs="宋体"/>
                <w:kern w:val="0"/>
                <w:sz w:val="24"/>
              </w:rPr>
              <w:t>运营</w:t>
            </w:r>
          </w:p>
          <w:p w14:paraId="0B44B901">
            <w:pPr>
              <w:autoSpaceDE w:val="0"/>
              <w:autoSpaceDN w:val="0"/>
              <w:adjustRightInd w:val="0"/>
              <w:snapToGrid w:val="0"/>
              <w:jc w:val="center"/>
              <w:rPr>
                <w:rFonts w:cs="宋体"/>
                <w:kern w:val="0"/>
                <w:sz w:val="24"/>
              </w:rPr>
            </w:pPr>
            <w:r>
              <w:rPr>
                <w:rFonts w:hint="eastAsia" w:cs="宋体"/>
                <w:kern w:val="0"/>
                <w:sz w:val="24"/>
              </w:rPr>
              <w:t>期环</w:t>
            </w:r>
          </w:p>
          <w:p w14:paraId="667A0492">
            <w:pPr>
              <w:autoSpaceDE w:val="0"/>
              <w:autoSpaceDN w:val="0"/>
              <w:adjustRightInd w:val="0"/>
              <w:snapToGrid w:val="0"/>
              <w:jc w:val="center"/>
              <w:rPr>
                <w:rFonts w:cs="宋体"/>
                <w:kern w:val="0"/>
                <w:sz w:val="24"/>
              </w:rPr>
            </w:pPr>
            <w:r>
              <w:rPr>
                <w:rFonts w:hint="eastAsia" w:cs="宋体"/>
                <w:kern w:val="0"/>
                <w:sz w:val="24"/>
              </w:rPr>
              <w:t>境影</w:t>
            </w:r>
          </w:p>
          <w:p w14:paraId="720E517E">
            <w:pPr>
              <w:autoSpaceDE w:val="0"/>
              <w:autoSpaceDN w:val="0"/>
              <w:adjustRightInd w:val="0"/>
              <w:snapToGrid w:val="0"/>
              <w:jc w:val="center"/>
              <w:rPr>
                <w:rFonts w:cs="宋体"/>
                <w:kern w:val="0"/>
                <w:sz w:val="24"/>
              </w:rPr>
            </w:pPr>
            <w:r>
              <w:rPr>
                <w:rFonts w:hint="eastAsia" w:cs="宋体"/>
                <w:kern w:val="0"/>
                <w:sz w:val="24"/>
              </w:rPr>
              <w:t>响和</w:t>
            </w:r>
          </w:p>
          <w:p w14:paraId="2A5943AA">
            <w:pPr>
              <w:autoSpaceDE w:val="0"/>
              <w:autoSpaceDN w:val="0"/>
              <w:adjustRightInd w:val="0"/>
              <w:snapToGrid w:val="0"/>
              <w:jc w:val="center"/>
              <w:rPr>
                <w:rFonts w:cs="宋体"/>
                <w:kern w:val="0"/>
                <w:sz w:val="24"/>
              </w:rPr>
            </w:pPr>
            <w:r>
              <w:rPr>
                <w:rFonts w:hint="eastAsia" w:cs="宋体"/>
                <w:kern w:val="0"/>
                <w:sz w:val="24"/>
              </w:rPr>
              <w:t>保护</w:t>
            </w:r>
          </w:p>
          <w:p w14:paraId="3D859205">
            <w:pPr>
              <w:autoSpaceDE w:val="0"/>
              <w:autoSpaceDN w:val="0"/>
              <w:adjustRightInd w:val="0"/>
              <w:snapToGrid w:val="0"/>
              <w:jc w:val="center"/>
              <w:rPr>
                <w:rFonts w:cs="宋体"/>
                <w:kern w:val="0"/>
                <w:sz w:val="24"/>
              </w:rPr>
            </w:pPr>
            <w:r>
              <w:rPr>
                <w:rFonts w:hint="eastAsia" w:cs="宋体"/>
                <w:kern w:val="0"/>
                <w:sz w:val="24"/>
              </w:rPr>
              <w:t>措施</w:t>
            </w:r>
          </w:p>
        </w:tc>
        <w:tc>
          <w:tcPr>
            <w:tcW w:w="8309" w:type="dxa"/>
            <w:vAlign w:val="center"/>
          </w:tcPr>
          <w:p w14:paraId="483FABAC">
            <w:pPr>
              <w:keepNext/>
              <w:keepLines/>
              <w:spacing w:line="360" w:lineRule="auto"/>
              <w:ind w:firstLine="354" w:firstLineChars="147"/>
              <w:outlineLvl w:val="2"/>
              <w:rPr>
                <w:b/>
                <w:bCs/>
                <w:sz w:val="24"/>
                <w:szCs w:val="32"/>
              </w:rPr>
            </w:pPr>
            <w:r>
              <w:rPr>
                <w:rFonts w:hint="eastAsia"/>
                <w:b/>
                <w:bCs/>
                <w:sz w:val="24"/>
                <w:szCs w:val="32"/>
              </w:rPr>
              <w:t>一、废气环境影响和保护措施</w:t>
            </w:r>
          </w:p>
          <w:p w14:paraId="4DA9C7DD">
            <w:pPr>
              <w:keepNext/>
              <w:keepLines/>
              <w:spacing w:line="360" w:lineRule="auto"/>
              <w:ind w:firstLine="472" w:firstLineChars="196"/>
              <w:outlineLvl w:val="2"/>
              <w:rPr>
                <w:rFonts w:hint="eastAsia"/>
                <w:b/>
                <w:bCs/>
                <w:sz w:val="24"/>
                <w:szCs w:val="32"/>
                <w:lang w:val="en-US" w:eastAsia="zh-CN"/>
              </w:rPr>
            </w:pPr>
            <w:r>
              <w:rPr>
                <w:rFonts w:hint="eastAsia"/>
                <w:b/>
                <w:bCs/>
                <w:sz w:val="24"/>
                <w:szCs w:val="32"/>
                <w:lang w:val="en-US" w:eastAsia="zh-CN"/>
              </w:rPr>
              <w:t>以下为大气环境影响评价的主要结论，具体内容详见大气专项。</w:t>
            </w:r>
          </w:p>
          <w:p w14:paraId="223EF37C">
            <w:pPr>
              <w:keepNext/>
              <w:keepLines/>
              <w:spacing w:line="360" w:lineRule="auto"/>
              <w:ind w:firstLine="470" w:firstLineChars="196"/>
              <w:outlineLvl w:val="2"/>
              <w:rPr>
                <w:rFonts w:hint="default"/>
                <w:b w:val="0"/>
                <w:bCs w:val="0"/>
                <w:sz w:val="24"/>
                <w:szCs w:val="32"/>
                <w:lang w:val="en-US" w:eastAsia="zh-CN"/>
              </w:rPr>
            </w:pPr>
            <w:r>
              <w:rPr>
                <w:rFonts w:hint="eastAsia"/>
                <w:b w:val="0"/>
                <w:bCs w:val="0"/>
                <w:sz w:val="24"/>
                <w:szCs w:val="32"/>
                <w:lang w:val="en-US" w:eastAsia="zh-CN"/>
              </w:rPr>
              <w:t>项目加热成型废气采用集气罩收集后，采用二级活性炭吸附装置进行处理后，经20m高排气筒外排。</w:t>
            </w:r>
          </w:p>
          <w:p w14:paraId="026AA3B5">
            <w:pPr>
              <w:spacing w:line="360" w:lineRule="auto"/>
              <w:ind w:firstLine="480" w:firstLineChars="200"/>
              <w:rPr>
                <w:kern w:val="0"/>
                <w:sz w:val="24"/>
              </w:rPr>
            </w:pPr>
            <w:r>
              <w:rPr>
                <w:rFonts w:hint="eastAsia"/>
                <w:kern w:val="0"/>
                <w:sz w:val="24"/>
                <w:lang w:val="en-US" w:eastAsia="zh-CN"/>
              </w:rPr>
              <w:t>由于</w:t>
            </w:r>
            <w:r>
              <w:rPr>
                <w:kern w:val="0"/>
                <w:sz w:val="24"/>
              </w:rPr>
              <w:t>本项目生产过程中会产生</w:t>
            </w:r>
            <w:r>
              <w:rPr>
                <w:rFonts w:hint="eastAsia"/>
                <w:kern w:val="0"/>
                <w:sz w:val="24"/>
                <w:lang w:val="en-US" w:eastAsia="zh-CN"/>
              </w:rPr>
              <w:t>二氯甲烷</w:t>
            </w:r>
            <w:r>
              <w:rPr>
                <w:kern w:val="0"/>
                <w:sz w:val="24"/>
              </w:rPr>
              <w:t>，且厂界外500m范围内有居住区环境空气保护目标。</w:t>
            </w:r>
            <w:r>
              <w:rPr>
                <w:rFonts w:hint="eastAsia"/>
                <w:kern w:val="0"/>
                <w:sz w:val="24"/>
              </w:rPr>
              <w:t>故</w:t>
            </w:r>
            <w:r>
              <w:rPr>
                <w:kern w:val="0"/>
                <w:sz w:val="24"/>
              </w:rPr>
              <w:t>根据《建设项目环境影响报告表编制技术指南（污染影响类）》（试行）“表1专项评价设置原则”判定，</w:t>
            </w:r>
            <w:r>
              <w:rPr>
                <w:rFonts w:hint="eastAsia"/>
                <w:kern w:val="0"/>
                <w:sz w:val="24"/>
              </w:rPr>
              <w:t>本项目设置大气专项。</w:t>
            </w:r>
            <w:r>
              <w:rPr>
                <w:kern w:val="0"/>
                <w:sz w:val="24"/>
              </w:rPr>
              <w:t>具体环境影响及治理措施分析详见大气环境影响专项评价内容。根据大气环境影响专项评价，得出大气环境影响评价结论如下：</w:t>
            </w:r>
          </w:p>
          <w:p w14:paraId="674E0720">
            <w:pPr>
              <w:spacing w:line="360" w:lineRule="auto"/>
              <w:ind w:firstLine="480" w:firstLineChars="200"/>
              <w:rPr>
                <w:rFonts w:hint="eastAsia" w:eastAsia="宋体"/>
                <w:kern w:val="0"/>
                <w:sz w:val="24"/>
                <w:lang w:eastAsia="zh-CN"/>
              </w:rPr>
            </w:pPr>
            <w:r>
              <w:rPr>
                <w:kern w:val="0"/>
                <w:sz w:val="24"/>
              </w:rPr>
              <w:t>根据估算模式计算项目</w:t>
            </w:r>
            <w:r>
              <w:rPr>
                <w:rFonts w:hint="eastAsia"/>
                <w:kern w:val="0"/>
                <w:sz w:val="24"/>
              </w:rPr>
              <w:t>正常工况下</w:t>
            </w:r>
            <w:r>
              <w:rPr>
                <w:kern w:val="0"/>
                <w:sz w:val="24"/>
              </w:rPr>
              <w:t>Pmax</w:t>
            </w:r>
            <w:r>
              <w:rPr>
                <w:sz w:val="24"/>
              </w:rPr>
              <w:t>最大值出现为</w:t>
            </w:r>
            <w:r>
              <w:rPr>
                <w:rFonts w:hint="eastAsia"/>
                <w:sz w:val="24"/>
              </w:rPr>
              <w:t>无组织</w:t>
            </w:r>
            <w:r>
              <w:rPr>
                <w:rFonts w:hint="eastAsia"/>
                <w:sz w:val="24"/>
                <w:lang w:val="en-US" w:eastAsia="zh-CN"/>
              </w:rPr>
              <w:t>非甲烷总体</w:t>
            </w:r>
            <w:r>
              <w:rPr>
                <w:rFonts w:hint="eastAsia"/>
                <w:sz w:val="24"/>
              </w:rPr>
              <w:t>，</w:t>
            </w:r>
            <w:r>
              <w:rPr>
                <w:sz w:val="24"/>
              </w:rPr>
              <w:t>Pmax值为</w:t>
            </w:r>
            <w:r>
              <w:rPr>
                <w:rFonts w:hint="eastAsia"/>
                <w:sz w:val="24"/>
                <w:lang w:val="en-US" w:eastAsia="zh-CN"/>
              </w:rPr>
              <w:t>0.2807</w:t>
            </w:r>
            <w:r>
              <w:rPr>
                <w:sz w:val="24"/>
              </w:rPr>
              <w:t>%，Cmax为</w:t>
            </w:r>
            <w:r>
              <w:rPr>
                <w:rFonts w:hint="eastAsia"/>
                <w:sz w:val="24"/>
                <w:lang w:val="en-US" w:eastAsia="zh-CN"/>
              </w:rPr>
              <w:t>5.6135</w:t>
            </w:r>
            <w:r>
              <w:rPr>
                <w:sz w:val="24"/>
              </w:rPr>
              <w:t>μg/m³。</w:t>
            </w:r>
            <w:r>
              <w:rPr>
                <w:kern w:val="0"/>
                <w:sz w:val="24"/>
              </w:rPr>
              <w:t>根据《环境影响评价技术导则 大气环境》（HJ2.2-2018）分级判据，确定本项目大气环境影响评价工作等级为</w:t>
            </w:r>
            <w:r>
              <w:rPr>
                <w:rFonts w:hint="eastAsia"/>
                <w:kern w:val="0"/>
                <w:sz w:val="24"/>
                <w:lang w:val="en-US" w:eastAsia="zh-CN"/>
              </w:rPr>
              <w:t>三级</w:t>
            </w:r>
            <w:r>
              <w:rPr>
                <w:kern w:val="0"/>
                <w:sz w:val="24"/>
              </w:rPr>
              <w:t>。</w:t>
            </w:r>
            <w:r>
              <w:rPr>
                <w:rFonts w:hint="eastAsia"/>
                <w:kern w:val="0"/>
                <w:sz w:val="24"/>
                <w:lang w:val="en-US" w:eastAsia="zh-CN"/>
              </w:rPr>
              <w:t>三级</w:t>
            </w:r>
            <w:r>
              <w:rPr>
                <w:kern w:val="0"/>
                <w:sz w:val="24"/>
              </w:rPr>
              <w:t>评价项目不进行进一步预测与评价</w:t>
            </w:r>
            <w:r>
              <w:rPr>
                <w:rFonts w:hint="eastAsia"/>
                <w:kern w:val="0"/>
                <w:sz w:val="24"/>
                <w:lang w:eastAsia="zh-CN"/>
              </w:rPr>
              <w:t>。</w:t>
            </w:r>
          </w:p>
          <w:p w14:paraId="28660581">
            <w:pPr>
              <w:spacing w:line="360" w:lineRule="auto"/>
              <w:ind w:firstLine="480" w:firstLineChars="200"/>
              <w:rPr>
                <w:kern w:val="0"/>
                <w:sz w:val="24"/>
              </w:rPr>
            </w:pPr>
          </w:p>
          <w:p w14:paraId="4414A19C">
            <w:pPr>
              <w:spacing w:line="360" w:lineRule="auto"/>
              <w:ind w:firstLine="480" w:firstLineChars="200"/>
              <w:rPr>
                <w:kern w:val="0"/>
                <w:sz w:val="24"/>
              </w:rPr>
            </w:pPr>
          </w:p>
          <w:p w14:paraId="14C034E8">
            <w:pPr>
              <w:spacing w:line="360" w:lineRule="auto"/>
              <w:ind w:firstLine="480" w:firstLineChars="200"/>
              <w:rPr>
                <w:kern w:val="0"/>
                <w:sz w:val="24"/>
              </w:rPr>
            </w:pPr>
          </w:p>
          <w:p w14:paraId="1BD08979">
            <w:pPr>
              <w:spacing w:line="360" w:lineRule="auto"/>
              <w:ind w:firstLine="480" w:firstLineChars="200"/>
              <w:rPr>
                <w:kern w:val="0"/>
                <w:sz w:val="24"/>
              </w:rPr>
            </w:pPr>
          </w:p>
          <w:p w14:paraId="4600F5DC">
            <w:pPr>
              <w:spacing w:line="360" w:lineRule="auto"/>
              <w:ind w:firstLine="480" w:firstLineChars="200"/>
              <w:rPr>
                <w:kern w:val="0"/>
                <w:sz w:val="24"/>
              </w:rPr>
            </w:pPr>
          </w:p>
          <w:p w14:paraId="3A3F295C">
            <w:pPr>
              <w:spacing w:line="360" w:lineRule="auto"/>
              <w:ind w:firstLine="480" w:firstLineChars="200"/>
              <w:rPr>
                <w:kern w:val="0"/>
                <w:sz w:val="24"/>
              </w:rPr>
            </w:pPr>
          </w:p>
          <w:p w14:paraId="78618241">
            <w:pPr>
              <w:spacing w:line="360" w:lineRule="auto"/>
              <w:ind w:firstLine="480" w:firstLineChars="200"/>
              <w:rPr>
                <w:kern w:val="0"/>
                <w:sz w:val="24"/>
              </w:rPr>
            </w:pPr>
          </w:p>
          <w:p w14:paraId="649A5869">
            <w:pPr>
              <w:keepNext w:val="0"/>
              <w:keepLines w:val="0"/>
              <w:pageBreakBefore w:val="0"/>
              <w:widowControl/>
              <w:kinsoku/>
              <w:wordWrap/>
              <w:overflowPunct/>
              <w:topLinePunct w:val="0"/>
              <w:autoSpaceDE/>
              <w:autoSpaceDN/>
              <w:bidi w:val="0"/>
              <w:adjustRightInd/>
              <w:snapToGrid/>
              <w:spacing w:beforeAutospacing="0" w:line="360" w:lineRule="auto"/>
              <w:ind w:firstLine="480" w:firstLineChars="200"/>
              <w:jc w:val="both"/>
              <w:textAlignment w:val="auto"/>
              <w:rPr>
                <w:rFonts w:cs="宋体"/>
                <w:sz w:val="24"/>
                <w:lang w:val="en-GB"/>
              </w:rPr>
            </w:pPr>
          </w:p>
        </w:tc>
      </w:tr>
    </w:tbl>
    <w:p w14:paraId="7A39E3E3">
      <w:pPr>
        <w:rPr>
          <w:rFonts w:cs="宋体"/>
          <w:sz w:val="24"/>
        </w:rPr>
        <w:sectPr>
          <w:pgSz w:w="11907" w:h="16840"/>
          <w:pgMar w:top="2127"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86"/>
      </w:tblGrid>
      <w:tr w14:paraId="50700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56" w:type="dxa"/>
            <w:tcBorders>
              <w:top w:val="single" w:color="auto" w:sz="12" w:space="0"/>
              <w:bottom w:val="single" w:color="auto" w:sz="4" w:space="0"/>
            </w:tcBorders>
            <w:shd w:val="clear" w:color="auto" w:fill="auto"/>
            <w:vAlign w:val="center"/>
          </w:tcPr>
          <w:p w14:paraId="5E2991AA">
            <w:pPr>
              <w:autoSpaceDE w:val="0"/>
              <w:autoSpaceDN w:val="0"/>
              <w:adjustRightInd w:val="0"/>
              <w:snapToGrid w:val="0"/>
              <w:jc w:val="center"/>
              <w:rPr>
                <w:rFonts w:cs="宋体"/>
                <w:kern w:val="0"/>
                <w:sz w:val="24"/>
              </w:rPr>
            </w:pPr>
            <w:r>
              <w:rPr>
                <w:rFonts w:hint="eastAsia" w:cs="宋体"/>
                <w:kern w:val="0"/>
                <w:sz w:val="24"/>
              </w:rPr>
              <w:t>运营</w:t>
            </w:r>
          </w:p>
          <w:p w14:paraId="7BC5FCD9">
            <w:pPr>
              <w:autoSpaceDE w:val="0"/>
              <w:autoSpaceDN w:val="0"/>
              <w:adjustRightInd w:val="0"/>
              <w:snapToGrid w:val="0"/>
              <w:jc w:val="center"/>
              <w:rPr>
                <w:rFonts w:cs="宋体"/>
                <w:kern w:val="0"/>
                <w:sz w:val="24"/>
              </w:rPr>
            </w:pPr>
            <w:r>
              <w:rPr>
                <w:rFonts w:hint="eastAsia" w:cs="宋体"/>
                <w:kern w:val="0"/>
                <w:sz w:val="24"/>
              </w:rPr>
              <w:t>期环</w:t>
            </w:r>
          </w:p>
          <w:p w14:paraId="758205B8">
            <w:pPr>
              <w:autoSpaceDE w:val="0"/>
              <w:autoSpaceDN w:val="0"/>
              <w:adjustRightInd w:val="0"/>
              <w:snapToGrid w:val="0"/>
              <w:jc w:val="center"/>
              <w:rPr>
                <w:rFonts w:cs="宋体"/>
                <w:kern w:val="0"/>
                <w:sz w:val="24"/>
              </w:rPr>
            </w:pPr>
            <w:r>
              <w:rPr>
                <w:rFonts w:hint="eastAsia" w:cs="宋体"/>
                <w:kern w:val="0"/>
                <w:sz w:val="24"/>
              </w:rPr>
              <w:t>境影</w:t>
            </w:r>
          </w:p>
          <w:p w14:paraId="18224B79">
            <w:pPr>
              <w:autoSpaceDE w:val="0"/>
              <w:autoSpaceDN w:val="0"/>
              <w:adjustRightInd w:val="0"/>
              <w:snapToGrid w:val="0"/>
              <w:jc w:val="center"/>
              <w:rPr>
                <w:rFonts w:cs="宋体"/>
                <w:kern w:val="0"/>
                <w:sz w:val="24"/>
              </w:rPr>
            </w:pPr>
            <w:r>
              <w:rPr>
                <w:rFonts w:hint="eastAsia" w:cs="宋体"/>
                <w:kern w:val="0"/>
                <w:sz w:val="24"/>
              </w:rPr>
              <w:t>响和</w:t>
            </w:r>
          </w:p>
          <w:p w14:paraId="76B61C86">
            <w:pPr>
              <w:autoSpaceDE w:val="0"/>
              <w:autoSpaceDN w:val="0"/>
              <w:adjustRightInd w:val="0"/>
              <w:snapToGrid w:val="0"/>
              <w:jc w:val="center"/>
              <w:rPr>
                <w:rFonts w:cs="宋体"/>
                <w:kern w:val="0"/>
                <w:sz w:val="24"/>
              </w:rPr>
            </w:pPr>
            <w:r>
              <w:rPr>
                <w:rFonts w:hint="eastAsia" w:cs="宋体"/>
                <w:kern w:val="0"/>
                <w:sz w:val="24"/>
              </w:rPr>
              <w:t>保护</w:t>
            </w:r>
          </w:p>
          <w:p w14:paraId="43712A07">
            <w:pPr>
              <w:tabs>
                <w:tab w:val="left" w:pos="1077"/>
              </w:tabs>
              <w:jc w:val="center"/>
              <w:rPr>
                <w:rFonts w:cs="宋体"/>
                <w:sz w:val="24"/>
              </w:rPr>
            </w:pPr>
            <w:r>
              <w:rPr>
                <w:rFonts w:hint="eastAsia" w:cs="宋体"/>
                <w:kern w:val="0"/>
                <w:sz w:val="24"/>
              </w:rPr>
              <w:t>措施</w:t>
            </w:r>
          </w:p>
        </w:tc>
        <w:tc>
          <w:tcPr>
            <w:tcW w:w="9386" w:type="dxa"/>
            <w:tcBorders>
              <w:top w:val="single" w:color="auto" w:sz="12" w:space="0"/>
              <w:bottom w:val="single" w:color="auto" w:sz="4" w:space="0"/>
            </w:tcBorders>
            <w:shd w:val="clear" w:color="auto" w:fill="auto"/>
          </w:tcPr>
          <w:p w14:paraId="3C583829">
            <w:pPr>
              <w:tabs>
                <w:tab w:val="left" w:pos="1077"/>
              </w:tabs>
              <w:spacing w:line="360" w:lineRule="auto"/>
              <w:ind w:firstLine="482" w:firstLineChars="200"/>
              <w:jc w:val="left"/>
              <w:rPr>
                <w:rFonts w:cs="宋体"/>
                <w:b/>
                <w:bCs/>
                <w:sz w:val="24"/>
              </w:rPr>
            </w:pPr>
            <w:r>
              <w:rPr>
                <w:rFonts w:hint="eastAsia" w:cs="宋体"/>
                <w:b/>
                <w:bCs/>
                <w:sz w:val="24"/>
              </w:rPr>
              <w:t>二、废水环境影响和保护措施</w:t>
            </w:r>
          </w:p>
          <w:p w14:paraId="1F6F4055">
            <w:pPr>
              <w:keepNext/>
              <w:keepLines/>
              <w:spacing w:line="360" w:lineRule="auto"/>
              <w:ind w:firstLine="482" w:firstLineChars="200"/>
              <w:outlineLvl w:val="2"/>
              <w:rPr>
                <w:b/>
                <w:bCs/>
                <w:sz w:val="24"/>
                <w:szCs w:val="32"/>
              </w:rPr>
            </w:pPr>
            <w:r>
              <w:rPr>
                <w:rFonts w:hint="eastAsia"/>
                <w:b/>
                <w:bCs/>
                <w:sz w:val="24"/>
                <w:szCs w:val="32"/>
              </w:rPr>
              <w:t>1、</w:t>
            </w:r>
            <w:r>
              <w:rPr>
                <w:b/>
                <w:bCs/>
                <w:sz w:val="24"/>
                <w:szCs w:val="32"/>
              </w:rPr>
              <w:t>废水污染源</w:t>
            </w:r>
          </w:p>
          <w:p w14:paraId="0A03C2A4">
            <w:pPr>
              <w:spacing w:line="360" w:lineRule="auto"/>
              <w:ind w:firstLine="480" w:firstLineChars="200"/>
              <w:rPr>
                <w:sz w:val="24"/>
              </w:rPr>
            </w:pPr>
            <w:r>
              <w:rPr>
                <w:rFonts w:hint="eastAsia"/>
                <w:kern w:val="0"/>
                <w:sz w:val="24"/>
              </w:rPr>
              <w:t>本项目废水主要为生活污水，生活污水产生量为</w:t>
            </w:r>
            <w:r>
              <w:rPr>
                <w:rFonts w:hint="eastAsia"/>
                <w:kern w:val="0"/>
                <w:sz w:val="24"/>
                <w:lang w:val="en-US" w:eastAsia="zh-CN"/>
              </w:rPr>
              <w:t>18</w:t>
            </w:r>
            <w:r>
              <w:rPr>
                <w:kern w:val="0"/>
                <w:sz w:val="24"/>
              </w:rPr>
              <w:t>0t/a</w:t>
            </w:r>
            <w:r>
              <w:rPr>
                <w:rFonts w:hint="eastAsia"/>
                <w:kern w:val="0"/>
                <w:sz w:val="24"/>
              </w:rPr>
              <w:t>。</w:t>
            </w:r>
            <w:r>
              <w:rPr>
                <w:rFonts w:hint="eastAsia"/>
                <w:sz w:val="24"/>
              </w:rPr>
              <w:t>项目废水污染源产生源强、其处理方式及排放情况详见下表。</w:t>
            </w:r>
          </w:p>
          <w:p w14:paraId="4D4EC52D">
            <w:pPr>
              <w:keepNext w:val="0"/>
              <w:keepLines w:val="0"/>
              <w:pageBreakBefore w:val="0"/>
              <w:widowControl w:val="0"/>
              <w:kinsoku/>
              <w:wordWrap/>
              <w:overflowPunct/>
              <w:topLinePunct w:val="0"/>
              <w:autoSpaceDE/>
              <w:autoSpaceDN/>
              <w:bidi w:val="0"/>
              <w:adjustRightInd/>
              <w:snapToGrid/>
              <w:spacing w:beforeAutospacing="0" w:line="360" w:lineRule="auto"/>
              <w:ind w:left="0" w:leftChars="0"/>
              <w:jc w:val="center"/>
              <w:textAlignment w:val="auto"/>
              <w:rPr>
                <w:b/>
                <w:sz w:val="24"/>
              </w:rPr>
            </w:pPr>
            <w:r>
              <w:rPr>
                <w:rFonts w:hint="eastAsia"/>
                <w:b/>
                <w:sz w:val="24"/>
              </w:rPr>
              <w:t>表</w:t>
            </w:r>
            <w:r>
              <w:rPr>
                <w:b/>
                <w:sz w:val="24"/>
              </w:rPr>
              <w:t>4-</w:t>
            </w:r>
            <w:r>
              <w:rPr>
                <w:rFonts w:hint="eastAsia"/>
                <w:b/>
                <w:sz w:val="24"/>
                <w:lang w:val="en-US" w:eastAsia="zh-CN"/>
              </w:rPr>
              <w:t>7</w:t>
            </w:r>
            <w:r>
              <w:rPr>
                <w:b/>
                <w:sz w:val="24"/>
              </w:rPr>
              <w:t xml:space="preserve">  </w:t>
            </w:r>
            <w:r>
              <w:rPr>
                <w:rFonts w:hint="eastAsia"/>
                <w:b/>
                <w:sz w:val="24"/>
              </w:rPr>
              <w:t>项目废水产生及排放情况一览表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850"/>
              <w:gridCol w:w="965"/>
              <w:gridCol w:w="1129"/>
              <w:gridCol w:w="1065"/>
              <w:gridCol w:w="965"/>
              <w:gridCol w:w="1129"/>
              <w:gridCol w:w="965"/>
              <w:gridCol w:w="926"/>
            </w:tblGrid>
            <w:tr w14:paraId="0B495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641" w:type="pct"/>
                  <w:vMerge w:val="restart"/>
                  <w:tcBorders>
                    <w:tl2br w:val="nil"/>
                    <w:tr2bl w:val="nil"/>
                  </w:tcBorders>
                  <w:vAlign w:val="center"/>
                </w:tcPr>
                <w:p w14:paraId="61EF20A5">
                  <w:pPr>
                    <w:ind w:left="-105" w:leftChars="-50" w:right="-105" w:rightChars="-50"/>
                    <w:jc w:val="center"/>
                    <w:rPr>
                      <w:b/>
                      <w:szCs w:val="21"/>
                    </w:rPr>
                  </w:pPr>
                  <w:r>
                    <w:rPr>
                      <w:rFonts w:hint="eastAsia"/>
                      <w:b/>
                      <w:szCs w:val="21"/>
                    </w:rPr>
                    <w:t>污染源</w:t>
                  </w:r>
                </w:p>
              </w:tc>
              <w:tc>
                <w:tcPr>
                  <w:tcW w:w="463" w:type="pct"/>
                  <w:vMerge w:val="restart"/>
                  <w:tcBorders>
                    <w:tl2br w:val="nil"/>
                    <w:tr2bl w:val="nil"/>
                  </w:tcBorders>
                  <w:vAlign w:val="center"/>
                </w:tcPr>
                <w:p w14:paraId="2DC436DB">
                  <w:pPr>
                    <w:ind w:left="-105" w:leftChars="-50" w:right="-105" w:rightChars="-50"/>
                    <w:jc w:val="center"/>
                    <w:rPr>
                      <w:b/>
                      <w:szCs w:val="21"/>
                    </w:rPr>
                  </w:pPr>
                  <w:r>
                    <w:rPr>
                      <w:rFonts w:hint="eastAsia"/>
                      <w:b/>
                      <w:szCs w:val="21"/>
                    </w:rPr>
                    <w:t>污染物名称</w:t>
                  </w:r>
                </w:p>
              </w:tc>
              <w:tc>
                <w:tcPr>
                  <w:tcW w:w="1141" w:type="pct"/>
                  <w:gridSpan w:val="2"/>
                  <w:tcBorders>
                    <w:tl2br w:val="nil"/>
                    <w:tr2bl w:val="nil"/>
                  </w:tcBorders>
                  <w:vAlign w:val="center"/>
                </w:tcPr>
                <w:p w14:paraId="5B792C06">
                  <w:pPr>
                    <w:ind w:left="-105" w:leftChars="-50" w:right="-105" w:rightChars="-50"/>
                    <w:jc w:val="center"/>
                    <w:rPr>
                      <w:b/>
                      <w:szCs w:val="21"/>
                    </w:rPr>
                  </w:pPr>
                  <w:r>
                    <w:rPr>
                      <w:rFonts w:hint="eastAsia"/>
                      <w:b/>
                      <w:szCs w:val="21"/>
                    </w:rPr>
                    <w:t>污染物产生量</w:t>
                  </w:r>
                </w:p>
              </w:tc>
              <w:tc>
                <w:tcPr>
                  <w:tcW w:w="580" w:type="pct"/>
                  <w:vMerge w:val="restart"/>
                  <w:tcBorders>
                    <w:tl2br w:val="nil"/>
                    <w:tr2bl w:val="nil"/>
                  </w:tcBorders>
                  <w:vAlign w:val="center"/>
                </w:tcPr>
                <w:p w14:paraId="529AD26C">
                  <w:pPr>
                    <w:ind w:left="-105" w:leftChars="-50" w:right="-105" w:rightChars="-50"/>
                    <w:jc w:val="center"/>
                    <w:rPr>
                      <w:b/>
                      <w:szCs w:val="21"/>
                    </w:rPr>
                  </w:pPr>
                  <w:r>
                    <w:rPr>
                      <w:rFonts w:hint="eastAsia"/>
                      <w:b/>
                      <w:szCs w:val="21"/>
                    </w:rPr>
                    <w:t>治理</w:t>
                  </w:r>
                </w:p>
                <w:p w14:paraId="188756D3">
                  <w:pPr>
                    <w:ind w:left="-105" w:leftChars="-50" w:right="-105" w:rightChars="-50"/>
                    <w:jc w:val="center"/>
                    <w:rPr>
                      <w:b/>
                      <w:szCs w:val="21"/>
                    </w:rPr>
                  </w:pPr>
                  <w:r>
                    <w:rPr>
                      <w:rFonts w:hint="eastAsia"/>
                      <w:b/>
                      <w:szCs w:val="21"/>
                    </w:rPr>
                    <w:t>措施</w:t>
                  </w:r>
                </w:p>
              </w:tc>
              <w:tc>
                <w:tcPr>
                  <w:tcW w:w="1141" w:type="pct"/>
                  <w:gridSpan w:val="2"/>
                  <w:tcBorders>
                    <w:tl2br w:val="nil"/>
                    <w:tr2bl w:val="nil"/>
                  </w:tcBorders>
                  <w:vAlign w:val="center"/>
                </w:tcPr>
                <w:p w14:paraId="1B1A8B1C">
                  <w:pPr>
                    <w:ind w:left="-105" w:leftChars="-50" w:right="-105" w:rightChars="-50"/>
                    <w:jc w:val="center"/>
                    <w:rPr>
                      <w:b/>
                      <w:szCs w:val="21"/>
                    </w:rPr>
                  </w:pPr>
                  <w:r>
                    <w:rPr>
                      <w:rFonts w:hint="eastAsia"/>
                      <w:b/>
                      <w:szCs w:val="21"/>
                    </w:rPr>
                    <w:t>污染物排放量</w:t>
                  </w:r>
                </w:p>
              </w:tc>
              <w:tc>
                <w:tcPr>
                  <w:tcW w:w="1030" w:type="pct"/>
                  <w:gridSpan w:val="2"/>
                  <w:tcBorders>
                    <w:tl2br w:val="nil"/>
                    <w:tr2bl w:val="nil"/>
                  </w:tcBorders>
                  <w:vAlign w:val="center"/>
                </w:tcPr>
                <w:p w14:paraId="64577C53">
                  <w:pPr>
                    <w:ind w:left="-105" w:leftChars="-50" w:right="-105" w:rightChars="-50"/>
                    <w:jc w:val="center"/>
                    <w:rPr>
                      <w:b/>
                      <w:szCs w:val="21"/>
                    </w:rPr>
                  </w:pPr>
                  <w:r>
                    <w:rPr>
                      <w:rFonts w:hint="eastAsia"/>
                      <w:b/>
                      <w:szCs w:val="21"/>
                    </w:rPr>
                    <w:t>外排环境量</w:t>
                  </w:r>
                </w:p>
              </w:tc>
            </w:tr>
            <w:tr w14:paraId="143C3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1" w:type="pct"/>
                  <w:vMerge w:val="continue"/>
                  <w:tcBorders>
                    <w:tl2br w:val="nil"/>
                    <w:tr2bl w:val="nil"/>
                  </w:tcBorders>
                  <w:vAlign w:val="center"/>
                </w:tcPr>
                <w:p w14:paraId="1885D6A9">
                  <w:pPr>
                    <w:ind w:left="-105" w:leftChars="-50" w:right="-105" w:rightChars="-50"/>
                    <w:jc w:val="center"/>
                    <w:rPr>
                      <w:b/>
                      <w:szCs w:val="21"/>
                    </w:rPr>
                  </w:pPr>
                </w:p>
              </w:tc>
              <w:tc>
                <w:tcPr>
                  <w:tcW w:w="463" w:type="pct"/>
                  <w:vMerge w:val="continue"/>
                  <w:tcBorders>
                    <w:tl2br w:val="nil"/>
                    <w:tr2bl w:val="nil"/>
                  </w:tcBorders>
                  <w:vAlign w:val="center"/>
                </w:tcPr>
                <w:p w14:paraId="6188E2EA">
                  <w:pPr>
                    <w:ind w:left="-105" w:leftChars="-50" w:right="-105" w:rightChars="-50"/>
                    <w:jc w:val="center"/>
                    <w:rPr>
                      <w:b/>
                      <w:szCs w:val="21"/>
                    </w:rPr>
                  </w:pPr>
                </w:p>
              </w:tc>
              <w:tc>
                <w:tcPr>
                  <w:tcW w:w="526" w:type="pct"/>
                  <w:tcBorders>
                    <w:tl2br w:val="nil"/>
                    <w:tr2bl w:val="nil"/>
                  </w:tcBorders>
                  <w:vAlign w:val="center"/>
                </w:tcPr>
                <w:p w14:paraId="5B761CD3">
                  <w:pPr>
                    <w:ind w:left="-105" w:leftChars="-50" w:right="-105" w:rightChars="-50"/>
                    <w:jc w:val="center"/>
                    <w:rPr>
                      <w:rFonts w:cs="宋体"/>
                      <w:b/>
                      <w:szCs w:val="21"/>
                    </w:rPr>
                  </w:pPr>
                  <w:r>
                    <w:rPr>
                      <w:rFonts w:hint="eastAsia" w:cs="宋体"/>
                      <w:b/>
                      <w:szCs w:val="21"/>
                    </w:rPr>
                    <w:t>浓度（</w:t>
                  </w:r>
                  <w:r>
                    <w:rPr>
                      <w:rFonts w:cs="宋体"/>
                      <w:b/>
                      <w:szCs w:val="21"/>
                    </w:rPr>
                    <w:t>mg/L</w:t>
                  </w:r>
                  <w:r>
                    <w:rPr>
                      <w:rFonts w:hint="eastAsia" w:cs="宋体"/>
                      <w:b/>
                      <w:szCs w:val="21"/>
                    </w:rPr>
                    <w:t>）</w:t>
                  </w:r>
                </w:p>
              </w:tc>
              <w:tc>
                <w:tcPr>
                  <w:tcW w:w="615" w:type="pct"/>
                  <w:tcBorders>
                    <w:tl2br w:val="nil"/>
                    <w:tr2bl w:val="nil"/>
                  </w:tcBorders>
                  <w:vAlign w:val="center"/>
                </w:tcPr>
                <w:p w14:paraId="5D3CA11E">
                  <w:pPr>
                    <w:ind w:left="-105" w:leftChars="-50" w:right="-105" w:rightChars="-50"/>
                    <w:jc w:val="center"/>
                    <w:rPr>
                      <w:rFonts w:cs="宋体"/>
                      <w:b/>
                      <w:szCs w:val="21"/>
                    </w:rPr>
                  </w:pPr>
                  <w:r>
                    <w:rPr>
                      <w:rFonts w:hint="eastAsia" w:cs="宋体"/>
                      <w:b/>
                      <w:szCs w:val="21"/>
                    </w:rPr>
                    <w:t>产生量（</w:t>
                  </w:r>
                  <w:r>
                    <w:rPr>
                      <w:rFonts w:cs="宋体"/>
                      <w:b/>
                      <w:szCs w:val="21"/>
                    </w:rPr>
                    <w:t>t/a</w:t>
                  </w:r>
                  <w:r>
                    <w:rPr>
                      <w:rFonts w:hint="eastAsia" w:cs="宋体"/>
                      <w:b/>
                      <w:szCs w:val="21"/>
                    </w:rPr>
                    <w:t>）</w:t>
                  </w:r>
                </w:p>
              </w:tc>
              <w:tc>
                <w:tcPr>
                  <w:tcW w:w="580" w:type="pct"/>
                  <w:vMerge w:val="continue"/>
                  <w:tcBorders>
                    <w:tl2br w:val="nil"/>
                    <w:tr2bl w:val="nil"/>
                  </w:tcBorders>
                  <w:vAlign w:val="center"/>
                </w:tcPr>
                <w:p w14:paraId="79FDED43">
                  <w:pPr>
                    <w:ind w:left="-105" w:leftChars="-50" w:right="-105" w:rightChars="-50"/>
                    <w:jc w:val="center"/>
                    <w:rPr>
                      <w:b/>
                      <w:szCs w:val="21"/>
                    </w:rPr>
                  </w:pPr>
                </w:p>
              </w:tc>
              <w:tc>
                <w:tcPr>
                  <w:tcW w:w="526" w:type="pct"/>
                  <w:tcBorders>
                    <w:tl2br w:val="nil"/>
                    <w:tr2bl w:val="nil"/>
                  </w:tcBorders>
                  <w:vAlign w:val="center"/>
                </w:tcPr>
                <w:p w14:paraId="1D841CBA">
                  <w:pPr>
                    <w:ind w:left="-105" w:leftChars="-50" w:right="-105" w:rightChars="-50"/>
                    <w:jc w:val="center"/>
                    <w:rPr>
                      <w:rFonts w:cs="宋体"/>
                      <w:b/>
                      <w:szCs w:val="21"/>
                    </w:rPr>
                  </w:pPr>
                  <w:r>
                    <w:rPr>
                      <w:rFonts w:hint="eastAsia" w:cs="宋体"/>
                      <w:b/>
                      <w:szCs w:val="21"/>
                    </w:rPr>
                    <w:t>浓度</w:t>
                  </w:r>
                </w:p>
                <w:p w14:paraId="704EC8EF">
                  <w:pPr>
                    <w:ind w:left="-105" w:leftChars="-50" w:right="-105" w:rightChars="-50"/>
                    <w:jc w:val="center"/>
                    <w:rPr>
                      <w:rFonts w:cs="宋体"/>
                      <w:b/>
                      <w:szCs w:val="21"/>
                    </w:rPr>
                  </w:pPr>
                  <w:r>
                    <w:rPr>
                      <w:rFonts w:hint="eastAsia" w:cs="宋体"/>
                      <w:b/>
                      <w:szCs w:val="21"/>
                    </w:rPr>
                    <w:t>（</w:t>
                  </w:r>
                  <w:r>
                    <w:rPr>
                      <w:rFonts w:cs="宋体"/>
                      <w:b/>
                      <w:szCs w:val="21"/>
                    </w:rPr>
                    <w:t>mg/L</w:t>
                  </w:r>
                  <w:r>
                    <w:rPr>
                      <w:rFonts w:hint="eastAsia" w:cs="宋体"/>
                      <w:b/>
                      <w:szCs w:val="21"/>
                    </w:rPr>
                    <w:t>）</w:t>
                  </w:r>
                </w:p>
              </w:tc>
              <w:tc>
                <w:tcPr>
                  <w:tcW w:w="615" w:type="pct"/>
                  <w:tcBorders>
                    <w:tl2br w:val="nil"/>
                    <w:tr2bl w:val="nil"/>
                  </w:tcBorders>
                  <w:vAlign w:val="center"/>
                </w:tcPr>
                <w:p w14:paraId="197F6FF7">
                  <w:pPr>
                    <w:ind w:left="-105" w:leftChars="-50" w:right="-105" w:rightChars="-50"/>
                    <w:jc w:val="center"/>
                    <w:rPr>
                      <w:rFonts w:cs="宋体"/>
                      <w:b/>
                      <w:szCs w:val="21"/>
                    </w:rPr>
                  </w:pPr>
                  <w:r>
                    <w:rPr>
                      <w:rFonts w:hint="eastAsia" w:cs="宋体"/>
                      <w:b/>
                      <w:szCs w:val="21"/>
                    </w:rPr>
                    <w:t>排放量</w:t>
                  </w:r>
                </w:p>
                <w:p w14:paraId="48F70303">
                  <w:pPr>
                    <w:ind w:left="-105" w:leftChars="-50" w:right="-105" w:rightChars="-50"/>
                    <w:jc w:val="center"/>
                    <w:rPr>
                      <w:rFonts w:cs="宋体"/>
                      <w:b/>
                      <w:szCs w:val="21"/>
                    </w:rPr>
                  </w:pPr>
                  <w:r>
                    <w:rPr>
                      <w:rFonts w:hint="eastAsia" w:cs="宋体"/>
                      <w:b/>
                      <w:szCs w:val="21"/>
                    </w:rPr>
                    <w:t>（</w:t>
                  </w:r>
                  <w:r>
                    <w:rPr>
                      <w:rFonts w:cs="宋体"/>
                      <w:b/>
                      <w:szCs w:val="21"/>
                    </w:rPr>
                    <w:t>t/a</w:t>
                  </w:r>
                  <w:r>
                    <w:rPr>
                      <w:rFonts w:hint="eastAsia" w:cs="宋体"/>
                      <w:b/>
                      <w:szCs w:val="21"/>
                    </w:rPr>
                    <w:t>）</w:t>
                  </w:r>
                </w:p>
              </w:tc>
              <w:tc>
                <w:tcPr>
                  <w:tcW w:w="526" w:type="pct"/>
                  <w:tcBorders>
                    <w:tl2br w:val="nil"/>
                    <w:tr2bl w:val="nil"/>
                  </w:tcBorders>
                  <w:vAlign w:val="center"/>
                </w:tcPr>
                <w:p w14:paraId="473B7157">
                  <w:pPr>
                    <w:ind w:left="-105" w:leftChars="-50" w:right="-105" w:rightChars="-50"/>
                    <w:jc w:val="center"/>
                    <w:rPr>
                      <w:rFonts w:cs="宋体"/>
                      <w:b/>
                      <w:szCs w:val="21"/>
                    </w:rPr>
                  </w:pPr>
                  <w:r>
                    <w:rPr>
                      <w:rFonts w:hint="eastAsia" w:cs="宋体"/>
                      <w:b/>
                      <w:szCs w:val="21"/>
                    </w:rPr>
                    <w:t>浓度</w:t>
                  </w:r>
                </w:p>
                <w:p w14:paraId="4E77FBFC">
                  <w:pPr>
                    <w:ind w:left="-105" w:leftChars="-50" w:right="-105" w:rightChars="-50"/>
                    <w:jc w:val="center"/>
                    <w:rPr>
                      <w:rFonts w:cs="宋体"/>
                      <w:b/>
                      <w:szCs w:val="21"/>
                    </w:rPr>
                  </w:pPr>
                  <w:r>
                    <w:rPr>
                      <w:rFonts w:hint="eastAsia" w:cs="宋体"/>
                      <w:b/>
                      <w:szCs w:val="21"/>
                    </w:rPr>
                    <w:t>（</w:t>
                  </w:r>
                  <w:r>
                    <w:rPr>
                      <w:rFonts w:cs="宋体"/>
                      <w:b/>
                      <w:szCs w:val="21"/>
                    </w:rPr>
                    <w:t>mg/L</w:t>
                  </w:r>
                  <w:r>
                    <w:rPr>
                      <w:rFonts w:hint="eastAsia" w:cs="宋体"/>
                      <w:b/>
                      <w:szCs w:val="21"/>
                    </w:rPr>
                    <w:t>）</w:t>
                  </w:r>
                </w:p>
              </w:tc>
              <w:tc>
                <w:tcPr>
                  <w:tcW w:w="503" w:type="pct"/>
                  <w:tcBorders>
                    <w:tl2br w:val="nil"/>
                    <w:tr2bl w:val="nil"/>
                  </w:tcBorders>
                  <w:vAlign w:val="center"/>
                </w:tcPr>
                <w:p w14:paraId="6C0AC32B">
                  <w:pPr>
                    <w:ind w:left="-105" w:leftChars="-50" w:right="-105" w:rightChars="-50"/>
                    <w:jc w:val="center"/>
                    <w:rPr>
                      <w:rFonts w:cs="宋体"/>
                      <w:b/>
                      <w:szCs w:val="21"/>
                    </w:rPr>
                  </w:pPr>
                  <w:r>
                    <w:rPr>
                      <w:rFonts w:hint="eastAsia" w:cs="宋体"/>
                      <w:b/>
                      <w:szCs w:val="21"/>
                    </w:rPr>
                    <w:t>排放量</w:t>
                  </w:r>
                </w:p>
                <w:p w14:paraId="73EE338A">
                  <w:pPr>
                    <w:ind w:left="-105" w:leftChars="-50" w:right="-105" w:rightChars="-50"/>
                    <w:jc w:val="center"/>
                    <w:rPr>
                      <w:rFonts w:cs="宋体"/>
                      <w:b/>
                      <w:szCs w:val="21"/>
                    </w:rPr>
                  </w:pPr>
                  <w:r>
                    <w:rPr>
                      <w:rFonts w:hint="eastAsia" w:cs="宋体"/>
                      <w:b/>
                      <w:szCs w:val="21"/>
                    </w:rPr>
                    <w:t>（</w:t>
                  </w:r>
                  <w:r>
                    <w:rPr>
                      <w:rFonts w:cs="宋体"/>
                      <w:b/>
                      <w:szCs w:val="21"/>
                    </w:rPr>
                    <w:t>t/a</w:t>
                  </w:r>
                  <w:r>
                    <w:rPr>
                      <w:rFonts w:hint="eastAsia" w:cs="宋体"/>
                      <w:b/>
                      <w:szCs w:val="21"/>
                    </w:rPr>
                    <w:t>）</w:t>
                  </w:r>
                </w:p>
              </w:tc>
            </w:tr>
            <w:tr w14:paraId="00D282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41" w:type="pct"/>
                  <w:vMerge w:val="restart"/>
                  <w:tcBorders>
                    <w:tl2br w:val="nil"/>
                    <w:tr2bl w:val="nil"/>
                  </w:tcBorders>
                  <w:vAlign w:val="center"/>
                </w:tcPr>
                <w:p w14:paraId="6601E889">
                  <w:pPr>
                    <w:ind w:left="-105" w:leftChars="-50" w:right="-105" w:rightChars="-50"/>
                    <w:jc w:val="center"/>
                    <w:rPr>
                      <w:szCs w:val="21"/>
                    </w:rPr>
                  </w:pPr>
                  <w:r>
                    <w:rPr>
                      <w:rFonts w:hint="eastAsia"/>
                      <w:szCs w:val="21"/>
                    </w:rPr>
                    <w:t>生活污水（</w:t>
                  </w:r>
                  <w:r>
                    <w:rPr>
                      <w:rFonts w:hint="eastAsia"/>
                      <w:szCs w:val="21"/>
                      <w:lang w:val="en-US" w:eastAsia="zh-CN"/>
                    </w:rPr>
                    <w:t>180</w:t>
                  </w:r>
                  <w:r>
                    <w:rPr>
                      <w:szCs w:val="21"/>
                    </w:rPr>
                    <w:t>t/a</w:t>
                  </w:r>
                  <w:r>
                    <w:rPr>
                      <w:rFonts w:hint="eastAsia"/>
                      <w:szCs w:val="21"/>
                    </w:rPr>
                    <w:t>）</w:t>
                  </w:r>
                </w:p>
              </w:tc>
              <w:tc>
                <w:tcPr>
                  <w:tcW w:w="463" w:type="pct"/>
                  <w:tcBorders>
                    <w:tl2br w:val="nil"/>
                    <w:tr2bl w:val="nil"/>
                  </w:tcBorders>
                  <w:vAlign w:val="center"/>
                </w:tcPr>
                <w:p w14:paraId="7242CFE5">
                  <w:pPr>
                    <w:ind w:left="-105" w:leftChars="-50" w:right="-105" w:rightChars="-50"/>
                    <w:jc w:val="center"/>
                    <w:rPr>
                      <w:szCs w:val="21"/>
                    </w:rPr>
                  </w:pPr>
                  <w:r>
                    <w:rPr>
                      <w:rFonts w:hint="eastAsia"/>
                      <w:szCs w:val="21"/>
                    </w:rPr>
                    <w:t>p</w:t>
                  </w:r>
                  <w:r>
                    <w:rPr>
                      <w:szCs w:val="21"/>
                    </w:rPr>
                    <w:t>H</w:t>
                  </w:r>
                </w:p>
              </w:tc>
              <w:tc>
                <w:tcPr>
                  <w:tcW w:w="526" w:type="pct"/>
                  <w:tcBorders>
                    <w:tl2br w:val="nil"/>
                    <w:tr2bl w:val="nil"/>
                  </w:tcBorders>
                  <w:vAlign w:val="center"/>
                </w:tcPr>
                <w:p w14:paraId="082E7543">
                  <w:pPr>
                    <w:ind w:left="-105" w:leftChars="-50" w:right="-105" w:rightChars="-50"/>
                    <w:jc w:val="center"/>
                    <w:rPr>
                      <w:szCs w:val="21"/>
                    </w:rPr>
                  </w:pPr>
                  <w:r>
                    <w:rPr>
                      <w:szCs w:val="21"/>
                    </w:rPr>
                    <w:t>6~9</w:t>
                  </w:r>
                </w:p>
              </w:tc>
              <w:tc>
                <w:tcPr>
                  <w:tcW w:w="615" w:type="pct"/>
                  <w:tcBorders>
                    <w:tl2br w:val="nil"/>
                    <w:tr2bl w:val="nil"/>
                  </w:tcBorders>
                  <w:vAlign w:val="center"/>
                </w:tcPr>
                <w:p w14:paraId="7955428F">
                  <w:pPr>
                    <w:jc w:val="center"/>
                    <w:rPr>
                      <w:szCs w:val="21"/>
                    </w:rPr>
                  </w:pPr>
                  <w:r>
                    <w:rPr>
                      <w:szCs w:val="21"/>
                    </w:rPr>
                    <w:t>/</w:t>
                  </w:r>
                </w:p>
              </w:tc>
              <w:tc>
                <w:tcPr>
                  <w:tcW w:w="580" w:type="pct"/>
                  <w:vMerge w:val="restart"/>
                  <w:tcBorders>
                    <w:tl2br w:val="nil"/>
                    <w:tr2bl w:val="nil"/>
                  </w:tcBorders>
                  <w:vAlign w:val="center"/>
                </w:tcPr>
                <w:p w14:paraId="56E76321">
                  <w:pPr>
                    <w:ind w:left="-105" w:leftChars="-50" w:right="-105" w:rightChars="-50"/>
                    <w:jc w:val="center"/>
                    <w:rPr>
                      <w:szCs w:val="21"/>
                    </w:rPr>
                  </w:pPr>
                  <w:r>
                    <w:rPr>
                      <w:rFonts w:hint="eastAsia"/>
                      <w:szCs w:val="21"/>
                    </w:rPr>
                    <w:t>化粪池</w:t>
                  </w:r>
                </w:p>
              </w:tc>
              <w:tc>
                <w:tcPr>
                  <w:tcW w:w="526" w:type="pct"/>
                  <w:tcBorders>
                    <w:tl2br w:val="nil"/>
                    <w:tr2bl w:val="nil"/>
                  </w:tcBorders>
                  <w:vAlign w:val="center"/>
                </w:tcPr>
                <w:p w14:paraId="05D2DA82">
                  <w:pPr>
                    <w:ind w:left="-105" w:leftChars="-50" w:right="-105" w:rightChars="-50"/>
                    <w:jc w:val="center"/>
                    <w:rPr>
                      <w:szCs w:val="21"/>
                    </w:rPr>
                  </w:pPr>
                  <w:r>
                    <w:rPr>
                      <w:szCs w:val="21"/>
                    </w:rPr>
                    <w:t>6~9</w:t>
                  </w:r>
                </w:p>
              </w:tc>
              <w:tc>
                <w:tcPr>
                  <w:tcW w:w="615" w:type="pct"/>
                  <w:tcBorders>
                    <w:tl2br w:val="nil"/>
                    <w:tr2bl w:val="nil"/>
                  </w:tcBorders>
                  <w:vAlign w:val="center"/>
                </w:tcPr>
                <w:p w14:paraId="051567D3">
                  <w:pPr>
                    <w:jc w:val="center"/>
                    <w:rPr>
                      <w:szCs w:val="21"/>
                    </w:rPr>
                  </w:pPr>
                  <w:r>
                    <w:rPr>
                      <w:szCs w:val="21"/>
                    </w:rPr>
                    <w:t>/</w:t>
                  </w:r>
                </w:p>
              </w:tc>
              <w:tc>
                <w:tcPr>
                  <w:tcW w:w="526" w:type="pct"/>
                  <w:tcBorders>
                    <w:tl2br w:val="nil"/>
                    <w:tr2bl w:val="nil"/>
                  </w:tcBorders>
                  <w:vAlign w:val="center"/>
                </w:tcPr>
                <w:p w14:paraId="213CBEC7">
                  <w:pPr>
                    <w:ind w:left="-105" w:leftChars="-50" w:right="-105" w:rightChars="-50"/>
                    <w:jc w:val="center"/>
                    <w:rPr>
                      <w:szCs w:val="21"/>
                    </w:rPr>
                  </w:pPr>
                  <w:r>
                    <w:rPr>
                      <w:rFonts w:hint="eastAsia"/>
                      <w:szCs w:val="21"/>
                    </w:rPr>
                    <w:t>/</w:t>
                  </w:r>
                </w:p>
              </w:tc>
              <w:tc>
                <w:tcPr>
                  <w:tcW w:w="503" w:type="pct"/>
                  <w:tcBorders>
                    <w:tl2br w:val="nil"/>
                    <w:tr2bl w:val="nil"/>
                  </w:tcBorders>
                  <w:vAlign w:val="center"/>
                </w:tcPr>
                <w:p w14:paraId="326FA9D1">
                  <w:pPr>
                    <w:ind w:left="-105" w:leftChars="-50" w:right="-105" w:rightChars="-50"/>
                    <w:jc w:val="center"/>
                    <w:rPr>
                      <w:szCs w:val="21"/>
                    </w:rPr>
                  </w:pPr>
                  <w:r>
                    <w:rPr>
                      <w:szCs w:val="21"/>
                    </w:rPr>
                    <w:t>/</w:t>
                  </w:r>
                </w:p>
              </w:tc>
            </w:tr>
            <w:tr w14:paraId="22614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41" w:type="pct"/>
                  <w:vMerge w:val="continue"/>
                  <w:tcBorders>
                    <w:tl2br w:val="nil"/>
                    <w:tr2bl w:val="nil"/>
                  </w:tcBorders>
                  <w:vAlign w:val="center"/>
                </w:tcPr>
                <w:p w14:paraId="26E099B5">
                  <w:pPr>
                    <w:ind w:left="-105" w:leftChars="-50" w:right="-105" w:rightChars="-50"/>
                    <w:jc w:val="center"/>
                    <w:rPr>
                      <w:szCs w:val="21"/>
                    </w:rPr>
                  </w:pPr>
                </w:p>
              </w:tc>
              <w:tc>
                <w:tcPr>
                  <w:tcW w:w="463" w:type="pct"/>
                  <w:tcBorders>
                    <w:tl2br w:val="nil"/>
                    <w:tr2bl w:val="nil"/>
                  </w:tcBorders>
                  <w:vAlign w:val="center"/>
                </w:tcPr>
                <w:p w14:paraId="11757FC3">
                  <w:pPr>
                    <w:ind w:left="-105" w:leftChars="-50" w:right="-105" w:rightChars="-50"/>
                    <w:jc w:val="center"/>
                    <w:rPr>
                      <w:szCs w:val="21"/>
                    </w:rPr>
                  </w:pPr>
                  <w:r>
                    <w:rPr>
                      <w:szCs w:val="21"/>
                    </w:rPr>
                    <w:t>COD</w:t>
                  </w:r>
                </w:p>
              </w:tc>
              <w:tc>
                <w:tcPr>
                  <w:tcW w:w="526" w:type="pct"/>
                  <w:tcBorders>
                    <w:tl2br w:val="nil"/>
                    <w:tr2bl w:val="nil"/>
                  </w:tcBorders>
                  <w:vAlign w:val="center"/>
                </w:tcPr>
                <w:p w14:paraId="63B313FF">
                  <w:pPr>
                    <w:ind w:left="-105" w:leftChars="-50" w:right="-105" w:rightChars="-50"/>
                    <w:jc w:val="center"/>
                    <w:rPr>
                      <w:rFonts w:hint="default" w:eastAsia="宋体"/>
                      <w:szCs w:val="21"/>
                      <w:lang w:val="en-US" w:eastAsia="zh-CN"/>
                    </w:rPr>
                  </w:pPr>
                  <w:r>
                    <w:rPr>
                      <w:rFonts w:hint="eastAsia"/>
                      <w:szCs w:val="21"/>
                      <w:lang w:val="en-US" w:eastAsia="zh-CN"/>
                    </w:rPr>
                    <w:t>350</w:t>
                  </w:r>
                </w:p>
              </w:tc>
              <w:tc>
                <w:tcPr>
                  <w:tcW w:w="1128" w:type="dxa"/>
                  <w:tcBorders>
                    <w:tl2br w:val="nil"/>
                    <w:tr2bl w:val="nil"/>
                  </w:tcBorders>
                  <w:vAlign w:val="center"/>
                </w:tcPr>
                <w:p w14:paraId="68131003">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0.063</w:t>
                  </w:r>
                </w:p>
              </w:tc>
              <w:tc>
                <w:tcPr>
                  <w:tcW w:w="580" w:type="pct"/>
                  <w:vMerge w:val="continue"/>
                  <w:tcBorders>
                    <w:tl2br w:val="nil"/>
                    <w:tr2bl w:val="nil"/>
                  </w:tcBorders>
                  <w:vAlign w:val="center"/>
                </w:tcPr>
                <w:p w14:paraId="3E5A3AAD">
                  <w:pPr>
                    <w:ind w:left="-105" w:leftChars="-50" w:right="-105" w:rightChars="-50"/>
                    <w:jc w:val="center"/>
                    <w:rPr>
                      <w:szCs w:val="21"/>
                    </w:rPr>
                  </w:pPr>
                </w:p>
              </w:tc>
              <w:tc>
                <w:tcPr>
                  <w:tcW w:w="526" w:type="pct"/>
                  <w:tcBorders>
                    <w:tl2br w:val="nil"/>
                    <w:tr2bl w:val="nil"/>
                  </w:tcBorders>
                  <w:vAlign w:val="center"/>
                </w:tcPr>
                <w:p w14:paraId="2689D4CB">
                  <w:pPr>
                    <w:ind w:left="-105" w:leftChars="-50" w:right="-105" w:rightChars="-50"/>
                    <w:jc w:val="center"/>
                    <w:rPr>
                      <w:rFonts w:hint="default" w:eastAsia="宋体"/>
                      <w:szCs w:val="21"/>
                      <w:lang w:val="en-US" w:eastAsia="zh-CN"/>
                    </w:rPr>
                  </w:pPr>
                  <w:r>
                    <w:rPr>
                      <w:rFonts w:hint="eastAsia"/>
                      <w:szCs w:val="21"/>
                      <w:lang w:val="en-US" w:eastAsia="zh-CN"/>
                    </w:rPr>
                    <w:t>300</w:t>
                  </w:r>
                </w:p>
              </w:tc>
              <w:tc>
                <w:tcPr>
                  <w:tcW w:w="1128" w:type="dxa"/>
                  <w:tcBorders>
                    <w:tl2br w:val="nil"/>
                    <w:tr2bl w:val="nil"/>
                  </w:tcBorders>
                  <w:vAlign w:val="center"/>
                </w:tcPr>
                <w:p w14:paraId="10B53056">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0.054</w:t>
                  </w:r>
                </w:p>
              </w:tc>
              <w:tc>
                <w:tcPr>
                  <w:tcW w:w="526" w:type="pct"/>
                  <w:tcBorders>
                    <w:tl2br w:val="nil"/>
                    <w:tr2bl w:val="nil"/>
                  </w:tcBorders>
                  <w:vAlign w:val="center"/>
                </w:tcPr>
                <w:p w14:paraId="120C1CC0">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50</w:t>
                  </w:r>
                </w:p>
              </w:tc>
              <w:tc>
                <w:tcPr>
                  <w:tcW w:w="925" w:type="dxa"/>
                  <w:tcBorders>
                    <w:tl2br w:val="nil"/>
                    <w:tr2bl w:val="nil"/>
                  </w:tcBorders>
                  <w:vAlign w:val="center"/>
                </w:tcPr>
                <w:p w14:paraId="75B7AC7E">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0.009</w:t>
                  </w:r>
                </w:p>
              </w:tc>
            </w:tr>
            <w:tr w14:paraId="7C193E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41" w:type="pct"/>
                  <w:vMerge w:val="continue"/>
                  <w:tcBorders>
                    <w:tl2br w:val="nil"/>
                    <w:tr2bl w:val="nil"/>
                  </w:tcBorders>
                  <w:vAlign w:val="center"/>
                </w:tcPr>
                <w:p w14:paraId="08F538E3">
                  <w:pPr>
                    <w:ind w:left="-105" w:leftChars="-50" w:right="-105" w:rightChars="-50"/>
                    <w:jc w:val="center"/>
                    <w:rPr>
                      <w:szCs w:val="21"/>
                    </w:rPr>
                  </w:pPr>
                </w:p>
              </w:tc>
              <w:tc>
                <w:tcPr>
                  <w:tcW w:w="463" w:type="pct"/>
                  <w:tcBorders>
                    <w:tl2br w:val="nil"/>
                    <w:tr2bl w:val="nil"/>
                  </w:tcBorders>
                  <w:vAlign w:val="center"/>
                </w:tcPr>
                <w:p w14:paraId="42940946">
                  <w:pPr>
                    <w:ind w:left="-105" w:leftChars="-50" w:right="-105" w:rightChars="-50"/>
                    <w:jc w:val="center"/>
                    <w:rPr>
                      <w:szCs w:val="21"/>
                    </w:rPr>
                  </w:pPr>
                  <w:r>
                    <w:rPr>
                      <w:rFonts w:eastAsia="黑体"/>
                      <w:szCs w:val="21"/>
                    </w:rPr>
                    <w:t>BOD</w:t>
                  </w:r>
                  <w:r>
                    <w:rPr>
                      <w:rFonts w:eastAsia="黑体"/>
                      <w:szCs w:val="21"/>
                      <w:vertAlign w:val="subscript"/>
                    </w:rPr>
                    <w:t>5</w:t>
                  </w:r>
                </w:p>
              </w:tc>
              <w:tc>
                <w:tcPr>
                  <w:tcW w:w="526" w:type="pct"/>
                  <w:tcBorders>
                    <w:tl2br w:val="nil"/>
                    <w:tr2bl w:val="nil"/>
                  </w:tcBorders>
                  <w:vAlign w:val="center"/>
                </w:tcPr>
                <w:p w14:paraId="44348DBC">
                  <w:pPr>
                    <w:ind w:left="-105" w:leftChars="-50" w:right="-105" w:rightChars="-50"/>
                    <w:jc w:val="center"/>
                    <w:rPr>
                      <w:rFonts w:hint="default" w:eastAsia="宋体"/>
                      <w:szCs w:val="21"/>
                      <w:lang w:val="en-US" w:eastAsia="zh-CN"/>
                    </w:rPr>
                  </w:pPr>
                  <w:r>
                    <w:rPr>
                      <w:rFonts w:hint="eastAsia"/>
                      <w:szCs w:val="21"/>
                      <w:lang w:val="en-US" w:eastAsia="zh-CN"/>
                    </w:rPr>
                    <w:t>250</w:t>
                  </w:r>
                </w:p>
              </w:tc>
              <w:tc>
                <w:tcPr>
                  <w:tcW w:w="1128" w:type="dxa"/>
                  <w:tcBorders>
                    <w:tl2br w:val="nil"/>
                    <w:tr2bl w:val="nil"/>
                  </w:tcBorders>
                  <w:vAlign w:val="center"/>
                </w:tcPr>
                <w:p w14:paraId="2F2E2DD4">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0.045</w:t>
                  </w:r>
                </w:p>
              </w:tc>
              <w:tc>
                <w:tcPr>
                  <w:tcW w:w="580" w:type="pct"/>
                  <w:vMerge w:val="continue"/>
                  <w:tcBorders>
                    <w:tl2br w:val="nil"/>
                    <w:tr2bl w:val="nil"/>
                  </w:tcBorders>
                  <w:vAlign w:val="center"/>
                </w:tcPr>
                <w:p w14:paraId="19A0F143">
                  <w:pPr>
                    <w:ind w:left="-105" w:leftChars="-50" w:right="-105" w:rightChars="-50"/>
                    <w:jc w:val="center"/>
                    <w:rPr>
                      <w:szCs w:val="21"/>
                    </w:rPr>
                  </w:pPr>
                </w:p>
              </w:tc>
              <w:tc>
                <w:tcPr>
                  <w:tcW w:w="526" w:type="pct"/>
                  <w:tcBorders>
                    <w:tl2br w:val="nil"/>
                    <w:tr2bl w:val="nil"/>
                  </w:tcBorders>
                  <w:vAlign w:val="center"/>
                </w:tcPr>
                <w:p w14:paraId="4E54699C">
                  <w:pPr>
                    <w:ind w:left="-105" w:leftChars="-50" w:right="-105" w:rightChars="-50"/>
                    <w:jc w:val="center"/>
                    <w:rPr>
                      <w:szCs w:val="21"/>
                    </w:rPr>
                  </w:pPr>
                  <w:r>
                    <w:rPr>
                      <w:szCs w:val="21"/>
                    </w:rPr>
                    <w:t>150</w:t>
                  </w:r>
                </w:p>
              </w:tc>
              <w:tc>
                <w:tcPr>
                  <w:tcW w:w="1128" w:type="dxa"/>
                  <w:tcBorders>
                    <w:tl2br w:val="nil"/>
                    <w:tr2bl w:val="nil"/>
                  </w:tcBorders>
                  <w:vAlign w:val="center"/>
                </w:tcPr>
                <w:p w14:paraId="17647073">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0.027</w:t>
                  </w:r>
                </w:p>
              </w:tc>
              <w:tc>
                <w:tcPr>
                  <w:tcW w:w="526" w:type="pct"/>
                  <w:tcBorders>
                    <w:tl2br w:val="nil"/>
                    <w:tr2bl w:val="nil"/>
                  </w:tcBorders>
                  <w:vAlign w:val="center"/>
                </w:tcPr>
                <w:p w14:paraId="033A990A">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925" w:type="dxa"/>
                  <w:tcBorders>
                    <w:tl2br w:val="nil"/>
                    <w:tr2bl w:val="nil"/>
                  </w:tcBorders>
                  <w:vAlign w:val="center"/>
                </w:tcPr>
                <w:p w14:paraId="7A0DBD04">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0.0018</w:t>
                  </w:r>
                </w:p>
              </w:tc>
            </w:tr>
            <w:tr w14:paraId="700FA5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41" w:type="pct"/>
                  <w:vMerge w:val="continue"/>
                  <w:tcBorders>
                    <w:tl2br w:val="nil"/>
                    <w:tr2bl w:val="nil"/>
                  </w:tcBorders>
                  <w:vAlign w:val="center"/>
                </w:tcPr>
                <w:p w14:paraId="6F92361E">
                  <w:pPr>
                    <w:ind w:left="-105" w:leftChars="-50" w:right="-105" w:rightChars="-50"/>
                    <w:jc w:val="center"/>
                    <w:rPr>
                      <w:szCs w:val="21"/>
                    </w:rPr>
                  </w:pPr>
                </w:p>
              </w:tc>
              <w:tc>
                <w:tcPr>
                  <w:tcW w:w="463" w:type="pct"/>
                  <w:tcBorders>
                    <w:tl2br w:val="nil"/>
                    <w:tr2bl w:val="nil"/>
                  </w:tcBorders>
                  <w:vAlign w:val="center"/>
                </w:tcPr>
                <w:p w14:paraId="5732FE61">
                  <w:pPr>
                    <w:ind w:left="-105" w:leftChars="-50" w:right="-105" w:rightChars="-50"/>
                    <w:jc w:val="center"/>
                    <w:rPr>
                      <w:szCs w:val="21"/>
                    </w:rPr>
                  </w:pPr>
                  <w:r>
                    <w:rPr>
                      <w:rFonts w:hint="eastAsia"/>
                      <w:szCs w:val="21"/>
                    </w:rPr>
                    <w:t>氨氮</w:t>
                  </w:r>
                </w:p>
              </w:tc>
              <w:tc>
                <w:tcPr>
                  <w:tcW w:w="526" w:type="pct"/>
                  <w:tcBorders>
                    <w:tl2br w:val="nil"/>
                    <w:tr2bl w:val="nil"/>
                  </w:tcBorders>
                  <w:vAlign w:val="center"/>
                </w:tcPr>
                <w:p w14:paraId="5A55B537">
                  <w:pPr>
                    <w:ind w:left="-105" w:leftChars="-50" w:right="-105" w:rightChars="-50"/>
                    <w:jc w:val="center"/>
                    <w:rPr>
                      <w:rFonts w:hint="default" w:eastAsia="宋体"/>
                      <w:szCs w:val="21"/>
                      <w:lang w:val="en-US" w:eastAsia="zh-CN"/>
                    </w:rPr>
                  </w:pPr>
                  <w:r>
                    <w:rPr>
                      <w:rFonts w:hint="eastAsia"/>
                      <w:szCs w:val="21"/>
                      <w:lang w:val="en-US" w:eastAsia="zh-CN"/>
                    </w:rPr>
                    <w:t>35</w:t>
                  </w:r>
                </w:p>
              </w:tc>
              <w:tc>
                <w:tcPr>
                  <w:tcW w:w="1128" w:type="dxa"/>
                  <w:tcBorders>
                    <w:tl2br w:val="nil"/>
                    <w:tr2bl w:val="nil"/>
                  </w:tcBorders>
                  <w:vAlign w:val="center"/>
                </w:tcPr>
                <w:p w14:paraId="2515E0FD">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0.0063</w:t>
                  </w:r>
                </w:p>
              </w:tc>
              <w:tc>
                <w:tcPr>
                  <w:tcW w:w="580" w:type="pct"/>
                  <w:vMerge w:val="continue"/>
                  <w:tcBorders>
                    <w:tl2br w:val="nil"/>
                    <w:tr2bl w:val="nil"/>
                  </w:tcBorders>
                  <w:vAlign w:val="center"/>
                </w:tcPr>
                <w:p w14:paraId="536513DD">
                  <w:pPr>
                    <w:ind w:left="-105" w:leftChars="-50" w:right="-105" w:rightChars="-50"/>
                    <w:jc w:val="center"/>
                    <w:rPr>
                      <w:szCs w:val="21"/>
                    </w:rPr>
                  </w:pPr>
                </w:p>
              </w:tc>
              <w:tc>
                <w:tcPr>
                  <w:tcW w:w="526" w:type="pct"/>
                  <w:tcBorders>
                    <w:tl2br w:val="nil"/>
                    <w:tr2bl w:val="nil"/>
                  </w:tcBorders>
                  <w:vAlign w:val="center"/>
                </w:tcPr>
                <w:p w14:paraId="67B7E9D6">
                  <w:pPr>
                    <w:ind w:left="-105" w:leftChars="-50" w:right="-105" w:rightChars="-50"/>
                    <w:jc w:val="center"/>
                    <w:rPr>
                      <w:rFonts w:hint="default" w:eastAsia="宋体"/>
                      <w:szCs w:val="21"/>
                      <w:lang w:val="en-US" w:eastAsia="zh-CN"/>
                    </w:rPr>
                  </w:pPr>
                  <w:r>
                    <w:rPr>
                      <w:rFonts w:hint="eastAsia"/>
                      <w:szCs w:val="21"/>
                      <w:lang w:val="en-US" w:eastAsia="zh-CN"/>
                    </w:rPr>
                    <w:t>35</w:t>
                  </w:r>
                </w:p>
              </w:tc>
              <w:tc>
                <w:tcPr>
                  <w:tcW w:w="1128" w:type="dxa"/>
                  <w:tcBorders>
                    <w:tl2br w:val="nil"/>
                    <w:tr2bl w:val="nil"/>
                  </w:tcBorders>
                  <w:vAlign w:val="center"/>
                </w:tcPr>
                <w:p w14:paraId="1592ADCE">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0.0063</w:t>
                  </w:r>
                </w:p>
              </w:tc>
              <w:tc>
                <w:tcPr>
                  <w:tcW w:w="526" w:type="pct"/>
                  <w:tcBorders>
                    <w:tl2br w:val="nil"/>
                    <w:tr2bl w:val="nil"/>
                  </w:tcBorders>
                  <w:vAlign w:val="center"/>
                </w:tcPr>
                <w:p w14:paraId="3722835D">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w:t>
                  </w:r>
                </w:p>
              </w:tc>
              <w:tc>
                <w:tcPr>
                  <w:tcW w:w="925" w:type="dxa"/>
                  <w:tcBorders>
                    <w:tl2br w:val="nil"/>
                    <w:tr2bl w:val="nil"/>
                  </w:tcBorders>
                  <w:vAlign w:val="center"/>
                </w:tcPr>
                <w:p w14:paraId="42166439">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0.0009</w:t>
                  </w:r>
                </w:p>
              </w:tc>
            </w:tr>
            <w:tr w14:paraId="4100CF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41" w:type="pct"/>
                  <w:vMerge w:val="continue"/>
                  <w:tcBorders>
                    <w:tl2br w:val="nil"/>
                    <w:tr2bl w:val="nil"/>
                  </w:tcBorders>
                  <w:vAlign w:val="center"/>
                </w:tcPr>
                <w:p w14:paraId="23506541">
                  <w:pPr>
                    <w:ind w:left="-105" w:leftChars="-50" w:right="-105" w:rightChars="-50"/>
                    <w:jc w:val="center"/>
                    <w:rPr>
                      <w:szCs w:val="21"/>
                    </w:rPr>
                  </w:pPr>
                </w:p>
              </w:tc>
              <w:tc>
                <w:tcPr>
                  <w:tcW w:w="463" w:type="pct"/>
                  <w:tcBorders>
                    <w:tl2br w:val="nil"/>
                    <w:tr2bl w:val="nil"/>
                  </w:tcBorders>
                  <w:vAlign w:val="center"/>
                </w:tcPr>
                <w:p w14:paraId="5E492888">
                  <w:pPr>
                    <w:ind w:left="-105" w:leftChars="-50" w:right="-105" w:rightChars="-50"/>
                    <w:jc w:val="center"/>
                    <w:rPr>
                      <w:szCs w:val="21"/>
                    </w:rPr>
                  </w:pPr>
                  <w:r>
                    <w:rPr>
                      <w:szCs w:val="21"/>
                    </w:rPr>
                    <w:t>SS</w:t>
                  </w:r>
                </w:p>
              </w:tc>
              <w:tc>
                <w:tcPr>
                  <w:tcW w:w="526" w:type="pct"/>
                  <w:tcBorders>
                    <w:tl2br w:val="nil"/>
                    <w:tr2bl w:val="nil"/>
                  </w:tcBorders>
                  <w:vAlign w:val="center"/>
                </w:tcPr>
                <w:p w14:paraId="37A4D2E8">
                  <w:pPr>
                    <w:ind w:left="-105" w:leftChars="-50" w:right="-105" w:rightChars="-50"/>
                    <w:jc w:val="center"/>
                    <w:rPr>
                      <w:rFonts w:hint="default" w:eastAsia="宋体"/>
                      <w:szCs w:val="21"/>
                      <w:lang w:val="en-US" w:eastAsia="zh-CN"/>
                    </w:rPr>
                  </w:pPr>
                  <w:r>
                    <w:rPr>
                      <w:rFonts w:hint="eastAsia"/>
                      <w:szCs w:val="21"/>
                      <w:lang w:val="en-US" w:eastAsia="zh-CN"/>
                    </w:rPr>
                    <w:t>300</w:t>
                  </w:r>
                </w:p>
              </w:tc>
              <w:tc>
                <w:tcPr>
                  <w:tcW w:w="1128" w:type="dxa"/>
                  <w:tcBorders>
                    <w:tl2br w:val="nil"/>
                    <w:tr2bl w:val="nil"/>
                  </w:tcBorders>
                  <w:vAlign w:val="center"/>
                </w:tcPr>
                <w:p w14:paraId="493BDE87">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0.054</w:t>
                  </w:r>
                </w:p>
              </w:tc>
              <w:tc>
                <w:tcPr>
                  <w:tcW w:w="580" w:type="pct"/>
                  <w:vMerge w:val="continue"/>
                  <w:tcBorders>
                    <w:tl2br w:val="nil"/>
                    <w:tr2bl w:val="nil"/>
                  </w:tcBorders>
                  <w:vAlign w:val="center"/>
                </w:tcPr>
                <w:p w14:paraId="18D4CF7D">
                  <w:pPr>
                    <w:ind w:left="-105" w:leftChars="-50" w:right="-105" w:rightChars="-50"/>
                    <w:jc w:val="center"/>
                    <w:rPr>
                      <w:szCs w:val="21"/>
                    </w:rPr>
                  </w:pPr>
                </w:p>
              </w:tc>
              <w:tc>
                <w:tcPr>
                  <w:tcW w:w="526" w:type="pct"/>
                  <w:tcBorders>
                    <w:tl2br w:val="nil"/>
                    <w:tr2bl w:val="nil"/>
                  </w:tcBorders>
                  <w:vAlign w:val="center"/>
                </w:tcPr>
                <w:p w14:paraId="3728BE36">
                  <w:pPr>
                    <w:ind w:left="-105" w:leftChars="-50" w:right="-105" w:rightChars="-50"/>
                    <w:jc w:val="center"/>
                    <w:rPr>
                      <w:szCs w:val="21"/>
                    </w:rPr>
                  </w:pPr>
                  <w:r>
                    <w:rPr>
                      <w:szCs w:val="21"/>
                    </w:rPr>
                    <w:t>160</w:t>
                  </w:r>
                </w:p>
              </w:tc>
              <w:tc>
                <w:tcPr>
                  <w:tcW w:w="1128" w:type="dxa"/>
                  <w:tcBorders>
                    <w:tl2br w:val="nil"/>
                    <w:tr2bl w:val="nil"/>
                  </w:tcBorders>
                  <w:vAlign w:val="center"/>
                </w:tcPr>
                <w:p w14:paraId="3115E241">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0.0288</w:t>
                  </w:r>
                </w:p>
              </w:tc>
              <w:tc>
                <w:tcPr>
                  <w:tcW w:w="526" w:type="pct"/>
                  <w:tcBorders>
                    <w:tl2br w:val="nil"/>
                    <w:tr2bl w:val="nil"/>
                  </w:tcBorders>
                  <w:vAlign w:val="center"/>
                </w:tcPr>
                <w:p w14:paraId="2F9599C7">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925" w:type="dxa"/>
                  <w:tcBorders>
                    <w:tl2br w:val="nil"/>
                    <w:tr2bl w:val="nil"/>
                  </w:tcBorders>
                  <w:vAlign w:val="center"/>
                </w:tcPr>
                <w:p w14:paraId="193929AF">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0.0018</w:t>
                  </w:r>
                </w:p>
              </w:tc>
            </w:tr>
          </w:tbl>
          <w:p w14:paraId="572552CA">
            <w:pPr>
              <w:adjustRightInd w:val="0"/>
              <w:spacing w:before="100" w:beforeAutospacing="1" w:line="360" w:lineRule="auto"/>
              <w:ind w:firstLine="480" w:firstLineChars="200"/>
              <w:jc w:val="left"/>
              <w:rPr>
                <w:sz w:val="24"/>
              </w:rPr>
            </w:pPr>
            <w:r>
              <w:rPr>
                <w:sz w:val="24"/>
              </w:rPr>
              <w:t>本项目</w:t>
            </w:r>
            <w:r>
              <w:rPr>
                <w:rFonts w:hint="eastAsia"/>
                <w:sz w:val="24"/>
              </w:rPr>
              <w:t>生活污水经化粪池处理达《污水综合</w:t>
            </w:r>
            <w:r>
              <w:rPr>
                <w:sz w:val="24"/>
              </w:rPr>
              <w:t>排放标准》（GB</w:t>
            </w:r>
            <w:r>
              <w:rPr>
                <w:rFonts w:hint="eastAsia"/>
                <w:sz w:val="24"/>
              </w:rPr>
              <w:t>8978</w:t>
            </w:r>
            <w:r>
              <w:rPr>
                <w:sz w:val="24"/>
              </w:rPr>
              <w:t>-</w:t>
            </w:r>
            <w:r>
              <w:rPr>
                <w:rFonts w:hint="eastAsia"/>
                <w:sz w:val="24"/>
              </w:rPr>
              <w:t>1996</w:t>
            </w:r>
            <w:r>
              <w:rPr>
                <w:sz w:val="24"/>
              </w:rPr>
              <w:t>）表</w:t>
            </w:r>
            <w:r>
              <w:rPr>
                <w:rFonts w:hint="eastAsia"/>
                <w:sz w:val="24"/>
              </w:rPr>
              <w:t>4三级</w:t>
            </w:r>
            <w:r>
              <w:rPr>
                <w:sz w:val="24"/>
              </w:rPr>
              <w:t>标准和</w:t>
            </w:r>
            <w:r>
              <w:rPr>
                <w:bCs/>
                <w:sz w:val="24"/>
                <w:szCs w:val="22"/>
              </w:rPr>
              <w:t>天门山污水处理厂纳管标准要求</w:t>
            </w:r>
            <w:r>
              <w:rPr>
                <w:rFonts w:hint="eastAsia"/>
                <w:sz w:val="24"/>
              </w:rPr>
              <w:t>后接管进入天门山污水处理厂集中处理，尾水最终排入长江。</w:t>
            </w:r>
          </w:p>
          <w:p w14:paraId="4DE601CC">
            <w:pPr>
              <w:spacing w:line="360" w:lineRule="auto"/>
              <w:ind w:firstLine="482" w:firstLineChars="200"/>
              <w:rPr>
                <w:b/>
                <w:sz w:val="24"/>
                <w:szCs w:val="28"/>
              </w:rPr>
            </w:pPr>
            <w:r>
              <w:rPr>
                <w:b/>
                <w:sz w:val="24"/>
                <w:szCs w:val="28"/>
              </w:rPr>
              <w:t>2</w:t>
            </w:r>
            <w:r>
              <w:rPr>
                <w:rFonts w:hint="eastAsia"/>
                <w:b/>
                <w:sz w:val="24"/>
                <w:szCs w:val="28"/>
              </w:rPr>
              <w:t>、天门山污水处理厂处理本项目废水可行性分析</w:t>
            </w:r>
          </w:p>
          <w:p w14:paraId="0BDFD6F7">
            <w:pPr>
              <w:widowControl/>
              <w:spacing w:line="360" w:lineRule="auto"/>
              <w:ind w:firstLine="360" w:firstLineChars="150"/>
              <w:jc w:val="left"/>
              <w:rPr>
                <w:kern w:val="0"/>
                <w:sz w:val="24"/>
              </w:rPr>
            </w:pPr>
            <w:r>
              <w:rPr>
                <w:kern w:val="0"/>
                <w:sz w:val="24"/>
              </w:rPr>
              <w:t>（1）天门山污水处理厂简</w:t>
            </w:r>
            <w:r>
              <w:rPr>
                <w:rFonts w:hint="eastAsia"/>
                <w:kern w:val="0"/>
                <w:sz w:val="24"/>
              </w:rPr>
              <w:t>介</w:t>
            </w:r>
          </w:p>
          <w:p w14:paraId="25466BC4">
            <w:pPr>
              <w:widowControl/>
              <w:spacing w:line="360" w:lineRule="auto"/>
              <w:ind w:firstLine="480" w:firstLineChars="200"/>
              <w:jc w:val="left"/>
              <w:rPr>
                <w:kern w:val="0"/>
                <w:sz w:val="24"/>
              </w:rPr>
            </w:pPr>
            <w:r>
              <w:rPr>
                <w:rFonts w:hint="eastAsia"/>
                <w:bCs/>
                <w:kern w:val="0"/>
                <w:sz w:val="24"/>
                <w:szCs w:val="20"/>
              </w:rPr>
              <w:t>天门山污水处理厂位于芜湖经济技术开发区凤鸣湖北路，服务范围：西起长江，南达青弋江，北边以四褐山－小马鞍山－李家山－龙头山－泰山路为界，东至扁担河，总面积约99km</w:t>
            </w:r>
            <w:r>
              <w:rPr>
                <w:rFonts w:hint="eastAsia"/>
                <w:bCs/>
                <w:kern w:val="0"/>
                <w:sz w:val="24"/>
                <w:szCs w:val="20"/>
                <w:vertAlign w:val="superscript"/>
              </w:rPr>
              <w:t>2</w:t>
            </w:r>
            <w:r>
              <w:rPr>
                <w:rFonts w:hint="eastAsia"/>
                <w:bCs/>
                <w:kern w:val="0"/>
                <w:sz w:val="24"/>
                <w:szCs w:val="20"/>
              </w:rPr>
              <w:t>。一期建设规模为污水处理量6万m</w:t>
            </w:r>
            <w:r>
              <w:rPr>
                <w:rFonts w:hint="eastAsia"/>
                <w:bCs/>
                <w:kern w:val="0"/>
                <w:sz w:val="24"/>
                <w:szCs w:val="20"/>
                <w:vertAlign w:val="superscript"/>
              </w:rPr>
              <w:t>3</w:t>
            </w:r>
            <w:r>
              <w:rPr>
                <w:rFonts w:hint="eastAsia"/>
                <w:bCs/>
                <w:kern w:val="0"/>
                <w:sz w:val="24"/>
                <w:szCs w:val="20"/>
              </w:rPr>
              <w:t>/d，二期扩建处理规模3万m</w:t>
            </w:r>
            <w:r>
              <w:rPr>
                <w:rFonts w:hint="eastAsia"/>
                <w:bCs/>
                <w:kern w:val="0"/>
                <w:sz w:val="24"/>
                <w:szCs w:val="20"/>
                <w:vertAlign w:val="superscript"/>
              </w:rPr>
              <w:t>3</w:t>
            </w:r>
            <w:r>
              <w:rPr>
                <w:rFonts w:hint="eastAsia"/>
                <w:bCs/>
                <w:kern w:val="0"/>
                <w:sz w:val="24"/>
                <w:szCs w:val="20"/>
              </w:rPr>
              <w:t>/d，进水由生活污水和工业废水两部分组成，生活污水和工业废水占比例约为40%和60%。采用</w:t>
            </w:r>
            <w:r>
              <w:rPr>
                <w:rFonts w:hint="eastAsia" w:ascii="宋体" w:hAnsi="宋体"/>
                <w:bCs/>
                <w:kern w:val="0"/>
                <w:sz w:val="24"/>
                <w:szCs w:val="20"/>
              </w:rPr>
              <w:t>“</w:t>
            </w:r>
            <w:r>
              <w:rPr>
                <w:rFonts w:hint="eastAsia"/>
                <w:bCs/>
                <w:kern w:val="0"/>
                <w:sz w:val="24"/>
                <w:szCs w:val="20"/>
              </w:rPr>
              <w:t>粗格栅及进水泵房＋细格栅及混凝沉淀+水解酸化+改良型A</w:t>
            </w:r>
            <w:r>
              <w:rPr>
                <w:rFonts w:hint="eastAsia"/>
                <w:bCs/>
                <w:kern w:val="0"/>
                <w:sz w:val="24"/>
                <w:szCs w:val="20"/>
                <w:vertAlign w:val="superscript"/>
              </w:rPr>
              <w:t>2</w:t>
            </w:r>
            <w:r>
              <w:rPr>
                <w:rFonts w:hint="eastAsia"/>
                <w:bCs/>
                <w:kern w:val="0"/>
                <w:sz w:val="24"/>
                <w:szCs w:val="20"/>
              </w:rPr>
              <w:t>O+磁混凝沉淀+臭氧接触+曝气生物滤池+V型过滤+消毒</w:t>
            </w:r>
            <w:r>
              <w:rPr>
                <w:rFonts w:hint="eastAsia" w:ascii="宋体" w:hAnsi="宋体"/>
                <w:bCs/>
                <w:kern w:val="0"/>
                <w:sz w:val="24"/>
                <w:szCs w:val="20"/>
              </w:rPr>
              <w:t>”</w:t>
            </w:r>
            <w:r>
              <w:rPr>
                <w:rFonts w:hint="eastAsia"/>
                <w:bCs/>
                <w:kern w:val="0"/>
                <w:sz w:val="24"/>
                <w:szCs w:val="20"/>
              </w:rPr>
              <w:t>工艺，出水水质满足《城镇污水处理厂污染物排放标准》（GB18918-2002）中一级A标准后外排沃特明渠，经过沃特明渠约2.5km净化后，随后由梨头尖泵站自流涵流入长江，在长江高水位时，经梨头尖泵站提升入长江。</w:t>
            </w:r>
          </w:p>
          <w:p w14:paraId="19A11439">
            <w:pPr>
              <w:widowControl/>
              <w:adjustRightInd w:val="0"/>
              <w:snapToGrid w:val="0"/>
              <w:spacing w:line="360" w:lineRule="auto"/>
              <w:ind w:firstLine="480" w:firstLineChars="200"/>
              <w:jc w:val="left"/>
              <w:rPr>
                <w:kern w:val="0"/>
                <w:sz w:val="24"/>
              </w:rPr>
            </w:pPr>
            <w:r>
              <w:rPr>
                <w:kern w:val="0"/>
                <w:sz w:val="24"/>
              </w:rPr>
              <w:t>（2）接管可行性分析</w:t>
            </w:r>
          </w:p>
          <w:p w14:paraId="53919643">
            <w:pPr>
              <w:widowControl/>
              <w:spacing w:line="360" w:lineRule="auto"/>
              <w:ind w:firstLine="480" w:firstLineChars="200"/>
              <w:jc w:val="left"/>
              <w:rPr>
                <w:kern w:val="0"/>
                <w:sz w:val="24"/>
              </w:rPr>
            </w:pPr>
            <w:r>
              <w:rPr>
                <w:kern w:val="0"/>
                <w:sz w:val="24"/>
              </w:rPr>
              <w:t>本项目建设完成后，废水排放量为</w:t>
            </w:r>
            <w:r>
              <w:rPr>
                <w:rFonts w:hint="eastAsia"/>
                <w:kern w:val="0"/>
                <w:sz w:val="24"/>
                <w:lang w:val="en-US" w:eastAsia="zh-CN"/>
              </w:rPr>
              <w:t>180</w:t>
            </w:r>
            <w:r>
              <w:rPr>
                <w:kern w:val="0"/>
                <w:sz w:val="24"/>
              </w:rPr>
              <w:t>t/a、0.</w:t>
            </w:r>
            <w:r>
              <w:rPr>
                <w:rFonts w:hint="eastAsia"/>
                <w:kern w:val="0"/>
                <w:sz w:val="24"/>
                <w:lang w:val="en-US" w:eastAsia="zh-CN"/>
              </w:rPr>
              <w:t>6</w:t>
            </w:r>
            <w:r>
              <w:rPr>
                <w:kern w:val="0"/>
                <w:sz w:val="24"/>
              </w:rPr>
              <w:t>t/d，占</w:t>
            </w:r>
            <w:r>
              <w:rPr>
                <w:bCs/>
                <w:kern w:val="0"/>
                <w:sz w:val="24"/>
                <w:szCs w:val="20"/>
              </w:rPr>
              <w:t>天门山污水处理厂</w:t>
            </w:r>
            <w:r>
              <w:rPr>
                <w:kern w:val="0"/>
                <w:sz w:val="24"/>
              </w:rPr>
              <w:t>二期处理规模的</w:t>
            </w:r>
            <w:r>
              <w:rPr>
                <w:rFonts w:hint="eastAsia"/>
                <w:kern w:val="0"/>
                <w:sz w:val="24"/>
                <w:lang w:val="en-US" w:eastAsia="zh-CN"/>
              </w:rPr>
              <w:t>0.002</w:t>
            </w:r>
            <w:r>
              <w:rPr>
                <w:kern w:val="0"/>
                <w:sz w:val="24"/>
              </w:rPr>
              <w:t>%。且本项目外排废水为生活污水，水质较为简单，因此，废水排入</w:t>
            </w:r>
            <w:r>
              <w:rPr>
                <w:bCs/>
                <w:kern w:val="0"/>
                <w:sz w:val="24"/>
                <w:szCs w:val="20"/>
              </w:rPr>
              <w:t>天门山污水处理厂</w:t>
            </w:r>
            <w:r>
              <w:rPr>
                <w:kern w:val="0"/>
                <w:sz w:val="24"/>
              </w:rPr>
              <w:t>，不会对污水厂造成符合冲击，经过污水厂处理后最终尾水排入长江，对长江水体的水质影响较小。</w:t>
            </w:r>
          </w:p>
          <w:p w14:paraId="133E7417">
            <w:pPr>
              <w:spacing w:line="360" w:lineRule="auto"/>
              <w:ind w:firstLine="480" w:firstLineChars="200"/>
              <w:rPr>
                <w:kern w:val="0"/>
                <w:sz w:val="24"/>
              </w:rPr>
            </w:pPr>
            <w:r>
              <w:rPr>
                <w:kern w:val="0"/>
                <w:sz w:val="24"/>
              </w:rPr>
              <w:t>在采取上述措施后，本项目废水排放对外环境的影响较小。</w:t>
            </w:r>
          </w:p>
          <w:p w14:paraId="5DF85179">
            <w:pPr>
              <w:widowControl/>
              <w:spacing w:line="360" w:lineRule="auto"/>
              <w:ind w:firstLine="482" w:firstLineChars="200"/>
              <w:jc w:val="left"/>
              <w:rPr>
                <w:b/>
                <w:kern w:val="0"/>
                <w:sz w:val="24"/>
              </w:rPr>
            </w:pPr>
            <w:r>
              <w:rPr>
                <w:b/>
                <w:kern w:val="0"/>
                <w:sz w:val="24"/>
              </w:rPr>
              <w:t>3</w:t>
            </w:r>
            <w:r>
              <w:rPr>
                <w:rFonts w:hint="eastAsia"/>
                <w:b/>
                <w:kern w:val="0"/>
                <w:sz w:val="24"/>
              </w:rPr>
              <w:t>、</w:t>
            </w:r>
            <w:r>
              <w:rPr>
                <w:b/>
                <w:kern w:val="0"/>
                <w:sz w:val="24"/>
              </w:rPr>
              <w:t>运营期</w:t>
            </w:r>
            <w:r>
              <w:rPr>
                <w:rFonts w:hint="eastAsia"/>
                <w:b/>
                <w:kern w:val="0"/>
                <w:sz w:val="24"/>
              </w:rPr>
              <w:t>废水</w:t>
            </w:r>
            <w:r>
              <w:rPr>
                <w:b/>
                <w:kern w:val="0"/>
                <w:sz w:val="24"/>
              </w:rPr>
              <w:t>监控计划</w:t>
            </w:r>
          </w:p>
          <w:p w14:paraId="1DB10C07">
            <w:pPr>
              <w:keepNext/>
              <w:keepLines/>
              <w:pageBreakBefore w:val="0"/>
              <w:widowControl w:val="0"/>
              <w:kinsoku/>
              <w:wordWrap/>
              <w:overflowPunct/>
              <w:topLinePunct w:val="0"/>
              <w:autoSpaceDE/>
              <w:autoSpaceDN/>
              <w:bidi w:val="0"/>
              <w:adjustRightInd/>
              <w:snapToGrid/>
              <w:spacing w:beforeAutospacing="0" w:line="360" w:lineRule="auto"/>
              <w:ind w:firstLine="480" w:firstLineChars="200"/>
              <w:textAlignment w:val="auto"/>
              <w:outlineLvl w:val="9"/>
              <w:rPr>
                <w:rFonts w:hint="eastAsia"/>
                <w:b w:val="0"/>
                <w:bCs w:val="0"/>
                <w:sz w:val="24"/>
                <w:szCs w:val="32"/>
              </w:rPr>
            </w:pPr>
            <w:r>
              <w:rPr>
                <w:rFonts w:hint="eastAsia"/>
                <w:b w:val="0"/>
                <w:bCs w:val="0"/>
                <w:sz w:val="24"/>
                <w:szCs w:val="32"/>
              </w:rPr>
              <w:t>项目属于[C2929]塑料零件及其他塑料制品制造，本项目属于“二十四、橡胶和塑料制品业 29”中“62. 塑料制品业 292”中的“其他”，属于登记管理，根据《排污许可证申请与核发技术规范 橡胶和塑料制品工业》（HJ1122—2020）中要求，单独排入公共污水处理系统的生活污水无需开展自行监测，但需要说明排放去向。因此本项目无废水监测计划。</w:t>
            </w:r>
          </w:p>
          <w:p w14:paraId="1F107D0E">
            <w:pPr>
              <w:keepNext/>
              <w:keepLines/>
              <w:pageBreakBefore w:val="0"/>
              <w:widowControl w:val="0"/>
              <w:kinsoku/>
              <w:wordWrap/>
              <w:overflowPunct/>
              <w:topLinePunct w:val="0"/>
              <w:autoSpaceDE/>
              <w:autoSpaceDN/>
              <w:bidi w:val="0"/>
              <w:adjustRightInd/>
              <w:snapToGrid/>
              <w:spacing w:beforeAutospacing="0" w:line="360" w:lineRule="auto"/>
              <w:ind w:firstLine="482" w:firstLineChars="200"/>
              <w:textAlignment w:val="auto"/>
              <w:outlineLvl w:val="2"/>
              <w:rPr>
                <w:b/>
                <w:bCs/>
                <w:sz w:val="24"/>
                <w:szCs w:val="32"/>
              </w:rPr>
            </w:pPr>
            <w:r>
              <w:rPr>
                <w:rFonts w:hint="eastAsia"/>
                <w:b/>
                <w:bCs/>
                <w:sz w:val="24"/>
                <w:szCs w:val="32"/>
              </w:rPr>
              <w:t>三、噪声环境影响和保护措施</w:t>
            </w:r>
          </w:p>
          <w:p w14:paraId="090E00A9">
            <w:pPr>
              <w:keepNext/>
              <w:keepLines/>
              <w:spacing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1、噪声源强</w:t>
            </w:r>
          </w:p>
          <w:p w14:paraId="7160F007">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建设项目噪声设备主要为生产设备、风机等机械噪声，单台噪声级7</w:t>
            </w:r>
            <w:r>
              <w:rPr>
                <w:rFonts w:ascii="Times New Roman" w:hAnsi="Times New Roman" w:eastAsia="宋体"/>
                <w:caps w:val="0"/>
                <w:color w:val="000000" w:themeColor="text1"/>
                <w:sz w:val="24"/>
                <w:szCs w:val="24"/>
                <w:highlight w:val="none"/>
                <w:lang w:val="de-DE"/>
                <w14:textFill>
                  <w14:solidFill>
                    <w14:schemeClr w14:val="tx1"/>
                  </w14:solidFill>
                </w14:textFill>
              </w:rPr>
              <w:t>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w:t>
            </w:r>
            <w:r>
              <w:rPr>
                <w:rFonts w:ascii="Times New Roman" w:hAnsi="Times New Roman" w:eastAsia="宋体"/>
                <w:caps w:val="0"/>
                <w:color w:val="000000" w:themeColor="text1"/>
                <w:sz w:val="24"/>
                <w:szCs w:val="24"/>
                <w:highlight w:val="none"/>
                <w:lang w:val="de-DE"/>
                <w14:textFill>
                  <w14:solidFill>
                    <w14:schemeClr w14:val="tx1"/>
                  </w14:solidFill>
                </w14:textFill>
              </w:rPr>
              <w:t>85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，主要高噪声设备均安装在厂房内，通过设备减振、厂房隔声等处理，降噪量可达</w:t>
            </w:r>
            <w:r>
              <w:rPr>
                <w:rFonts w:hint="eastAsia" w:ascii="Times New Roman" w:hAnsi="Times New Roman" w:eastAsia="宋体"/>
                <w:caps w:val="0"/>
                <w:color w:val="000000" w:themeColor="text1"/>
                <w:sz w:val="24"/>
                <w:szCs w:val="24"/>
                <w:highlight w:val="none"/>
                <w14:textFill>
                  <w14:solidFill>
                    <w14:schemeClr w14:val="tx1"/>
                  </w14:solidFill>
                </w14:textFill>
              </w:rPr>
              <w:t>20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dB（A）。</w:t>
            </w:r>
          </w:p>
          <w:p w14:paraId="5884F33E">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建设单位拟采取以下降噪措施：</w:t>
            </w:r>
          </w:p>
          <w:p w14:paraId="1A710796">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1）控制设备噪声</w:t>
            </w:r>
          </w:p>
          <w:p w14:paraId="4FE65084">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在设备选型时选用先进的低噪声设备，在满足工艺设计的前提下，尽量选用满足国际标准的低噪声、低振动型号的设备，降低噪声源强。</w:t>
            </w:r>
          </w:p>
          <w:p w14:paraId="17498E9B">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2）设备减振、隔声</w:t>
            </w:r>
          </w:p>
          <w:p w14:paraId="532D10E8">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在风机的进、出口处安装阻性消声器，并在机组与地基之间安置减震器，在风机与排气筒之间设置软连接，对风机采取配套的通风散热装置设置消声器，可降噪约10dB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4CE36AD3">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3）加强建筑物隔声措施</w:t>
            </w:r>
          </w:p>
          <w:p w14:paraId="494FCA56">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项目设备均安置在室内，有效利用了建筑隔声，并采取隔声材料制作门窗、墙体等，防止噪声的扩散和传播，采取隔声措施，降噪量约</w:t>
            </w:r>
            <w:r>
              <w:rPr>
                <w:rFonts w:hint="eastAsia" w:ascii="Times New Roman" w:hAnsi="Times New Roman" w:eastAsia="宋体"/>
                <w:caps w:val="0"/>
                <w:color w:val="000000" w:themeColor="text1"/>
                <w:sz w:val="24"/>
                <w:szCs w:val="24"/>
                <w:highlight w:val="none"/>
                <w14:textFill>
                  <w14:solidFill>
                    <w14:schemeClr w14:val="tx1"/>
                  </w14:solidFill>
                </w14:textFill>
              </w:rPr>
              <w:t>10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768FF2E3">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4）强化生产管理</w:t>
            </w:r>
          </w:p>
          <w:p w14:paraId="5C9BEFBF">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确保降噪设施的有效运行，并加强对生产设备的保养、检修与润滑，保证设备处于良好的运转状态。</w:t>
            </w:r>
          </w:p>
          <w:p w14:paraId="0E245A85">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5）合理布局</w:t>
            </w:r>
          </w:p>
          <w:p w14:paraId="6B5EC124">
            <w:pPr>
              <w:pStyle w:val="168"/>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项目将高噪声设备尽量布置在厂区中部，通过距离衰减减轻噪声对外环境的影响。</w:t>
            </w:r>
          </w:p>
          <w:p w14:paraId="7FAAA45A">
            <w:pPr>
              <w:autoSpaceDE w:val="0"/>
              <w:autoSpaceDN w:val="0"/>
              <w:adjustRightInd w:val="0"/>
              <w:spacing w:line="360" w:lineRule="auto"/>
              <w:ind w:firstLine="480" w:firstLineChars="200"/>
              <w:rPr>
                <w:sz w:val="24"/>
              </w:rPr>
            </w:pPr>
            <w:r>
              <w:rPr>
                <w:rFonts w:ascii="Times New Roman" w:hAnsi="Times New Roman" w:eastAsia="宋体"/>
                <w:caps w:val="0"/>
                <w:color w:val="000000" w:themeColor="text1"/>
                <w:sz w:val="24"/>
                <w:highlight w:val="none"/>
                <w:lang w:val="de-DE"/>
                <w14:textFill>
                  <w14:solidFill>
                    <w14:schemeClr w14:val="tx1"/>
                  </w14:solidFill>
                </w14:textFill>
              </w:rPr>
              <w:t>经过以上措施处理，降噪量达</w:t>
            </w:r>
            <w:r>
              <w:rPr>
                <w:rFonts w:hint="eastAsia" w:ascii="Times New Roman" w:hAnsi="Times New Roman" w:eastAsia="宋体"/>
                <w:caps w:val="0"/>
                <w:color w:val="000000" w:themeColor="text1"/>
                <w:sz w:val="24"/>
                <w:highlight w:val="none"/>
                <w14:textFill>
                  <w14:solidFill>
                    <w14:schemeClr w14:val="tx1"/>
                  </w14:solidFill>
                </w14:textFill>
              </w:rPr>
              <w:t>20</w:t>
            </w:r>
            <w:r>
              <w:rPr>
                <w:rFonts w:ascii="Times New Roman" w:hAnsi="Times New Roman" w:eastAsia="宋体"/>
                <w:caps w:val="0"/>
                <w:color w:val="000000" w:themeColor="text1"/>
                <w:sz w:val="24"/>
                <w:highlight w:val="none"/>
                <w:lang w:val="de-DE"/>
                <w14:textFill>
                  <w14:solidFill>
                    <w14:schemeClr w14:val="tx1"/>
                  </w14:solidFill>
                </w14:textFill>
              </w:rPr>
              <w:t>dB（A）。</w:t>
            </w:r>
          </w:p>
        </w:tc>
      </w:tr>
    </w:tbl>
    <w:p w14:paraId="3A41AC5B">
      <w:pPr>
        <w:rPr>
          <w:rFonts w:cs="宋体"/>
          <w:sz w:val="24"/>
        </w:rPr>
        <w:sectPr>
          <w:footerReference r:id="rId6" w:type="default"/>
          <w:pgSz w:w="11907" w:h="16840"/>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tbl>
      <w:tblPr>
        <w:tblStyle w:val="59"/>
        <w:tblW w:w="139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3588"/>
      </w:tblGrid>
      <w:tr w14:paraId="6A7F9D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85" w:hRule="atLeast"/>
        </w:trPr>
        <w:tc>
          <w:tcPr>
            <w:tcW w:w="392" w:type="dxa"/>
          </w:tcPr>
          <w:p w14:paraId="45161163">
            <w:pPr>
              <w:pStyle w:val="53"/>
              <w:tabs>
                <w:tab w:val="left" w:pos="570"/>
                <w:tab w:val="center" w:pos="4422"/>
              </w:tabs>
              <w:spacing w:before="0" w:beforeAutospacing="0" w:after="0" w:afterAutospacing="0"/>
              <w:outlineLvl w:val="0"/>
              <w:rPr>
                <w:rFonts w:ascii="Times New Roman" w:hAnsi="Times New Roman"/>
                <w:b/>
                <w:snapToGrid w:val="0"/>
                <w:sz w:val="30"/>
                <w:szCs w:val="30"/>
              </w:rPr>
            </w:pPr>
            <w:r>
              <w:rPr>
                <w:rFonts w:ascii="Times New Roman" w:hAnsi="Times New Roman"/>
                <w:b/>
                <w:snapToGrid w:val="0"/>
                <w:sz w:val="30"/>
                <w:szCs w:val="30"/>
              </w:rPr>
              <w:tab/>
            </w:r>
          </w:p>
        </w:tc>
        <w:tc>
          <w:tcPr>
            <w:tcW w:w="13588" w:type="dxa"/>
          </w:tcPr>
          <w:p w14:paraId="59092184">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w:t>
            </w:r>
            <w:r>
              <w:rPr>
                <w:rFonts w:hint="eastAsia" w:ascii="Times New Roman" w:hAnsi="Times New Roman" w:eastAsia="宋体"/>
                <w:caps w:val="0"/>
                <w:color w:val="000000" w:themeColor="text1"/>
                <w:sz w:val="24"/>
                <w:highlight w:val="none"/>
                <w14:textFill>
                  <w14:solidFill>
                    <w14:schemeClr w14:val="tx1"/>
                  </w14:solidFill>
                </w14:textFill>
              </w:rPr>
              <w:t>项目</w:t>
            </w:r>
            <w:r>
              <w:rPr>
                <w:rFonts w:ascii="Times New Roman" w:hAnsi="Times New Roman" w:eastAsia="宋体"/>
                <w:caps w:val="0"/>
                <w:color w:val="000000" w:themeColor="text1"/>
                <w:sz w:val="24"/>
                <w:highlight w:val="none"/>
                <w14:textFill>
                  <w14:solidFill>
                    <w14:schemeClr w14:val="tx1"/>
                  </w14:solidFill>
                </w14:textFill>
              </w:rPr>
              <w:t>的主要设备噪声情况见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下表</w:t>
            </w:r>
            <w:r>
              <w:rPr>
                <w:rFonts w:ascii="Times New Roman" w:hAnsi="Times New Roman" w:eastAsia="宋体"/>
                <w:caps w:val="0"/>
                <w:color w:val="000000" w:themeColor="text1"/>
                <w:sz w:val="24"/>
                <w:highlight w:val="none"/>
                <w14:textFill>
                  <w14:solidFill>
                    <w14:schemeClr w14:val="tx1"/>
                  </w14:solidFill>
                </w14:textFill>
              </w:rPr>
              <w:t>。</w:t>
            </w:r>
          </w:p>
          <w:p w14:paraId="713926D1">
            <w:pPr>
              <w:pStyle w:val="53"/>
              <w:tabs>
                <w:tab w:val="left" w:pos="3450"/>
                <w:tab w:val="center" w:pos="4422"/>
              </w:tabs>
              <w:spacing w:before="0" w:beforeAutospacing="0" w:after="0" w:afterAutospacing="0"/>
              <w:jc w:val="center"/>
              <w:outlineLvl w:val="0"/>
              <w:rPr>
                <w:b/>
              </w:rPr>
            </w:pPr>
            <w:r>
              <w:rPr>
                <w:rFonts w:ascii="Times New Roman" w:hAnsi="Times New Roman"/>
                <w:b/>
              </w:rPr>
              <w:t>表4-8  项</w:t>
            </w:r>
            <w:r>
              <w:rPr>
                <w:b/>
              </w:rPr>
              <w:t>目营运期主要噪声源源强调查清单</w:t>
            </w:r>
          </w:p>
          <w:tbl>
            <w:tblPr>
              <w:tblStyle w:val="58"/>
              <w:tblW w:w="1346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11"/>
              <w:gridCol w:w="1033"/>
              <w:gridCol w:w="534"/>
              <w:gridCol w:w="966"/>
              <w:gridCol w:w="410"/>
              <w:gridCol w:w="400"/>
              <w:gridCol w:w="383"/>
              <w:gridCol w:w="433"/>
              <w:gridCol w:w="450"/>
              <w:gridCol w:w="400"/>
              <w:gridCol w:w="384"/>
              <w:gridCol w:w="383"/>
              <w:gridCol w:w="467"/>
              <w:gridCol w:w="466"/>
              <w:gridCol w:w="534"/>
              <w:gridCol w:w="666"/>
              <w:gridCol w:w="400"/>
              <w:gridCol w:w="567"/>
              <w:gridCol w:w="467"/>
              <w:gridCol w:w="477"/>
              <w:gridCol w:w="417"/>
              <w:gridCol w:w="417"/>
              <w:gridCol w:w="418"/>
              <w:gridCol w:w="418"/>
              <w:gridCol w:w="716"/>
            </w:tblGrid>
            <w:tr w14:paraId="15E92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exact"/>
              </w:trPr>
              <w:tc>
                <w:tcPr>
                  <w:tcW w:w="165" w:type="pct"/>
                  <w:vMerge w:val="restart"/>
                  <w:noWrap w:val="0"/>
                  <w:vAlign w:val="center"/>
                </w:tcPr>
                <w:p w14:paraId="798499E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301" w:type="pct"/>
                  <w:vMerge w:val="restart"/>
                  <w:noWrap w:val="0"/>
                  <w:vAlign w:val="center"/>
                </w:tcPr>
                <w:p w14:paraId="478A829F">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建筑物名称</w:t>
                  </w:r>
                </w:p>
              </w:tc>
              <w:tc>
                <w:tcPr>
                  <w:tcW w:w="383" w:type="pct"/>
                  <w:vMerge w:val="restart"/>
                  <w:noWrap w:val="0"/>
                  <w:vAlign w:val="center"/>
                </w:tcPr>
                <w:p w14:paraId="4C084A8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198" w:type="pct"/>
                  <w:vMerge w:val="restart"/>
                  <w:noWrap w:val="0"/>
                  <w:vAlign w:val="center"/>
                </w:tcPr>
                <w:p w14:paraId="34D9B2DA">
                  <w:pPr>
                    <w:keepNext w:val="0"/>
                    <w:keepLines w:val="0"/>
                    <w:pageBreakBefore w:val="0"/>
                    <w:widowControl w:val="0"/>
                    <w:kinsoku/>
                    <w:wordWrap/>
                    <w:overflowPunct/>
                    <w:topLinePunct w:val="0"/>
                    <w:bidi w:val="0"/>
                    <w:adjustRightInd/>
                    <w:snapToGrid/>
                    <w:jc w:val="center"/>
                    <w:textAlignment w:val="auto"/>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358" w:type="pct"/>
                  <w:noWrap w:val="0"/>
                  <w:vAlign w:val="center"/>
                </w:tcPr>
                <w:p w14:paraId="2D29D69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w:t>
                  </w:r>
                </w:p>
              </w:tc>
              <w:tc>
                <w:tcPr>
                  <w:tcW w:w="443" w:type="pct"/>
                  <w:gridSpan w:val="3"/>
                  <w:noWrap w:val="0"/>
                  <w:vAlign w:val="center"/>
                </w:tcPr>
                <w:p w14:paraId="5C81D98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619" w:type="pct"/>
                  <w:gridSpan w:val="4"/>
                  <w:noWrap w:val="0"/>
                  <w:vAlign w:val="center"/>
                </w:tcPr>
                <w:p w14:paraId="77D12456">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距室内边界距离/m</w:t>
                  </w:r>
                </w:p>
              </w:tc>
              <w:tc>
                <w:tcPr>
                  <w:tcW w:w="687" w:type="pct"/>
                  <w:gridSpan w:val="4"/>
                  <w:noWrap w:val="0"/>
                  <w:vAlign w:val="center"/>
                </w:tcPr>
                <w:p w14:paraId="00296552">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室内边界声级/dB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c>
                <w:tcPr>
                  <w:tcW w:w="247" w:type="pct"/>
                  <w:vMerge w:val="restart"/>
                  <w:noWrap w:val="0"/>
                  <w:vAlign w:val="center"/>
                </w:tcPr>
                <w:p w14:paraId="32F2392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c>
                <w:tcPr>
                  <w:tcW w:w="709" w:type="pct"/>
                  <w:gridSpan w:val="4"/>
                  <w:noWrap w:val="0"/>
                  <w:vAlign w:val="center"/>
                </w:tcPr>
                <w:p w14:paraId="7FE536CB">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建筑物插入损失 / 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（门窗面积m2）</w:t>
                  </w:r>
                </w:p>
              </w:tc>
              <w:tc>
                <w:tcPr>
                  <w:tcW w:w="886" w:type="pct"/>
                  <w:gridSpan w:val="5"/>
                  <w:noWrap w:val="0"/>
                  <w:vAlign w:val="center"/>
                </w:tcPr>
                <w:p w14:paraId="02CB6619">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建筑物外噪声声压级/dB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r>
            <w:tr w14:paraId="685C0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0" w:hRule="atLeast"/>
              </w:trPr>
              <w:tc>
                <w:tcPr>
                  <w:tcW w:w="165" w:type="pct"/>
                  <w:vMerge w:val="continue"/>
                  <w:shd w:val="clear" w:color="auto" w:fill="FFFFFF"/>
                  <w:noWrap w:val="0"/>
                  <w:tcMar>
                    <w:top w:w="0" w:type="dxa"/>
                    <w:left w:w="0" w:type="dxa"/>
                    <w:bottom w:w="0" w:type="dxa"/>
                    <w:right w:w="0" w:type="dxa"/>
                  </w:tcMar>
                  <w:vAlign w:val="center"/>
                </w:tcPr>
                <w:p w14:paraId="6F13F6F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01" w:type="pct"/>
                  <w:vMerge w:val="continue"/>
                  <w:shd w:val="clear" w:color="auto" w:fill="FFFFFF"/>
                  <w:noWrap w:val="0"/>
                  <w:tcMar>
                    <w:top w:w="0" w:type="dxa"/>
                    <w:left w:w="0" w:type="dxa"/>
                    <w:bottom w:w="0" w:type="dxa"/>
                    <w:right w:w="0" w:type="dxa"/>
                  </w:tcMar>
                  <w:vAlign w:val="center"/>
                </w:tcPr>
                <w:p w14:paraId="3A3B143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83" w:type="pct"/>
                  <w:vMerge w:val="continue"/>
                  <w:shd w:val="clear" w:color="auto" w:fill="FFFFFF"/>
                  <w:noWrap w:val="0"/>
                  <w:tcMar>
                    <w:top w:w="0" w:type="dxa"/>
                    <w:left w:w="0" w:type="dxa"/>
                    <w:bottom w:w="0" w:type="dxa"/>
                    <w:right w:w="0" w:type="dxa"/>
                  </w:tcMar>
                  <w:vAlign w:val="center"/>
                </w:tcPr>
                <w:p w14:paraId="7163ABF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98" w:type="pct"/>
                  <w:vMerge w:val="continue"/>
                  <w:shd w:val="clear" w:color="auto" w:fill="FFFFFF"/>
                  <w:noWrap w:val="0"/>
                  <w:tcMar>
                    <w:top w:w="0" w:type="dxa"/>
                    <w:left w:w="0" w:type="dxa"/>
                    <w:bottom w:w="0" w:type="dxa"/>
                    <w:right w:w="0" w:type="dxa"/>
                  </w:tcMar>
                  <w:vAlign w:val="center"/>
                </w:tcPr>
                <w:p w14:paraId="002FB0A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58" w:type="pct"/>
                  <w:shd w:val="clear" w:color="auto" w:fill="FFFFFF"/>
                  <w:noWrap w:val="0"/>
                  <w:tcMar>
                    <w:top w:w="0" w:type="dxa"/>
                    <w:left w:w="0" w:type="dxa"/>
                    <w:bottom w:w="0" w:type="dxa"/>
                    <w:right w:w="0" w:type="dxa"/>
                  </w:tcMar>
                  <w:vAlign w:val="center"/>
                </w:tcPr>
                <w:p w14:paraId="0E161B61">
                  <w:pPr>
                    <w:shd w:val="clear" w:color="auto" w:fill="auto"/>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71F528C7">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148" w:type="pct"/>
                  <w:shd w:val="clear" w:color="auto" w:fill="FFFFFF"/>
                  <w:noWrap w:val="0"/>
                  <w:tcMar>
                    <w:top w:w="0" w:type="dxa"/>
                    <w:left w:w="0" w:type="dxa"/>
                    <w:bottom w:w="0" w:type="dxa"/>
                    <w:right w:w="0" w:type="dxa"/>
                  </w:tcMar>
                  <w:vAlign w:val="center"/>
                </w:tcPr>
                <w:p w14:paraId="3E37D81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142" w:type="pct"/>
                  <w:shd w:val="clear" w:color="auto" w:fill="FFFFFF"/>
                  <w:noWrap w:val="0"/>
                  <w:tcMar>
                    <w:top w:w="0" w:type="dxa"/>
                    <w:left w:w="0" w:type="dxa"/>
                    <w:bottom w:w="0" w:type="dxa"/>
                    <w:right w:w="0" w:type="dxa"/>
                  </w:tcMar>
                  <w:vAlign w:val="center"/>
                </w:tcPr>
                <w:p w14:paraId="0C27A1E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60" w:type="pct"/>
                  <w:shd w:val="clear" w:color="auto" w:fill="FFFFFF"/>
                  <w:noWrap w:val="0"/>
                  <w:tcMar>
                    <w:top w:w="0" w:type="dxa"/>
                    <w:left w:w="0" w:type="dxa"/>
                    <w:bottom w:w="0" w:type="dxa"/>
                    <w:right w:w="0" w:type="dxa"/>
                  </w:tcMar>
                  <w:vAlign w:val="center"/>
                </w:tcPr>
                <w:p w14:paraId="7AC22CB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67" w:type="pct"/>
                  <w:shd w:val="clear" w:color="auto" w:fill="FFFFFF"/>
                  <w:noWrap w:val="0"/>
                  <w:tcMar>
                    <w:top w:w="0" w:type="dxa"/>
                    <w:left w:w="0" w:type="dxa"/>
                    <w:bottom w:w="0" w:type="dxa"/>
                    <w:right w:w="0" w:type="dxa"/>
                  </w:tcMar>
                  <w:vAlign w:val="center"/>
                </w:tcPr>
                <w:p w14:paraId="4CC1A71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48" w:type="pct"/>
                  <w:shd w:val="clear" w:color="auto" w:fill="FFFFFF"/>
                  <w:noWrap w:val="0"/>
                  <w:tcMar>
                    <w:top w:w="0" w:type="dxa"/>
                    <w:left w:w="0" w:type="dxa"/>
                    <w:bottom w:w="0" w:type="dxa"/>
                    <w:right w:w="0" w:type="dxa"/>
                  </w:tcMar>
                  <w:vAlign w:val="center"/>
                </w:tcPr>
                <w:p w14:paraId="032A232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42" w:type="pct"/>
                  <w:shd w:val="clear" w:color="auto" w:fill="FFFFFF"/>
                  <w:noWrap w:val="0"/>
                  <w:tcMar>
                    <w:top w:w="0" w:type="dxa"/>
                    <w:left w:w="0" w:type="dxa"/>
                    <w:bottom w:w="0" w:type="dxa"/>
                    <w:right w:w="0" w:type="dxa"/>
                  </w:tcMar>
                  <w:vAlign w:val="center"/>
                </w:tcPr>
                <w:p w14:paraId="37781A4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42" w:type="pct"/>
                  <w:shd w:val="clear" w:color="auto" w:fill="FFFFFF"/>
                  <w:noWrap w:val="0"/>
                  <w:tcMar>
                    <w:top w:w="0" w:type="dxa"/>
                    <w:left w:w="0" w:type="dxa"/>
                    <w:bottom w:w="0" w:type="dxa"/>
                    <w:right w:w="0" w:type="dxa"/>
                  </w:tcMar>
                  <w:vAlign w:val="center"/>
                </w:tcPr>
                <w:p w14:paraId="32CE6D28">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73" w:type="pct"/>
                  <w:shd w:val="clear" w:color="auto" w:fill="FFFFFF"/>
                  <w:noWrap w:val="0"/>
                  <w:tcMar>
                    <w:top w:w="0" w:type="dxa"/>
                    <w:left w:w="0" w:type="dxa"/>
                    <w:bottom w:w="0" w:type="dxa"/>
                    <w:right w:w="0" w:type="dxa"/>
                  </w:tcMar>
                  <w:vAlign w:val="center"/>
                </w:tcPr>
                <w:p w14:paraId="4119277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73" w:type="pct"/>
                  <w:shd w:val="clear" w:color="auto" w:fill="FFFFFF"/>
                  <w:noWrap w:val="0"/>
                  <w:tcMar>
                    <w:top w:w="0" w:type="dxa"/>
                    <w:left w:w="0" w:type="dxa"/>
                    <w:bottom w:w="0" w:type="dxa"/>
                    <w:right w:w="0" w:type="dxa"/>
                  </w:tcMar>
                  <w:vAlign w:val="center"/>
                </w:tcPr>
                <w:p w14:paraId="2FB8EB3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98" w:type="pct"/>
                  <w:shd w:val="clear" w:color="auto" w:fill="FFFFFF"/>
                  <w:noWrap w:val="0"/>
                  <w:tcMar>
                    <w:top w:w="0" w:type="dxa"/>
                    <w:left w:w="0" w:type="dxa"/>
                    <w:bottom w:w="0" w:type="dxa"/>
                    <w:right w:w="0" w:type="dxa"/>
                  </w:tcMar>
                  <w:vAlign w:val="center"/>
                </w:tcPr>
                <w:p w14:paraId="4BECB6A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247" w:type="pct"/>
                  <w:vMerge w:val="continue"/>
                  <w:shd w:val="clear" w:color="auto" w:fill="FFFFFF"/>
                  <w:noWrap w:val="0"/>
                  <w:tcMar>
                    <w:top w:w="0" w:type="dxa"/>
                    <w:left w:w="0" w:type="dxa"/>
                    <w:bottom w:w="0" w:type="dxa"/>
                    <w:right w:w="0" w:type="dxa"/>
                  </w:tcMar>
                  <w:vAlign w:val="center"/>
                </w:tcPr>
                <w:p w14:paraId="4DA8407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583C735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210" w:type="pct"/>
                  <w:shd w:val="clear" w:color="auto" w:fill="FFFFFF"/>
                  <w:noWrap w:val="0"/>
                  <w:tcMar>
                    <w:top w:w="0" w:type="dxa"/>
                    <w:left w:w="0" w:type="dxa"/>
                    <w:bottom w:w="0" w:type="dxa"/>
                    <w:right w:w="0" w:type="dxa"/>
                  </w:tcMar>
                  <w:vAlign w:val="center"/>
                </w:tcPr>
                <w:p w14:paraId="6ADF14B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73" w:type="pct"/>
                  <w:shd w:val="clear" w:color="auto" w:fill="FFFFFF"/>
                  <w:noWrap w:val="0"/>
                  <w:tcMar>
                    <w:top w:w="0" w:type="dxa"/>
                    <w:left w:w="0" w:type="dxa"/>
                    <w:bottom w:w="0" w:type="dxa"/>
                    <w:right w:w="0" w:type="dxa"/>
                  </w:tcMar>
                  <w:vAlign w:val="center"/>
                </w:tcPr>
                <w:p w14:paraId="4BFC925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77" w:type="pct"/>
                  <w:shd w:val="clear" w:color="auto" w:fill="FFFFFF"/>
                  <w:noWrap w:val="0"/>
                  <w:tcMar>
                    <w:top w:w="0" w:type="dxa"/>
                    <w:left w:w="0" w:type="dxa"/>
                    <w:bottom w:w="0" w:type="dxa"/>
                    <w:right w:w="0" w:type="dxa"/>
                  </w:tcMar>
                  <w:vAlign w:val="center"/>
                </w:tcPr>
                <w:p w14:paraId="056B691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54" w:type="pct"/>
                  <w:shd w:val="clear" w:color="auto" w:fill="FFFFFF"/>
                  <w:noWrap w:val="0"/>
                  <w:tcMar>
                    <w:top w:w="0" w:type="dxa"/>
                    <w:left w:w="0" w:type="dxa"/>
                    <w:bottom w:w="0" w:type="dxa"/>
                    <w:right w:w="0" w:type="dxa"/>
                  </w:tcMar>
                  <w:vAlign w:val="center"/>
                </w:tcPr>
                <w:p w14:paraId="31D25B2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54" w:type="pct"/>
                  <w:shd w:val="clear" w:color="auto" w:fill="FFFFFF"/>
                  <w:noWrap w:val="0"/>
                  <w:tcMar>
                    <w:top w:w="0" w:type="dxa"/>
                    <w:left w:w="0" w:type="dxa"/>
                    <w:bottom w:w="0" w:type="dxa"/>
                    <w:right w:w="0" w:type="dxa"/>
                  </w:tcMar>
                  <w:vAlign w:val="center"/>
                </w:tcPr>
                <w:p w14:paraId="28967FB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55" w:type="pct"/>
                  <w:shd w:val="clear" w:color="auto" w:fill="FFFFFF"/>
                  <w:noWrap w:val="0"/>
                  <w:tcMar>
                    <w:top w:w="0" w:type="dxa"/>
                    <w:left w:w="0" w:type="dxa"/>
                    <w:bottom w:w="0" w:type="dxa"/>
                    <w:right w:w="0" w:type="dxa"/>
                  </w:tcMar>
                  <w:vAlign w:val="center"/>
                </w:tcPr>
                <w:p w14:paraId="4CA1DED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55" w:type="pct"/>
                  <w:shd w:val="clear" w:color="auto" w:fill="FFFFFF"/>
                  <w:noWrap w:val="0"/>
                  <w:tcMar>
                    <w:top w:w="0" w:type="dxa"/>
                    <w:left w:w="0" w:type="dxa"/>
                    <w:bottom w:w="0" w:type="dxa"/>
                    <w:right w:w="0" w:type="dxa"/>
                  </w:tcMar>
                  <w:vAlign w:val="center"/>
                </w:tcPr>
                <w:p w14:paraId="2429873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265" w:type="pct"/>
                  <w:shd w:val="clear" w:color="auto" w:fill="FFFFFF"/>
                  <w:noWrap w:val="0"/>
                  <w:tcMar>
                    <w:top w:w="0" w:type="dxa"/>
                    <w:left w:w="0" w:type="dxa"/>
                    <w:bottom w:w="0" w:type="dxa"/>
                    <w:right w:w="0" w:type="dxa"/>
                  </w:tcMar>
                  <w:vAlign w:val="center"/>
                </w:tcPr>
                <w:p w14:paraId="3F34B12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建筑物外距离</w:t>
                  </w:r>
                </w:p>
              </w:tc>
            </w:tr>
            <w:tr w14:paraId="1DC90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203" w:hRule="atLeast"/>
              </w:trPr>
              <w:tc>
                <w:tcPr>
                  <w:tcW w:w="165" w:type="pct"/>
                  <w:shd w:val="clear" w:color="auto" w:fill="FFFFFF"/>
                  <w:noWrap w:val="0"/>
                  <w:tcMar>
                    <w:top w:w="0" w:type="dxa"/>
                    <w:left w:w="0" w:type="dxa"/>
                    <w:bottom w:w="0" w:type="dxa"/>
                    <w:right w:w="0" w:type="dxa"/>
                  </w:tcMar>
                  <w:vAlign w:val="center"/>
                </w:tcPr>
                <w:p w14:paraId="5708433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301" w:type="pct"/>
                  <w:shd w:val="clear" w:color="auto" w:fill="FFFFFF"/>
                  <w:noWrap w:val="0"/>
                  <w:tcMar>
                    <w:top w:w="0" w:type="dxa"/>
                    <w:left w:w="0" w:type="dxa"/>
                    <w:bottom w:w="0" w:type="dxa"/>
                    <w:right w:w="0" w:type="dxa"/>
                  </w:tcMar>
                  <w:vAlign w:val="center"/>
                </w:tcPr>
                <w:p w14:paraId="227DAFC1">
                  <w:pPr>
                    <w:shd w:val="clear" w:color="auto" w:fill="auto"/>
                    <w:jc w:val="center"/>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生产车间</w:t>
                  </w:r>
                </w:p>
              </w:tc>
              <w:tc>
                <w:tcPr>
                  <w:tcW w:w="383" w:type="pct"/>
                  <w:shd w:val="clear" w:color="auto" w:fill="FFFFFF"/>
                  <w:noWrap w:val="0"/>
                  <w:tcMar>
                    <w:top w:w="0" w:type="dxa"/>
                    <w:left w:w="0" w:type="dxa"/>
                    <w:bottom w:w="0" w:type="dxa"/>
                    <w:right w:w="0" w:type="dxa"/>
                  </w:tcMar>
                  <w:vAlign w:val="center"/>
                </w:tcPr>
                <w:p w14:paraId="7D79ADF7">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载带编织成型6台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116C522E">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08B35902">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87.8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24DC31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lang w:val="en-US" w:eastAsia="zh-CN"/>
                      <w14:textFill>
                        <w14:solidFill>
                          <w14:schemeClr w14:val="tx1"/>
                        </w14:solidFill>
                      </w14:textFill>
                    </w:rPr>
                    <w:t>20</w:t>
                  </w:r>
                </w:p>
              </w:tc>
              <w:tc>
                <w:tcPr>
                  <w:tcW w:w="148" w:type="pct"/>
                  <w:shd w:val="clear" w:color="auto" w:fill="FFFFFF"/>
                  <w:noWrap w:val="0"/>
                  <w:tcMar>
                    <w:top w:w="0" w:type="dxa"/>
                    <w:left w:w="0" w:type="dxa"/>
                    <w:bottom w:w="0" w:type="dxa"/>
                    <w:right w:w="0" w:type="dxa"/>
                  </w:tcMar>
                  <w:vAlign w:val="center"/>
                </w:tcPr>
                <w:p w14:paraId="7379660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2" w:type="pct"/>
                  <w:shd w:val="clear" w:color="auto" w:fill="FFFFFF"/>
                  <w:noWrap w:val="0"/>
                  <w:tcMar>
                    <w:top w:w="0" w:type="dxa"/>
                    <w:left w:w="0" w:type="dxa"/>
                    <w:bottom w:w="0" w:type="dxa"/>
                    <w:right w:w="0" w:type="dxa"/>
                  </w:tcMar>
                  <w:vAlign w:val="center"/>
                </w:tcPr>
                <w:p w14:paraId="19D2A03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4F301C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29</w:t>
                  </w:r>
                </w:p>
              </w:tc>
              <w:tc>
                <w:tcPr>
                  <w:tcW w:w="167" w:type="pct"/>
                  <w:shd w:val="clear" w:color="auto" w:fill="FFFFFF"/>
                  <w:noWrap w:val="0"/>
                  <w:tcMar>
                    <w:top w:w="0" w:type="dxa"/>
                    <w:left w:w="0" w:type="dxa"/>
                    <w:bottom w:w="0" w:type="dxa"/>
                    <w:right w:w="0" w:type="dxa"/>
                  </w:tcMar>
                  <w:vAlign w:val="center"/>
                </w:tcPr>
                <w:p w14:paraId="139BA03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8" w:type="pct"/>
                  <w:shd w:val="clear" w:color="auto" w:fill="FFFFFF"/>
                  <w:noWrap w:val="0"/>
                  <w:tcMar>
                    <w:top w:w="0" w:type="dxa"/>
                    <w:left w:w="0" w:type="dxa"/>
                    <w:bottom w:w="0" w:type="dxa"/>
                    <w:right w:w="0" w:type="dxa"/>
                  </w:tcMar>
                  <w:vAlign w:val="center"/>
                </w:tcPr>
                <w:p w14:paraId="53CC18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20</w:t>
                  </w:r>
                </w:p>
              </w:tc>
              <w:tc>
                <w:tcPr>
                  <w:tcW w:w="142" w:type="pct"/>
                  <w:shd w:val="clear" w:color="auto" w:fill="FFFFFF"/>
                  <w:noWrap w:val="0"/>
                  <w:tcMar>
                    <w:top w:w="0" w:type="dxa"/>
                    <w:left w:w="0" w:type="dxa"/>
                    <w:bottom w:w="0" w:type="dxa"/>
                    <w:right w:w="0" w:type="dxa"/>
                  </w:tcMar>
                  <w:vAlign w:val="center"/>
                </w:tcPr>
                <w:p w14:paraId="3046F5A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w:t>
                  </w:r>
                </w:p>
              </w:tc>
              <w:tc>
                <w:tcPr>
                  <w:tcW w:w="142" w:type="pct"/>
                  <w:shd w:val="clear" w:color="auto" w:fill="FFFFFF"/>
                  <w:noWrap w:val="0"/>
                  <w:tcMar>
                    <w:top w:w="0" w:type="dxa"/>
                    <w:left w:w="0" w:type="dxa"/>
                    <w:bottom w:w="0" w:type="dxa"/>
                    <w:right w:w="0" w:type="dxa"/>
                  </w:tcMar>
                  <w:vAlign w:val="center"/>
                </w:tcPr>
                <w:p w14:paraId="62A9574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58.5</w:t>
                  </w:r>
                </w:p>
              </w:tc>
              <w:tc>
                <w:tcPr>
                  <w:tcW w:w="173" w:type="pct"/>
                  <w:shd w:val="clear" w:color="auto" w:fill="FFFFFF"/>
                  <w:noWrap w:val="0"/>
                  <w:tcMar>
                    <w:top w:w="0" w:type="dxa"/>
                    <w:left w:w="0" w:type="dxa"/>
                    <w:bottom w:w="0" w:type="dxa"/>
                    <w:right w:w="0" w:type="dxa"/>
                  </w:tcMar>
                  <w:vAlign w:val="center"/>
                </w:tcPr>
                <w:p w14:paraId="0321F924">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67.8</w:t>
                  </w:r>
                </w:p>
              </w:tc>
              <w:tc>
                <w:tcPr>
                  <w:tcW w:w="173" w:type="pct"/>
                  <w:shd w:val="clear" w:color="auto" w:fill="FFFFFF"/>
                  <w:noWrap w:val="0"/>
                  <w:tcMar>
                    <w:top w:w="0" w:type="dxa"/>
                    <w:left w:w="0" w:type="dxa"/>
                    <w:bottom w:w="0" w:type="dxa"/>
                    <w:right w:w="0" w:type="dxa"/>
                  </w:tcMar>
                  <w:vAlign w:val="center"/>
                </w:tcPr>
                <w:p w14:paraId="0495C57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61.8</w:t>
                  </w:r>
                </w:p>
              </w:tc>
              <w:tc>
                <w:tcPr>
                  <w:tcW w:w="198" w:type="pct"/>
                  <w:shd w:val="clear" w:color="auto" w:fill="FFFFFF"/>
                  <w:noWrap w:val="0"/>
                  <w:tcMar>
                    <w:top w:w="0" w:type="dxa"/>
                    <w:left w:w="0" w:type="dxa"/>
                    <w:bottom w:w="0" w:type="dxa"/>
                    <w:right w:w="0" w:type="dxa"/>
                  </w:tcMar>
                  <w:vAlign w:val="center"/>
                </w:tcPr>
                <w:p w14:paraId="1C67D92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73.8</w:t>
                  </w:r>
                </w:p>
              </w:tc>
              <w:tc>
                <w:tcPr>
                  <w:tcW w:w="247" w:type="pct"/>
                  <w:vMerge w:val="restart"/>
                  <w:shd w:val="clear" w:color="auto" w:fill="FFFFFF"/>
                  <w:noWrap w:val="0"/>
                  <w:tcMar>
                    <w:top w:w="0" w:type="dxa"/>
                    <w:left w:w="0" w:type="dxa"/>
                    <w:bottom w:w="0" w:type="dxa"/>
                    <w:right w:w="0" w:type="dxa"/>
                  </w:tcMar>
                  <w:vAlign w:val="center"/>
                </w:tcPr>
                <w:p w14:paraId="4D393ACF">
                  <w:pPr>
                    <w:keepNext w:val="0"/>
                    <w:keepLines w:val="0"/>
                    <w:pageBreakBefore w:val="0"/>
                    <w:widowControl w:val="0"/>
                    <w:shd w:val="clear" w:color="auto" w:fill="auto"/>
                    <w:kinsoku/>
                    <w:wordWrap/>
                    <w:overflowPunct/>
                    <w:topLinePunct w:val="0"/>
                    <w:autoSpaceDE/>
                    <w:autoSpaceDN/>
                    <w:bidi/>
                    <w:adjustRightInd/>
                    <w:snapToGrid/>
                    <w:jc w:val="center"/>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w:t>
                  </w:r>
                  <w:r>
                    <w:rPr>
                      <w:rFonts w:ascii="Times New Roman" w:hAnsi="Times New Roman" w:eastAsia="宋体"/>
                      <w:caps w:val="0"/>
                      <w:color w:val="000000" w:themeColor="text1"/>
                      <w:szCs w:val="21"/>
                      <w:highlight w:val="none"/>
                      <w14:textFill>
                        <w14:solidFill>
                          <w14:schemeClr w14:val="tx1"/>
                        </w14:solidFill>
                      </w14:textFill>
                    </w:rPr>
                    <w:t>:00-</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2</w:t>
                  </w:r>
                  <w:r>
                    <w:rPr>
                      <w:rFonts w:hint="eastAsia"/>
                      <w:caps w:val="0"/>
                      <w:color w:val="000000" w:themeColor="text1"/>
                      <w:szCs w:val="21"/>
                      <w:highlight w:val="none"/>
                      <w:lang w:val="en-US" w:eastAsia="zh-CN"/>
                      <w14:textFill>
                        <w14:solidFill>
                          <w14:schemeClr w14:val="tx1"/>
                        </w14:solidFill>
                      </w14:textFill>
                    </w:rPr>
                    <w:t>4</w:t>
                  </w:r>
                  <w:r>
                    <w:rPr>
                      <w:rFonts w:ascii="Times New Roman" w:hAnsi="Times New Roman" w:eastAsia="宋体"/>
                      <w:caps w:val="0"/>
                      <w:color w:val="000000" w:themeColor="text1"/>
                      <w:szCs w:val="21"/>
                      <w:highlight w:val="none"/>
                      <w14:textFill>
                        <w14:solidFill>
                          <w14:schemeClr w14:val="tx1"/>
                        </w14:solidFill>
                      </w14:textFill>
                    </w:rPr>
                    <w:t>:00</w:t>
                  </w:r>
                </w:p>
              </w:tc>
              <w:tc>
                <w:tcPr>
                  <w:tcW w:w="148" w:type="pct"/>
                  <w:shd w:val="clear" w:color="auto" w:fill="FFFFFF"/>
                  <w:noWrap w:val="0"/>
                  <w:tcMar>
                    <w:top w:w="0" w:type="dxa"/>
                    <w:left w:w="0" w:type="dxa"/>
                    <w:bottom w:w="0" w:type="dxa"/>
                    <w:right w:w="0" w:type="dxa"/>
                  </w:tcMar>
                  <w:vAlign w:val="center"/>
                </w:tcPr>
                <w:p w14:paraId="15CC7CE4">
                  <w:pPr>
                    <w:widowControl/>
                    <w:shd w:val="clear" w:color="auto" w:fill="auto"/>
                    <w:jc w:val="center"/>
                    <w:textAlignment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398C4FA5">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3D1A8645">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3A038B54">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7B024D42">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38.5 </w:t>
                  </w:r>
                </w:p>
              </w:tc>
              <w:tc>
                <w:tcPr>
                  <w:tcW w:w="154" w:type="pct"/>
                  <w:shd w:val="clear" w:color="auto" w:fill="FFFFFF"/>
                  <w:noWrap w:val="0"/>
                  <w:tcMar>
                    <w:top w:w="0" w:type="dxa"/>
                    <w:left w:w="0" w:type="dxa"/>
                    <w:bottom w:w="0" w:type="dxa"/>
                    <w:right w:w="0" w:type="dxa"/>
                  </w:tcMar>
                  <w:vAlign w:val="center"/>
                </w:tcPr>
                <w:p w14:paraId="6FE73AE9">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47.8 </w:t>
                  </w:r>
                </w:p>
              </w:tc>
              <w:tc>
                <w:tcPr>
                  <w:tcW w:w="155" w:type="pct"/>
                  <w:shd w:val="clear" w:color="auto" w:fill="FFFFFF"/>
                  <w:noWrap w:val="0"/>
                  <w:tcMar>
                    <w:top w:w="0" w:type="dxa"/>
                    <w:left w:w="0" w:type="dxa"/>
                    <w:bottom w:w="0" w:type="dxa"/>
                    <w:right w:w="0" w:type="dxa"/>
                  </w:tcMar>
                  <w:vAlign w:val="center"/>
                </w:tcPr>
                <w:p w14:paraId="01DB90D9">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41.8 </w:t>
                  </w:r>
                </w:p>
              </w:tc>
              <w:tc>
                <w:tcPr>
                  <w:tcW w:w="155" w:type="pct"/>
                  <w:shd w:val="clear" w:color="auto" w:fill="FFFFFF"/>
                  <w:noWrap w:val="0"/>
                  <w:tcMar>
                    <w:top w:w="0" w:type="dxa"/>
                    <w:left w:w="0" w:type="dxa"/>
                    <w:bottom w:w="0" w:type="dxa"/>
                    <w:right w:w="0" w:type="dxa"/>
                  </w:tcMar>
                  <w:vAlign w:val="center"/>
                </w:tcPr>
                <w:p w14:paraId="7C2712EA">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49.7 </w:t>
                  </w:r>
                </w:p>
              </w:tc>
              <w:tc>
                <w:tcPr>
                  <w:tcW w:w="265" w:type="pct"/>
                  <w:shd w:val="clear" w:color="auto" w:fill="FFFFFF"/>
                  <w:noWrap w:val="0"/>
                  <w:tcMar>
                    <w:top w:w="0" w:type="dxa"/>
                    <w:left w:w="0" w:type="dxa"/>
                    <w:bottom w:w="0" w:type="dxa"/>
                    <w:right w:w="0" w:type="dxa"/>
                  </w:tcMar>
                  <w:vAlign w:val="center"/>
                </w:tcPr>
                <w:p w14:paraId="56CD126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6CD29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36" w:hRule="atLeast"/>
              </w:trPr>
              <w:tc>
                <w:tcPr>
                  <w:tcW w:w="165" w:type="pct"/>
                  <w:shd w:val="clear" w:color="auto" w:fill="FFFFFF"/>
                  <w:noWrap w:val="0"/>
                  <w:tcMar>
                    <w:top w:w="0" w:type="dxa"/>
                    <w:left w:w="0" w:type="dxa"/>
                    <w:bottom w:w="0" w:type="dxa"/>
                    <w:right w:w="0" w:type="dxa"/>
                  </w:tcMar>
                  <w:vAlign w:val="center"/>
                </w:tcPr>
                <w:p w14:paraId="58F2D10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2</w:t>
                  </w:r>
                </w:p>
              </w:tc>
              <w:tc>
                <w:tcPr>
                  <w:tcW w:w="301" w:type="pct"/>
                  <w:shd w:val="clear" w:color="auto" w:fill="FFFFFF"/>
                  <w:noWrap w:val="0"/>
                  <w:tcMar>
                    <w:top w:w="0" w:type="dxa"/>
                    <w:left w:w="0" w:type="dxa"/>
                    <w:bottom w:w="0" w:type="dxa"/>
                    <w:right w:w="0" w:type="dxa"/>
                  </w:tcMar>
                  <w:vAlign w:val="center"/>
                </w:tcPr>
                <w:p w14:paraId="5A933C7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2#厂房</w:t>
                  </w:r>
                </w:p>
              </w:tc>
              <w:tc>
                <w:tcPr>
                  <w:tcW w:w="383" w:type="pct"/>
                  <w:shd w:val="clear" w:color="auto" w:fill="FFFFFF"/>
                  <w:noWrap w:val="0"/>
                  <w:tcMar>
                    <w:top w:w="0" w:type="dxa"/>
                    <w:left w:w="0" w:type="dxa"/>
                    <w:bottom w:w="0" w:type="dxa"/>
                    <w:right w:w="0" w:type="dxa"/>
                  </w:tcMar>
                  <w:vAlign w:val="center"/>
                </w:tcPr>
                <w:p w14:paraId="4A02F816">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载带成型机29台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302A5DDE">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3306ADAA">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94.6</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40F56D77">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35</w:t>
                  </w:r>
                </w:p>
              </w:tc>
              <w:tc>
                <w:tcPr>
                  <w:tcW w:w="148" w:type="pct"/>
                  <w:shd w:val="clear" w:color="auto" w:fill="FFFFFF"/>
                  <w:noWrap w:val="0"/>
                  <w:tcMar>
                    <w:top w:w="0" w:type="dxa"/>
                    <w:left w:w="0" w:type="dxa"/>
                    <w:bottom w:w="0" w:type="dxa"/>
                    <w:right w:w="0" w:type="dxa"/>
                  </w:tcMar>
                  <w:vAlign w:val="center"/>
                </w:tcPr>
                <w:p w14:paraId="2153F12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7</w:t>
                  </w:r>
                </w:p>
              </w:tc>
              <w:tc>
                <w:tcPr>
                  <w:tcW w:w="142" w:type="pct"/>
                  <w:shd w:val="clear" w:color="auto" w:fill="FFFFFF"/>
                  <w:noWrap w:val="0"/>
                  <w:tcMar>
                    <w:top w:w="0" w:type="dxa"/>
                    <w:left w:w="0" w:type="dxa"/>
                    <w:bottom w:w="0" w:type="dxa"/>
                    <w:right w:w="0" w:type="dxa"/>
                  </w:tcMar>
                  <w:vAlign w:val="center"/>
                </w:tcPr>
                <w:p w14:paraId="67D6F3E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12A6199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14</w:t>
                  </w:r>
                </w:p>
              </w:tc>
              <w:tc>
                <w:tcPr>
                  <w:tcW w:w="167" w:type="pct"/>
                  <w:shd w:val="clear" w:color="auto" w:fill="FFFFFF"/>
                  <w:noWrap w:val="0"/>
                  <w:tcMar>
                    <w:top w:w="0" w:type="dxa"/>
                    <w:left w:w="0" w:type="dxa"/>
                    <w:bottom w:w="0" w:type="dxa"/>
                    <w:right w:w="0" w:type="dxa"/>
                  </w:tcMar>
                  <w:vAlign w:val="center"/>
                </w:tcPr>
                <w:p w14:paraId="5B18B59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48" w:type="pct"/>
                  <w:shd w:val="clear" w:color="auto" w:fill="FFFFFF"/>
                  <w:noWrap w:val="0"/>
                  <w:tcMar>
                    <w:top w:w="0" w:type="dxa"/>
                    <w:left w:w="0" w:type="dxa"/>
                    <w:bottom w:w="0" w:type="dxa"/>
                    <w:right w:w="0" w:type="dxa"/>
                  </w:tcMar>
                  <w:vAlign w:val="center"/>
                </w:tcPr>
                <w:p w14:paraId="5ACC382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30</w:t>
                  </w:r>
                </w:p>
              </w:tc>
              <w:tc>
                <w:tcPr>
                  <w:tcW w:w="142" w:type="pct"/>
                  <w:shd w:val="clear" w:color="auto" w:fill="FFFFFF"/>
                  <w:noWrap w:val="0"/>
                  <w:tcMar>
                    <w:top w:w="0" w:type="dxa"/>
                    <w:left w:w="0" w:type="dxa"/>
                    <w:bottom w:w="0" w:type="dxa"/>
                    <w:right w:w="0" w:type="dxa"/>
                  </w:tcMar>
                  <w:vAlign w:val="center"/>
                </w:tcPr>
                <w:p w14:paraId="091121E5">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2" w:type="pct"/>
                  <w:shd w:val="clear" w:color="auto" w:fill="FFFFFF"/>
                  <w:noWrap w:val="0"/>
                  <w:tcMar>
                    <w:top w:w="0" w:type="dxa"/>
                    <w:left w:w="0" w:type="dxa"/>
                    <w:bottom w:w="0" w:type="dxa"/>
                    <w:right w:w="0" w:type="dxa"/>
                  </w:tcMar>
                  <w:vAlign w:val="center"/>
                </w:tcPr>
                <w:p w14:paraId="65AC3C9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71.7</w:t>
                  </w:r>
                </w:p>
              </w:tc>
              <w:tc>
                <w:tcPr>
                  <w:tcW w:w="173" w:type="pct"/>
                  <w:shd w:val="clear" w:color="auto" w:fill="FFFFFF"/>
                  <w:noWrap w:val="0"/>
                  <w:tcMar>
                    <w:top w:w="0" w:type="dxa"/>
                    <w:left w:w="0" w:type="dxa"/>
                    <w:bottom w:w="0" w:type="dxa"/>
                    <w:right w:w="0" w:type="dxa"/>
                  </w:tcMar>
                  <w:vAlign w:val="center"/>
                </w:tcPr>
                <w:p w14:paraId="18E3B21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79.1</w:t>
                  </w:r>
                </w:p>
              </w:tc>
              <w:tc>
                <w:tcPr>
                  <w:tcW w:w="173" w:type="pct"/>
                  <w:shd w:val="clear" w:color="auto" w:fill="FFFFFF"/>
                  <w:noWrap w:val="0"/>
                  <w:tcMar>
                    <w:top w:w="0" w:type="dxa"/>
                    <w:left w:w="0" w:type="dxa"/>
                    <w:bottom w:w="0" w:type="dxa"/>
                    <w:right w:w="0" w:type="dxa"/>
                  </w:tcMar>
                  <w:vAlign w:val="center"/>
                </w:tcPr>
                <w:p w14:paraId="0D7217E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63.7</w:t>
                  </w:r>
                </w:p>
              </w:tc>
              <w:tc>
                <w:tcPr>
                  <w:tcW w:w="198" w:type="pct"/>
                  <w:shd w:val="clear" w:color="auto" w:fill="FFFFFF"/>
                  <w:noWrap w:val="0"/>
                  <w:tcMar>
                    <w:top w:w="0" w:type="dxa"/>
                    <w:left w:w="0" w:type="dxa"/>
                    <w:bottom w:w="0" w:type="dxa"/>
                    <w:right w:w="0" w:type="dxa"/>
                  </w:tcMar>
                  <w:vAlign w:val="center"/>
                </w:tcPr>
                <w:p w14:paraId="561BD55C">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75.5</w:t>
                  </w:r>
                </w:p>
              </w:tc>
              <w:tc>
                <w:tcPr>
                  <w:tcW w:w="247" w:type="pct"/>
                  <w:vMerge w:val="continue"/>
                  <w:shd w:val="clear" w:color="auto" w:fill="FFFFFF"/>
                  <w:noWrap w:val="0"/>
                  <w:tcMar>
                    <w:top w:w="0" w:type="dxa"/>
                    <w:left w:w="0" w:type="dxa"/>
                    <w:bottom w:w="0" w:type="dxa"/>
                    <w:right w:w="0" w:type="dxa"/>
                  </w:tcMar>
                  <w:vAlign w:val="center"/>
                </w:tcPr>
                <w:p w14:paraId="335DAAE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304D0548">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37303429">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3CC10466">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7EDF337B">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795DDD25">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51.7 </w:t>
                  </w:r>
                </w:p>
              </w:tc>
              <w:tc>
                <w:tcPr>
                  <w:tcW w:w="154" w:type="pct"/>
                  <w:shd w:val="clear" w:color="auto" w:fill="FFFFFF"/>
                  <w:noWrap w:val="0"/>
                  <w:tcMar>
                    <w:top w:w="0" w:type="dxa"/>
                    <w:left w:w="0" w:type="dxa"/>
                    <w:bottom w:w="0" w:type="dxa"/>
                    <w:right w:w="0" w:type="dxa"/>
                  </w:tcMar>
                  <w:vAlign w:val="center"/>
                </w:tcPr>
                <w:p w14:paraId="3EACBA58">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53.8 </w:t>
                  </w:r>
                </w:p>
              </w:tc>
              <w:tc>
                <w:tcPr>
                  <w:tcW w:w="155" w:type="pct"/>
                  <w:shd w:val="clear" w:color="auto" w:fill="FFFFFF"/>
                  <w:noWrap w:val="0"/>
                  <w:tcMar>
                    <w:top w:w="0" w:type="dxa"/>
                    <w:left w:w="0" w:type="dxa"/>
                    <w:bottom w:w="0" w:type="dxa"/>
                    <w:right w:w="0" w:type="dxa"/>
                  </w:tcMar>
                  <w:vAlign w:val="center"/>
                </w:tcPr>
                <w:p w14:paraId="43FBF30E">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45.1 </w:t>
                  </w:r>
                </w:p>
              </w:tc>
              <w:tc>
                <w:tcPr>
                  <w:tcW w:w="155" w:type="pct"/>
                  <w:shd w:val="clear" w:color="auto" w:fill="FFFFFF"/>
                  <w:noWrap w:val="0"/>
                  <w:tcMar>
                    <w:top w:w="0" w:type="dxa"/>
                    <w:left w:w="0" w:type="dxa"/>
                    <w:bottom w:w="0" w:type="dxa"/>
                    <w:right w:w="0" w:type="dxa"/>
                  </w:tcMar>
                  <w:vAlign w:val="center"/>
                </w:tcPr>
                <w:p w14:paraId="25A8118E">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54.6 </w:t>
                  </w:r>
                </w:p>
              </w:tc>
              <w:tc>
                <w:tcPr>
                  <w:tcW w:w="265" w:type="pct"/>
                  <w:shd w:val="clear" w:color="auto" w:fill="FFFFFF"/>
                  <w:noWrap w:val="0"/>
                  <w:tcMar>
                    <w:top w:w="0" w:type="dxa"/>
                    <w:left w:w="0" w:type="dxa"/>
                    <w:bottom w:w="0" w:type="dxa"/>
                    <w:right w:w="0" w:type="dxa"/>
                  </w:tcMar>
                  <w:vAlign w:val="center"/>
                </w:tcPr>
                <w:p w14:paraId="78E87E2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202916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50" w:hRule="atLeast"/>
              </w:trPr>
              <w:tc>
                <w:tcPr>
                  <w:tcW w:w="165" w:type="pct"/>
                  <w:shd w:val="clear" w:color="auto" w:fill="FFFFFF"/>
                  <w:noWrap w:val="0"/>
                  <w:tcMar>
                    <w:top w:w="0" w:type="dxa"/>
                    <w:left w:w="0" w:type="dxa"/>
                    <w:bottom w:w="0" w:type="dxa"/>
                    <w:right w:w="0" w:type="dxa"/>
                  </w:tcMar>
                  <w:vAlign w:val="center"/>
                </w:tcPr>
                <w:p w14:paraId="186B177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3</w:t>
                  </w:r>
                </w:p>
              </w:tc>
              <w:tc>
                <w:tcPr>
                  <w:tcW w:w="301" w:type="pct"/>
                  <w:shd w:val="clear" w:color="auto" w:fill="FFFFFF"/>
                  <w:noWrap w:val="0"/>
                  <w:tcMar>
                    <w:top w:w="0" w:type="dxa"/>
                    <w:left w:w="0" w:type="dxa"/>
                    <w:bottom w:w="0" w:type="dxa"/>
                    <w:right w:w="0" w:type="dxa"/>
                  </w:tcMar>
                  <w:vAlign w:val="center"/>
                </w:tcPr>
                <w:p w14:paraId="6E34E4E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2#厂房</w:t>
                  </w:r>
                </w:p>
              </w:tc>
              <w:tc>
                <w:tcPr>
                  <w:tcW w:w="383" w:type="pct"/>
                  <w:shd w:val="clear" w:color="auto" w:fill="FFFFFF"/>
                  <w:noWrap w:val="0"/>
                  <w:tcMar>
                    <w:top w:w="0" w:type="dxa"/>
                    <w:left w:w="0" w:type="dxa"/>
                    <w:bottom w:w="0" w:type="dxa"/>
                    <w:right w:w="0" w:type="dxa"/>
                  </w:tcMar>
                  <w:vAlign w:val="center"/>
                </w:tcPr>
                <w:p w14:paraId="232B81FC">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分条机2台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0AB6A1D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42B2311D">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75</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14F60ACC">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26</w:t>
                  </w:r>
                </w:p>
              </w:tc>
              <w:tc>
                <w:tcPr>
                  <w:tcW w:w="148" w:type="pct"/>
                  <w:shd w:val="clear" w:color="auto" w:fill="FFFFFF"/>
                  <w:noWrap w:val="0"/>
                  <w:tcMar>
                    <w:top w:w="0" w:type="dxa"/>
                    <w:left w:w="0" w:type="dxa"/>
                    <w:bottom w:w="0" w:type="dxa"/>
                    <w:right w:w="0" w:type="dxa"/>
                  </w:tcMar>
                  <w:vAlign w:val="center"/>
                </w:tcPr>
                <w:p w14:paraId="5ECB5A45">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w:t>
                  </w:r>
                </w:p>
              </w:tc>
              <w:tc>
                <w:tcPr>
                  <w:tcW w:w="142" w:type="pct"/>
                  <w:shd w:val="clear" w:color="auto" w:fill="FFFFFF"/>
                  <w:noWrap w:val="0"/>
                  <w:tcMar>
                    <w:top w:w="0" w:type="dxa"/>
                    <w:left w:w="0" w:type="dxa"/>
                    <w:bottom w:w="0" w:type="dxa"/>
                    <w:right w:w="0" w:type="dxa"/>
                  </w:tcMar>
                  <w:vAlign w:val="center"/>
                </w:tcPr>
                <w:p w14:paraId="0BD5C0A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0303B81F">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23</w:t>
                  </w:r>
                </w:p>
              </w:tc>
              <w:tc>
                <w:tcPr>
                  <w:tcW w:w="167" w:type="pct"/>
                  <w:shd w:val="clear" w:color="auto" w:fill="FFFFFF"/>
                  <w:noWrap w:val="0"/>
                  <w:tcMar>
                    <w:top w:w="0" w:type="dxa"/>
                    <w:left w:w="0" w:type="dxa"/>
                    <w:bottom w:w="0" w:type="dxa"/>
                    <w:right w:w="0" w:type="dxa"/>
                  </w:tcMar>
                  <w:vAlign w:val="center"/>
                </w:tcPr>
                <w:p w14:paraId="18352D3D">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8" w:type="pct"/>
                  <w:shd w:val="clear" w:color="auto" w:fill="FFFFFF"/>
                  <w:noWrap w:val="0"/>
                  <w:tcMar>
                    <w:top w:w="0" w:type="dxa"/>
                    <w:left w:w="0" w:type="dxa"/>
                    <w:bottom w:w="0" w:type="dxa"/>
                    <w:right w:w="0" w:type="dxa"/>
                  </w:tcMar>
                  <w:vAlign w:val="center"/>
                </w:tcPr>
                <w:p w14:paraId="6FFC4D2B">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26</w:t>
                  </w:r>
                </w:p>
              </w:tc>
              <w:tc>
                <w:tcPr>
                  <w:tcW w:w="142" w:type="pct"/>
                  <w:shd w:val="clear" w:color="auto" w:fill="FFFFFF"/>
                  <w:noWrap w:val="0"/>
                  <w:tcMar>
                    <w:top w:w="0" w:type="dxa"/>
                    <w:left w:w="0" w:type="dxa"/>
                    <w:bottom w:w="0" w:type="dxa"/>
                    <w:right w:w="0" w:type="dxa"/>
                  </w:tcMar>
                  <w:vAlign w:val="center"/>
                </w:tcPr>
                <w:p w14:paraId="3DB32CB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42" w:type="pct"/>
                  <w:shd w:val="clear" w:color="auto" w:fill="FFFFFF"/>
                  <w:noWrap w:val="0"/>
                  <w:tcMar>
                    <w:top w:w="0" w:type="dxa"/>
                    <w:left w:w="0" w:type="dxa"/>
                    <w:bottom w:w="0" w:type="dxa"/>
                    <w:right w:w="0" w:type="dxa"/>
                  </w:tcMar>
                  <w:vAlign w:val="center"/>
                </w:tcPr>
                <w:p w14:paraId="1043F6E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50.8</w:t>
                  </w:r>
                </w:p>
              </w:tc>
              <w:tc>
                <w:tcPr>
                  <w:tcW w:w="173" w:type="pct"/>
                  <w:shd w:val="clear" w:color="auto" w:fill="FFFFFF"/>
                  <w:noWrap w:val="0"/>
                  <w:tcMar>
                    <w:top w:w="0" w:type="dxa"/>
                    <w:left w:w="0" w:type="dxa"/>
                    <w:bottom w:w="0" w:type="dxa"/>
                    <w:right w:w="0" w:type="dxa"/>
                  </w:tcMar>
                  <w:vAlign w:val="center"/>
                </w:tcPr>
                <w:p w14:paraId="23809214">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59.9</w:t>
                  </w:r>
                </w:p>
              </w:tc>
              <w:tc>
                <w:tcPr>
                  <w:tcW w:w="173" w:type="pct"/>
                  <w:shd w:val="clear" w:color="auto" w:fill="FFFFFF"/>
                  <w:noWrap w:val="0"/>
                  <w:tcMar>
                    <w:top w:w="0" w:type="dxa"/>
                    <w:left w:w="0" w:type="dxa"/>
                    <w:bottom w:w="0" w:type="dxa"/>
                    <w:right w:w="0" w:type="dxa"/>
                  </w:tcMar>
                  <w:vAlign w:val="center"/>
                </w:tcPr>
                <w:p w14:paraId="10766AE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49.7</w:t>
                  </w:r>
                </w:p>
              </w:tc>
              <w:tc>
                <w:tcPr>
                  <w:tcW w:w="198" w:type="pct"/>
                  <w:shd w:val="clear" w:color="auto" w:fill="FFFFFF"/>
                  <w:noWrap w:val="0"/>
                  <w:tcMar>
                    <w:top w:w="0" w:type="dxa"/>
                    <w:left w:w="0" w:type="dxa"/>
                    <w:bottom w:w="0" w:type="dxa"/>
                    <w:right w:w="0" w:type="dxa"/>
                  </w:tcMar>
                  <w:vAlign w:val="center"/>
                </w:tcPr>
                <w:p w14:paraId="4888B56D">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61.1</w:t>
                  </w:r>
                </w:p>
              </w:tc>
              <w:tc>
                <w:tcPr>
                  <w:tcW w:w="247" w:type="pct"/>
                  <w:vMerge w:val="continue"/>
                  <w:shd w:val="clear" w:color="auto" w:fill="FFFFFF"/>
                  <w:noWrap w:val="0"/>
                  <w:tcMar>
                    <w:top w:w="0" w:type="dxa"/>
                    <w:left w:w="0" w:type="dxa"/>
                    <w:bottom w:w="0" w:type="dxa"/>
                    <w:right w:w="0" w:type="dxa"/>
                  </w:tcMar>
                  <w:vAlign w:val="center"/>
                </w:tcPr>
                <w:p w14:paraId="6A38172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194439AA">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61103413">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015FF107">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0607FD71">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3CA5B880">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30.8 </w:t>
                  </w:r>
                </w:p>
              </w:tc>
              <w:tc>
                <w:tcPr>
                  <w:tcW w:w="154" w:type="pct"/>
                  <w:shd w:val="clear" w:color="auto" w:fill="FFFFFF"/>
                  <w:noWrap w:val="0"/>
                  <w:tcMar>
                    <w:top w:w="0" w:type="dxa"/>
                    <w:left w:w="0" w:type="dxa"/>
                    <w:bottom w:w="0" w:type="dxa"/>
                    <w:right w:w="0" w:type="dxa"/>
                  </w:tcMar>
                  <w:vAlign w:val="center"/>
                </w:tcPr>
                <w:p w14:paraId="54615846">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38.0 </w:t>
                  </w:r>
                </w:p>
              </w:tc>
              <w:tc>
                <w:tcPr>
                  <w:tcW w:w="155" w:type="pct"/>
                  <w:shd w:val="clear" w:color="auto" w:fill="FFFFFF"/>
                  <w:noWrap w:val="0"/>
                  <w:tcMar>
                    <w:top w:w="0" w:type="dxa"/>
                    <w:left w:w="0" w:type="dxa"/>
                    <w:bottom w:w="0" w:type="dxa"/>
                    <w:right w:w="0" w:type="dxa"/>
                  </w:tcMar>
                  <w:vAlign w:val="center"/>
                </w:tcPr>
                <w:p w14:paraId="6D9A1992">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29.7 </w:t>
                  </w:r>
                </w:p>
              </w:tc>
              <w:tc>
                <w:tcPr>
                  <w:tcW w:w="155" w:type="pct"/>
                  <w:shd w:val="clear" w:color="auto" w:fill="FFFFFF"/>
                  <w:noWrap w:val="0"/>
                  <w:tcMar>
                    <w:top w:w="0" w:type="dxa"/>
                    <w:left w:w="0" w:type="dxa"/>
                    <w:bottom w:w="0" w:type="dxa"/>
                    <w:right w:w="0" w:type="dxa"/>
                  </w:tcMar>
                  <w:vAlign w:val="center"/>
                </w:tcPr>
                <w:p w14:paraId="6923CCB3">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36.4 </w:t>
                  </w:r>
                </w:p>
              </w:tc>
              <w:tc>
                <w:tcPr>
                  <w:tcW w:w="265" w:type="pct"/>
                  <w:shd w:val="clear" w:color="auto" w:fill="FFFFFF"/>
                  <w:noWrap w:val="0"/>
                  <w:tcMar>
                    <w:top w:w="0" w:type="dxa"/>
                    <w:left w:w="0" w:type="dxa"/>
                    <w:bottom w:w="0" w:type="dxa"/>
                    <w:right w:w="0" w:type="dxa"/>
                  </w:tcMar>
                  <w:vAlign w:val="center"/>
                </w:tcPr>
                <w:p w14:paraId="2ADB71E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669A3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30" w:hRule="atLeast"/>
              </w:trPr>
              <w:tc>
                <w:tcPr>
                  <w:tcW w:w="165" w:type="pct"/>
                  <w:shd w:val="clear" w:color="auto" w:fill="FFFFFF"/>
                  <w:noWrap w:val="0"/>
                  <w:tcMar>
                    <w:top w:w="0" w:type="dxa"/>
                    <w:left w:w="0" w:type="dxa"/>
                    <w:bottom w:w="0" w:type="dxa"/>
                    <w:right w:w="0" w:type="dxa"/>
                  </w:tcMar>
                  <w:vAlign w:val="center"/>
                </w:tcPr>
                <w:p w14:paraId="51A1DC0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4</w:t>
                  </w:r>
                </w:p>
              </w:tc>
              <w:tc>
                <w:tcPr>
                  <w:tcW w:w="301" w:type="pct"/>
                  <w:shd w:val="clear" w:color="auto" w:fill="FFFFFF"/>
                  <w:noWrap w:val="0"/>
                  <w:tcMar>
                    <w:top w:w="0" w:type="dxa"/>
                    <w:left w:w="0" w:type="dxa"/>
                    <w:bottom w:w="0" w:type="dxa"/>
                    <w:right w:w="0" w:type="dxa"/>
                  </w:tcMar>
                  <w:vAlign w:val="center"/>
                </w:tcPr>
                <w:p w14:paraId="2EF93C8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4#厂房</w:t>
                  </w:r>
                </w:p>
              </w:tc>
              <w:tc>
                <w:tcPr>
                  <w:tcW w:w="383" w:type="pct"/>
                  <w:shd w:val="clear" w:color="auto" w:fill="FFFFFF"/>
                  <w:noWrap w:val="0"/>
                  <w:tcMar>
                    <w:top w:w="0" w:type="dxa"/>
                    <w:left w:w="0" w:type="dxa"/>
                    <w:bottom w:w="0" w:type="dxa"/>
                    <w:right w:w="0" w:type="dxa"/>
                  </w:tcMar>
                  <w:vAlign w:val="center"/>
                </w:tcPr>
                <w:p w14:paraId="638069AA">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冷却塔</w:t>
                  </w:r>
                </w:p>
              </w:tc>
              <w:tc>
                <w:tcPr>
                  <w:tcW w:w="198" w:type="pct"/>
                  <w:shd w:val="clear" w:color="auto" w:fill="FFFFFF"/>
                  <w:noWrap w:val="0"/>
                  <w:tcMar>
                    <w:top w:w="0" w:type="dxa"/>
                    <w:left w:w="0" w:type="dxa"/>
                    <w:bottom w:w="0" w:type="dxa"/>
                    <w:right w:w="0" w:type="dxa"/>
                  </w:tcMar>
                  <w:vAlign w:val="center"/>
                </w:tcPr>
                <w:p w14:paraId="5828888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54D54B1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p>
              </w:tc>
              <w:tc>
                <w:tcPr>
                  <w:tcW w:w="152" w:type="pct"/>
                  <w:shd w:val="clear" w:color="auto" w:fill="FFFFFF"/>
                  <w:noWrap w:val="0"/>
                  <w:tcMar>
                    <w:top w:w="0" w:type="dxa"/>
                    <w:left w:w="0" w:type="dxa"/>
                    <w:bottom w:w="0" w:type="dxa"/>
                    <w:right w:w="0" w:type="dxa"/>
                  </w:tcMar>
                  <w:vAlign w:val="center"/>
                </w:tcPr>
                <w:p w14:paraId="546BC02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33</w:t>
                  </w:r>
                </w:p>
              </w:tc>
              <w:tc>
                <w:tcPr>
                  <w:tcW w:w="148" w:type="pct"/>
                  <w:shd w:val="clear" w:color="auto" w:fill="FFFFFF"/>
                  <w:noWrap w:val="0"/>
                  <w:tcMar>
                    <w:top w:w="0" w:type="dxa"/>
                    <w:left w:w="0" w:type="dxa"/>
                    <w:bottom w:w="0" w:type="dxa"/>
                    <w:right w:w="0" w:type="dxa"/>
                  </w:tcMar>
                  <w:vAlign w:val="center"/>
                </w:tcPr>
                <w:p w14:paraId="213DA62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2" w:type="pct"/>
                  <w:shd w:val="clear" w:color="auto" w:fill="FFFFFF"/>
                  <w:noWrap w:val="0"/>
                  <w:tcMar>
                    <w:top w:w="0" w:type="dxa"/>
                    <w:left w:w="0" w:type="dxa"/>
                    <w:bottom w:w="0" w:type="dxa"/>
                    <w:right w:w="0" w:type="dxa"/>
                  </w:tcMar>
                  <w:vAlign w:val="center"/>
                </w:tcPr>
                <w:p w14:paraId="6695FB0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1BDB2C6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15</w:t>
                  </w:r>
                </w:p>
              </w:tc>
              <w:tc>
                <w:tcPr>
                  <w:tcW w:w="167" w:type="pct"/>
                  <w:shd w:val="clear" w:color="auto" w:fill="FFFFFF"/>
                  <w:noWrap w:val="0"/>
                  <w:tcMar>
                    <w:top w:w="0" w:type="dxa"/>
                    <w:left w:w="0" w:type="dxa"/>
                    <w:bottom w:w="0" w:type="dxa"/>
                    <w:right w:w="0" w:type="dxa"/>
                  </w:tcMar>
                  <w:vAlign w:val="center"/>
                </w:tcPr>
                <w:p w14:paraId="4FE3A954">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14</w:t>
                  </w:r>
                </w:p>
              </w:tc>
              <w:tc>
                <w:tcPr>
                  <w:tcW w:w="148" w:type="pct"/>
                  <w:shd w:val="clear" w:color="auto" w:fill="FFFFFF"/>
                  <w:noWrap w:val="0"/>
                  <w:tcMar>
                    <w:top w:w="0" w:type="dxa"/>
                    <w:left w:w="0" w:type="dxa"/>
                    <w:bottom w:w="0" w:type="dxa"/>
                    <w:right w:w="0" w:type="dxa"/>
                  </w:tcMar>
                  <w:vAlign w:val="center"/>
                </w:tcPr>
                <w:p w14:paraId="5859A47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33</w:t>
                  </w:r>
                </w:p>
              </w:tc>
              <w:tc>
                <w:tcPr>
                  <w:tcW w:w="142" w:type="pct"/>
                  <w:shd w:val="clear" w:color="auto" w:fill="FFFFFF"/>
                  <w:noWrap w:val="0"/>
                  <w:tcMar>
                    <w:top w:w="0" w:type="dxa"/>
                    <w:left w:w="0" w:type="dxa"/>
                    <w:bottom w:w="0" w:type="dxa"/>
                    <w:right w:w="0" w:type="dxa"/>
                  </w:tcMar>
                  <w:vAlign w:val="center"/>
                </w:tcPr>
                <w:p w14:paraId="75E7992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16</w:t>
                  </w:r>
                </w:p>
              </w:tc>
              <w:tc>
                <w:tcPr>
                  <w:tcW w:w="142" w:type="pct"/>
                  <w:shd w:val="clear" w:color="auto" w:fill="FFFFFF"/>
                  <w:noWrap w:val="0"/>
                  <w:tcMar>
                    <w:top w:w="0" w:type="dxa"/>
                    <w:left w:w="0" w:type="dxa"/>
                    <w:bottom w:w="0" w:type="dxa"/>
                    <w:right w:w="0" w:type="dxa"/>
                  </w:tcMar>
                  <w:vAlign w:val="center"/>
                </w:tcPr>
                <w:p w14:paraId="002746E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55.9</w:t>
                  </w:r>
                </w:p>
              </w:tc>
              <w:tc>
                <w:tcPr>
                  <w:tcW w:w="173" w:type="pct"/>
                  <w:shd w:val="clear" w:color="auto" w:fill="FFFFFF"/>
                  <w:noWrap w:val="0"/>
                  <w:tcMar>
                    <w:top w:w="0" w:type="dxa"/>
                    <w:left w:w="0" w:type="dxa"/>
                    <w:bottom w:w="0" w:type="dxa"/>
                    <w:right w:w="0" w:type="dxa"/>
                  </w:tcMar>
                  <w:vAlign w:val="center"/>
                </w:tcPr>
                <w:p w14:paraId="4C2B7F1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60.0</w:t>
                  </w:r>
                </w:p>
              </w:tc>
              <w:tc>
                <w:tcPr>
                  <w:tcW w:w="173" w:type="pct"/>
                  <w:shd w:val="clear" w:color="auto" w:fill="FFFFFF"/>
                  <w:noWrap w:val="0"/>
                  <w:tcMar>
                    <w:top w:w="0" w:type="dxa"/>
                    <w:left w:w="0" w:type="dxa"/>
                    <w:bottom w:w="0" w:type="dxa"/>
                    <w:right w:w="0" w:type="dxa"/>
                  </w:tcMar>
                  <w:vAlign w:val="center"/>
                </w:tcPr>
                <w:p w14:paraId="4BBA269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49.6</w:t>
                  </w:r>
                </w:p>
              </w:tc>
              <w:tc>
                <w:tcPr>
                  <w:tcW w:w="198" w:type="pct"/>
                  <w:shd w:val="clear" w:color="auto" w:fill="FFFFFF"/>
                  <w:noWrap w:val="0"/>
                  <w:tcMar>
                    <w:top w:w="0" w:type="dxa"/>
                    <w:left w:w="0" w:type="dxa"/>
                    <w:bottom w:w="0" w:type="dxa"/>
                    <w:right w:w="0" w:type="dxa"/>
                  </w:tcMar>
                  <w:vAlign w:val="center"/>
                </w:tcPr>
                <w:p w14:paraId="0DBD23EB">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66.0</w:t>
                  </w:r>
                </w:p>
              </w:tc>
              <w:tc>
                <w:tcPr>
                  <w:tcW w:w="247" w:type="pct"/>
                  <w:vMerge w:val="continue"/>
                  <w:shd w:val="clear" w:color="auto" w:fill="FFFFFF"/>
                  <w:noWrap w:val="0"/>
                  <w:tcMar>
                    <w:top w:w="0" w:type="dxa"/>
                    <w:left w:w="0" w:type="dxa"/>
                    <w:bottom w:w="0" w:type="dxa"/>
                    <w:right w:w="0" w:type="dxa"/>
                  </w:tcMar>
                  <w:vAlign w:val="center"/>
                </w:tcPr>
                <w:p w14:paraId="024E468F">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5CC2DA67">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044BA195">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057A0753">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6E28E70C">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1E8CDCC4">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36.5 </w:t>
                  </w:r>
                </w:p>
              </w:tc>
              <w:tc>
                <w:tcPr>
                  <w:tcW w:w="154" w:type="pct"/>
                  <w:shd w:val="clear" w:color="auto" w:fill="FFFFFF"/>
                  <w:noWrap w:val="0"/>
                  <w:tcMar>
                    <w:top w:w="0" w:type="dxa"/>
                    <w:left w:w="0" w:type="dxa"/>
                    <w:bottom w:w="0" w:type="dxa"/>
                    <w:right w:w="0" w:type="dxa"/>
                  </w:tcMar>
                  <w:vAlign w:val="center"/>
                </w:tcPr>
                <w:p w14:paraId="0179FB25">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37.1 </w:t>
                  </w:r>
                </w:p>
              </w:tc>
              <w:tc>
                <w:tcPr>
                  <w:tcW w:w="155" w:type="pct"/>
                  <w:shd w:val="clear" w:color="auto" w:fill="FFFFFF"/>
                  <w:noWrap w:val="0"/>
                  <w:tcMar>
                    <w:top w:w="0" w:type="dxa"/>
                    <w:left w:w="0" w:type="dxa"/>
                    <w:bottom w:w="0" w:type="dxa"/>
                    <w:right w:w="0" w:type="dxa"/>
                  </w:tcMar>
                  <w:vAlign w:val="center"/>
                </w:tcPr>
                <w:p w14:paraId="31472CE7">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29.6 </w:t>
                  </w:r>
                </w:p>
              </w:tc>
              <w:tc>
                <w:tcPr>
                  <w:tcW w:w="155" w:type="pct"/>
                  <w:shd w:val="clear" w:color="auto" w:fill="FFFFFF"/>
                  <w:noWrap w:val="0"/>
                  <w:tcMar>
                    <w:top w:w="0" w:type="dxa"/>
                    <w:left w:w="0" w:type="dxa"/>
                    <w:bottom w:w="0" w:type="dxa"/>
                    <w:right w:w="0" w:type="dxa"/>
                  </w:tcMar>
                  <w:vAlign w:val="center"/>
                </w:tcPr>
                <w:p w14:paraId="7DA9FA9D">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35.9 </w:t>
                  </w:r>
                </w:p>
              </w:tc>
              <w:tc>
                <w:tcPr>
                  <w:tcW w:w="265" w:type="pct"/>
                  <w:shd w:val="clear" w:color="auto" w:fill="FFFFFF"/>
                  <w:noWrap w:val="0"/>
                  <w:tcMar>
                    <w:top w:w="0" w:type="dxa"/>
                    <w:left w:w="0" w:type="dxa"/>
                    <w:bottom w:w="0" w:type="dxa"/>
                    <w:right w:w="0" w:type="dxa"/>
                  </w:tcMar>
                  <w:vAlign w:val="center"/>
                </w:tcPr>
                <w:p w14:paraId="0250684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bl>
          <w:p w14:paraId="61340493">
            <w:pPr>
              <w:keepNext w:val="0"/>
              <w:keepLines w:val="0"/>
              <w:pageBreakBefore w:val="0"/>
              <w:widowControl w:val="0"/>
              <w:kinsoku/>
              <w:wordWrap/>
              <w:overflowPunct/>
              <w:topLinePunct w:val="0"/>
              <w:bidi w:val="0"/>
              <w:adjustRightInd/>
              <w:snapToGrid/>
              <w:textAlignment w:val="auto"/>
              <w:rPr>
                <w:rFonts w:ascii="Times New Roman" w:hAnsi="Times New Roman" w:eastAsia="宋体"/>
                <w:caps w:val="0"/>
                <w:color w:val="000000" w:themeColor="text1"/>
                <w:sz w:val="22"/>
                <w:szCs w:val="22"/>
                <w:highlight w:val="none"/>
                <w14:textFill>
                  <w14:solidFill>
                    <w14:schemeClr w14:val="tx1"/>
                  </w14:solidFill>
                </w14:textFill>
              </w:rPr>
            </w:pPr>
            <w:r>
              <w:rPr>
                <w:rFonts w:hint="eastAsia" w:ascii="Times New Roman" w:hAnsi="Times New Roman" w:eastAsia="宋体"/>
                <w:bCs/>
                <w:caps w:val="0"/>
                <w:color w:val="000000" w:themeColor="text1"/>
                <w:szCs w:val="21"/>
                <w:highlight w:val="none"/>
                <w14:textFill>
                  <w14:solidFill>
                    <w14:schemeClr w14:val="tx1"/>
                  </w14:solidFill>
                </w14:textFill>
              </w:rPr>
              <w:t>注：</w:t>
            </w:r>
            <w:r>
              <w:rPr>
                <w:rFonts w:ascii="Times New Roman" w:hAnsi="Times New Roman" w:eastAsia="宋体"/>
                <w:bCs/>
                <w:caps w:val="0"/>
                <w:color w:val="000000" w:themeColor="text1"/>
                <w:szCs w:val="21"/>
                <w:highlight w:val="none"/>
                <w14:textFill>
                  <w14:solidFill>
                    <w14:schemeClr w14:val="tx1"/>
                  </w14:solidFill>
                </w14:textFill>
              </w:rPr>
              <w:t>表中坐标以</w:t>
            </w:r>
            <w:r>
              <w:rPr>
                <w:rFonts w:hint="eastAsia"/>
                <w:bCs/>
                <w:caps w:val="0"/>
                <w:color w:val="000000" w:themeColor="text1"/>
                <w:szCs w:val="21"/>
                <w:highlight w:val="none"/>
                <w:lang w:val="en-US" w:eastAsia="zh-CN"/>
                <w14:textFill>
                  <w14:solidFill>
                    <w14:schemeClr w14:val="tx1"/>
                  </w14:solidFill>
                </w14:textFill>
              </w:rPr>
              <w:t>厂房西南角</w:t>
            </w:r>
            <w:r>
              <w:rPr>
                <w:rFonts w:ascii="Times New Roman" w:hAnsi="Times New Roman" w:eastAsia="宋体"/>
                <w:bCs/>
                <w:caps w:val="0"/>
                <w:color w:val="000000" w:themeColor="text1"/>
                <w:szCs w:val="21"/>
                <w:highlight w:val="none"/>
                <w14:textFill>
                  <w14:solidFill>
                    <w14:schemeClr w14:val="tx1"/>
                  </w14:solidFill>
                </w14:textFill>
              </w:rPr>
              <w:t>为坐标原点，正东向为X轴正方向，正北向为Y轴正方向</w:t>
            </w:r>
            <w:r>
              <w:rPr>
                <w:rFonts w:hint="eastAsia" w:ascii="Times New Roman" w:hAnsi="Times New Roman" w:eastAsia="宋体"/>
                <w:bCs/>
                <w:caps w:val="0"/>
                <w:color w:val="000000" w:themeColor="text1"/>
                <w:szCs w:val="21"/>
                <w:highlight w:val="none"/>
                <w14:textFill>
                  <w14:solidFill>
                    <w14:schemeClr w14:val="tx1"/>
                  </w14:solidFill>
                </w14:textFill>
              </w:rPr>
              <w:t>。</w:t>
            </w:r>
          </w:p>
          <w:p w14:paraId="7B5660ED">
            <w:pPr>
              <w:pStyle w:val="1104"/>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ascii="Times New Roman" w:hAnsi="Times New Roman" w:eastAsia="宋体" w:cs="Times New Roman"/>
                <w:b/>
                <w:bCs/>
                <w:caps w:val="0"/>
                <w:color w:val="000000" w:themeColor="text1"/>
                <w:highlight w:val="none"/>
                <w14:textFill>
                  <w14:solidFill>
                    <w14:schemeClr w14:val="tx1"/>
                  </w14:solidFill>
                </w14:textFill>
              </w:rPr>
              <w:t>表 4-</w:t>
            </w:r>
            <w:r>
              <w:rPr>
                <w:rFonts w:hint="eastAsia" w:ascii="Times New Roman" w:hAnsi="Times New Roman" w:cs="Times New Roman"/>
                <w:b/>
                <w:bCs/>
                <w:caps w:val="0"/>
                <w:color w:val="000000" w:themeColor="text1"/>
                <w:highlight w:val="none"/>
                <w:lang w:val="en-US" w:eastAsia="zh-CN"/>
                <w14:textFill>
                  <w14:solidFill>
                    <w14:schemeClr w14:val="tx1"/>
                  </w14:solidFill>
                </w14:textFill>
              </w:rPr>
              <w:t>9</w:t>
            </w:r>
            <w:r>
              <w:rPr>
                <w:rFonts w:ascii="Times New Roman" w:hAnsi="Times New Roman" w:eastAsia="宋体" w:cs="Times New Roman"/>
                <w:b/>
                <w:bCs/>
                <w:caps w:val="0"/>
                <w:color w:val="000000" w:themeColor="text1"/>
                <w:highlight w:val="none"/>
                <w14:textFill>
                  <w14:solidFill>
                    <w14:schemeClr w14:val="tx1"/>
                  </w14:solidFill>
                </w14:textFill>
              </w:rPr>
              <w:t xml:space="preserve"> 工业企业噪声源强调查清单（室外声源）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587"/>
              <w:gridCol w:w="958"/>
              <w:gridCol w:w="1017"/>
              <w:gridCol w:w="1017"/>
              <w:gridCol w:w="781"/>
              <w:gridCol w:w="3248"/>
              <w:gridCol w:w="2220"/>
              <w:gridCol w:w="1587"/>
            </w:tblGrid>
            <w:tr w14:paraId="12FB5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357" w:type="pct"/>
                  <w:vMerge w:val="restart"/>
                  <w:tcBorders>
                    <w:tl2br w:val="nil"/>
                    <w:tr2bl w:val="nil"/>
                  </w:tcBorders>
                  <w:vAlign w:val="center"/>
                </w:tcPr>
                <w:p w14:paraId="783FE8EE">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593" w:type="pct"/>
                  <w:vMerge w:val="restart"/>
                  <w:tcBorders>
                    <w:tl2br w:val="nil"/>
                    <w:tr2bl w:val="nil"/>
                  </w:tcBorders>
                  <w:vAlign w:val="center"/>
                </w:tcPr>
                <w:p w14:paraId="60167355">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358" w:type="pct"/>
                  <w:vMerge w:val="restart"/>
                  <w:tcBorders>
                    <w:tl2br w:val="nil"/>
                    <w:tr2bl w:val="nil"/>
                  </w:tcBorders>
                  <w:vAlign w:val="center"/>
                </w:tcPr>
                <w:p w14:paraId="081E7E37">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1052" w:type="pct"/>
                  <w:gridSpan w:val="3"/>
                  <w:tcBorders>
                    <w:tl2br w:val="nil"/>
                    <w:tr2bl w:val="nil"/>
                  </w:tcBorders>
                  <w:vAlign w:val="center"/>
                </w:tcPr>
                <w:p w14:paraId="6BD63C36">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1214" w:type="pct"/>
                  <w:tcBorders>
                    <w:tl2br w:val="nil"/>
                    <w:tr2bl w:val="nil"/>
                  </w:tcBorders>
                  <w:vAlign w:val="center"/>
                </w:tcPr>
                <w:p w14:paraId="0537667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声源源强（任选一种）</w:t>
                  </w:r>
                </w:p>
              </w:tc>
              <w:tc>
                <w:tcPr>
                  <w:tcW w:w="830" w:type="pct"/>
                  <w:vMerge w:val="restart"/>
                  <w:tcBorders>
                    <w:tl2br w:val="nil"/>
                    <w:tr2bl w:val="nil"/>
                  </w:tcBorders>
                  <w:vAlign w:val="center"/>
                </w:tcPr>
                <w:p w14:paraId="3F608B5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声源控制措施</w:t>
                  </w:r>
                </w:p>
              </w:tc>
              <w:tc>
                <w:tcPr>
                  <w:tcW w:w="593" w:type="pct"/>
                  <w:vMerge w:val="restart"/>
                  <w:tcBorders>
                    <w:tl2br w:val="nil"/>
                    <w:tr2bl w:val="nil"/>
                  </w:tcBorders>
                  <w:vAlign w:val="center"/>
                </w:tcPr>
                <w:p w14:paraId="5B1A43D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r>
            <w:tr w14:paraId="280949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57" w:type="pct"/>
                  <w:vMerge w:val="continue"/>
                  <w:tcBorders>
                    <w:tl2br w:val="nil"/>
                    <w:tr2bl w:val="nil"/>
                  </w:tcBorders>
                  <w:shd w:val="clear" w:color="auto" w:fill="FFFFFF"/>
                  <w:vAlign w:val="center"/>
                </w:tcPr>
                <w:p w14:paraId="50C1FA9C">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4EC838B8">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358" w:type="pct"/>
                  <w:vMerge w:val="continue"/>
                  <w:tcBorders>
                    <w:tl2br w:val="nil"/>
                    <w:tr2bl w:val="nil"/>
                  </w:tcBorders>
                  <w:shd w:val="clear" w:color="auto" w:fill="FFFFFF"/>
                  <w:vAlign w:val="center"/>
                </w:tcPr>
                <w:p w14:paraId="1775F090">
                  <w:pPr>
                    <w:rPr>
                      <w:rFonts w:ascii="Times New Roman" w:hAnsi="Times New Roman" w:eastAsia="宋体"/>
                      <w:caps w:val="0"/>
                      <w:color w:val="000000" w:themeColor="text1"/>
                      <w:szCs w:val="21"/>
                      <w:highlight w:val="none"/>
                      <w14:textFill>
                        <w14:solidFill>
                          <w14:schemeClr w14:val="tx1"/>
                        </w14:solidFill>
                      </w14:textFill>
                    </w:rPr>
                  </w:pPr>
                </w:p>
              </w:tc>
              <w:tc>
                <w:tcPr>
                  <w:tcW w:w="380" w:type="pct"/>
                  <w:tcBorders>
                    <w:tl2br w:val="nil"/>
                    <w:tr2bl w:val="nil"/>
                  </w:tcBorders>
                  <w:shd w:val="clear" w:color="auto" w:fill="FFFFFF"/>
                  <w:vAlign w:val="center"/>
                </w:tcPr>
                <w:p w14:paraId="677C1BC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380" w:type="pct"/>
                  <w:tcBorders>
                    <w:tl2br w:val="nil"/>
                    <w:tr2bl w:val="nil"/>
                  </w:tcBorders>
                  <w:shd w:val="clear" w:color="auto" w:fill="FFFFFF"/>
                  <w:vAlign w:val="center"/>
                </w:tcPr>
                <w:p w14:paraId="4EF94E0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292" w:type="pct"/>
                  <w:tcBorders>
                    <w:tl2br w:val="nil"/>
                    <w:tr2bl w:val="nil"/>
                  </w:tcBorders>
                  <w:shd w:val="clear" w:color="auto" w:fill="FFFFFF"/>
                  <w:vAlign w:val="center"/>
                </w:tcPr>
                <w:p w14:paraId="3F0B4E48">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214" w:type="pct"/>
                  <w:tcBorders>
                    <w:tl2br w:val="nil"/>
                    <w:tr2bl w:val="nil"/>
                  </w:tcBorders>
                  <w:shd w:val="clear" w:color="auto" w:fill="FFFFFF"/>
                  <w:vAlign w:val="center"/>
                </w:tcPr>
                <w:p w14:paraId="1FBB6EF9">
                  <w:pPr>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830" w:type="pct"/>
                  <w:vMerge w:val="continue"/>
                  <w:tcBorders>
                    <w:tl2br w:val="nil"/>
                    <w:tr2bl w:val="nil"/>
                  </w:tcBorders>
                  <w:shd w:val="clear" w:color="auto" w:fill="FFFFFF"/>
                  <w:vAlign w:val="center"/>
                </w:tcPr>
                <w:p w14:paraId="2FF5ABAA">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142B8FDA">
                  <w:pPr>
                    <w:jc w:val="center"/>
                    <w:rPr>
                      <w:rFonts w:ascii="Times New Roman" w:hAnsi="Times New Roman" w:eastAsia="宋体"/>
                      <w:caps w:val="0"/>
                      <w:color w:val="000000" w:themeColor="text1"/>
                      <w:szCs w:val="21"/>
                      <w:highlight w:val="none"/>
                      <w14:textFill>
                        <w14:solidFill>
                          <w14:schemeClr w14:val="tx1"/>
                        </w14:solidFill>
                      </w14:textFill>
                    </w:rPr>
                  </w:pPr>
                </w:p>
              </w:tc>
            </w:tr>
            <w:tr w14:paraId="4C5A6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jc w:val="center"/>
              </w:trPr>
              <w:tc>
                <w:tcPr>
                  <w:tcW w:w="357" w:type="pct"/>
                  <w:tcBorders>
                    <w:tl2br w:val="nil"/>
                    <w:tr2bl w:val="nil"/>
                  </w:tcBorders>
                  <w:shd w:val="clear" w:color="auto" w:fill="FFFFFF"/>
                  <w:vAlign w:val="center"/>
                </w:tcPr>
                <w:p w14:paraId="3AB6AD09">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593" w:type="pct"/>
                  <w:tcBorders>
                    <w:tl2br w:val="nil"/>
                    <w:tr2bl w:val="nil"/>
                  </w:tcBorders>
                  <w:shd w:val="clear" w:color="auto" w:fill="FFFFFF"/>
                  <w:vAlign w:val="center"/>
                </w:tcPr>
                <w:p w14:paraId="1D10FED1">
                  <w:pPr>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风机</w:t>
                  </w:r>
                </w:p>
              </w:tc>
              <w:tc>
                <w:tcPr>
                  <w:tcW w:w="358" w:type="pct"/>
                  <w:tcBorders>
                    <w:tl2br w:val="nil"/>
                    <w:tr2bl w:val="nil"/>
                  </w:tcBorders>
                  <w:shd w:val="clear" w:color="auto" w:fill="FFFFFF"/>
                  <w:vAlign w:val="center"/>
                </w:tcPr>
                <w:p w14:paraId="52E8E2A4">
                  <w:pPr>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80" w:type="pct"/>
                  <w:tcBorders>
                    <w:tl2br w:val="nil"/>
                    <w:tr2bl w:val="nil"/>
                  </w:tcBorders>
                  <w:shd w:val="clear" w:color="auto" w:fill="FFFFFF"/>
                  <w:vAlign w:val="center"/>
                </w:tcPr>
                <w:p w14:paraId="60695130">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50</w:t>
                  </w:r>
                </w:p>
              </w:tc>
              <w:tc>
                <w:tcPr>
                  <w:tcW w:w="380" w:type="pct"/>
                  <w:tcBorders>
                    <w:tl2br w:val="nil"/>
                    <w:tr2bl w:val="nil"/>
                  </w:tcBorders>
                  <w:shd w:val="clear" w:color="auto" w:fill="FFFFFF"/>
                  <w:vAlign w:val="center"/>
                </w:tcPr>
                <w:p w14:paraId="7D6D2403">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30</w:t>
                  </w:r>
                </w:p>
              </w:tc>
              <w:tc>
                <w:tcPr>
                  <w:tcW w:w="292" w:type="pct"/>
                  <w:tcBorders>
                    <w:tl2br w:val="nil"/>
                    <w:tr2bl w:val="nil"/>
                  </w:tcBorders>
                  <w:shd w:val="clear" w:color="auto" w:fill="FFFFFF"/>
                  <w:vAlign w:val="center"/>
                </w:tcPr>
                <w:p w14:paraId="4912A42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1.2</w:t>
                  </w:r>
                </w:p>
              </w:tc>
              <w:tc>
                <w:tcPr>
                  <w:tcW w:w="1214" w:type="pct"/>
                  <w:tcBorders>
                    <w:tl2br w:val="nil"/>
                    <w:tr2bl w:val="nil"/>
                  </w:tcBorders>
                  <w:shd w:val="clear" w:color="auto" w:fill="FFFFFF"/>
                  <w:vAlign w:val="center"/>
                </w:tcPr>
                <w:p w14:paraId="265C937D">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85</w:t>
                  </w:r>
                </w:p>
              </w:tc>
              <w:tc>
                <w:tcPr>
                  <w:tcW w:w="830" w:type="pct"/>
                  <w:tcBorders>
                    <w:tl2br w:val="nil"/>
                    <w:tr2bl w:val="nil"/>
                  </w:tcBorders>
                  <w:shd w:val="clear" w:color="auto" w:fill="FFFFFF"/>
                  <w:vAlign w:val="center"/>
                </w:tcPr>
                <w:p w14:paraId="4AD25892">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减震、隔声</w:t>
                  </w:r>
                </w:p>
              </w:tc>
              <w:tc>
                <w:tcPr>
                  <w:tcW w:w="593" w:type="pct"/>
                  <w:tcBorders>
                    <w:tl2br w:val="nil"/>
                    <w:tr2bl w:val="nil"/>
                  </w:tcBorders>
                  <w:shd w:val="clear" w:color="auto" w:fill="FFFFFF"/>
                  <w:vAlign w:val="center"/>
                </w:tcPr>
                <w:p w14:paraId="011DC6A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w:t>
                  </w:r>
                  <w:r>
                    <w:rPr>
                      <w:rFonts w:hint="eastAsia"/>
                      <w:caps w:val="0"/>
                      <w:color w:val="000000" w:themeColor="text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:00-2</w:t>
                  </w:r>
                  <w:r>
                    <w:rPr>
                      <w:rFonts w:hint="eastAsia"/>
                      <w:caps w:val="0"/>
                      <w:color w:val="000000" w:themeColor="text1"/>
                      <w:szCs w:val="21"/>
                      <w:highlight w:val="none"/>
                      <w:lang w:val="en-US" w:eastAsia="zh-CN"/>
                      <w14:textFill>
                        <w14:solidFill>
                          <w14:schemeClr w14:val="tx1"/>
                        </w14:solidFill>
                      </w14:textFill>
                    </w:rPr>
                    <w:t>4</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w:t>
                  </w:r>
                </w:p>
              </w:tc>
            </w:tr>
          </w:tbl>
          <w:p w14:paraId="759D5339">
            <w:pPr>
              <w:pStyle w:val="53"/>
              <w:tabs>
                <w:tab w:val="left" w:pos="570"/>
                <w:tab w:val="center" w:pos="4422"/>
              </w:tabs>
              <w:spacing w:before="0" w:beforeAutospacing="0" w:after="0" w:afterAutospacing="0"/>
              <w:jc w:val="center"/>
              <w:outlineLvl w:val="0"/>
              <w:rPr>
                <w:rFonts w:ascii="Times New Roman" w:hAnsi="Times New Roman"/>
                <w:b/>
                <w:snapToGrid w:val="0"/>
                <w:sz w:val="30"/>
                <w:szCs w:val="30"/>
              </w:rPr>
            </w:pPr>
          </w:p>
        </w:tc>
      </w:tr>
    </w:tbl>
    <w:p w14:paraId="6FDFC0BB">
      <w:pPr>
        <w:pStyle w:val="53"/>
        <w:tabs>
          <w:tab w:val="left" w:pos="570"/>
          <w:tab w:val="center" w:pos="4422"/>
        </w:tabs>
        <w:spacing w:before="0" w:beforeAutospacing="0" w:after="0" w:afterAutospacing="0"/>
        <w:outlineLvl w:val="0"/>
        <w:rPr>
          <w:rFonts w:ascii="Times New Roman" w:hAnsi="Times New Roman"/>
          <w:b/>
          <w:snapToGrid w:val="0"/>
          <w:sz w:val="30"/>
          <w:szCs w:val="30"/>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5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Layout w:type="autofit"/>
        <w:tblCellMar>
          <w:top w:w="0" w:type="dxa"/>
          <w:left w:w="108" w:type="dxa"/>
          <w:bottom w:w="0" w:type="dxa"/>
          <w:right w:w="108" w:type="dxa"/>
        </w:tblCellMar>
      </w:tblPr>
      <w:tblGrid>
        <w:gridCol w:w="390"/>
        <w:gridCol w:w="8653"/>
      </w:tblGrid>
      <w:tr w14:paraId="19603ACA">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13295" w:hRule="atLeast"/>
        </w:trPr>
        <w:tc>
          <w:tcPr>
            <w:tcW w:w="390" w:type="dxa"/>
          </w:tcPr>
          <w:p w14:paraId="736F0FEC">
            <w:pPr>
              <w:pStyle w:val="53"/>
              <w:tabs>
                <w:tab w:val="left" w:pos="570"/>
                <w:tab w:val="center" w:pos="4422"/>
              </w:tabs>
              <w:spacing w:before="0" w:beforeAutospacing="0" w:after="0" w:afterAutospacing="0"/>
              <w:outlineLvl w:val="0"/>
              <w:rPr>
                <w:rFonts w:ascii="Times New Roman" w:hAnsi="Times New Roman"/>
                <w:b/>
                <w:snapToGrid w:val="0"/>
                <w:sz w:val="30"/>
                <w:szCs w:val="30"/>
              </w:rPr>
            </w:pPr>
          </w:p>
        </w:tc>
        <w:tc>
          <w:tcPr>
            <w:tcW w:w="8638" w:type="dxa"/>
          </w:tcPr>
          <w:p w14:paraId="06C2BC56">
            <w:pPr>
              <w:spacing w:before="100" w:beforeAutospacing="1" w:line="360" w:lineRule="auto"/>
              <w:ind w:firstLine="482" w:firstLineChars="200"/>
              <w:jc w:val="left"/>
              <w:rPr>
                <w:b/>
                <w:sz w:val="24"/>
              </w:rPr>
            </w:pPr>
            <w:r>
              <w:rPr>
                <w:rFonts w:hint="eastAsia"/>
                <w:b/>
                <w:sz w:val="24"/>
                <w:lang w:val="en-US" w:eastAsia="zh-CN"/>
              </w:rPr>
              <w:t>2</w:t>
            </w:r>
            <w:r>
              <w:rPr>
                <w:b/>
                <w:sz w:val="24"/>
              </w:rPr>
              <w:t>、预测模式</w:t>
            </w:r>
          </w:p>
          <w:p w14:paraId="77BFDC6C">
            <w:pPr>
              <w:spacing w:line="360" w:lineRule="auto"/>
              <w:ind w:firstLine="480" w:firstLineChars="200"/>
              <w:rPr>
                <w:sz w:val="24"/>
              </w:rPr>
            </w:pPr>
            <w:r>
              <w:rPr>
                <w:sz w:val="24"/>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16780962">
            <w:pPr>
              <w:spacing w:line="360" w:lineRule="auto"/>
              <w:ind w:left="480"/>
              <w:rPr>
                <w:sz w:val="24"/>
              </w:rPr>
            </w:pPr>
            <w:r>
              <w:rPr>
                <w:sz w:val="24"/>
              </w:rPr>
              <w:t>（1）声级计算</w:t>
            </w:r>
          </w:p>
          <w:p w14:paraId="160CA8AE">
            <w:pPr>
              <w:spacing w:line="360" w:lineRule="auto"/>
              <w:ind w:firstLine="480" w:firstLineChars="200"/>
              <w:rPr>
                <w:kern w:val="0"/>
                <w:sz w:val="24"/>
              </w:rPr>
            </w:pPr>
            <w:r>
              <w:rPr>
                <w:kern w:val="0"/>
                <w:sz w:val="24"/>
              </w:rPr>
              <w:t>建设项目声源在预测点产生的等效声级贡献值（L</w:t>
            </w:r>
            <w:r>
              <w:rPr>
                <w:i/>
                <w:iCs/>
                <w:kern w:val="0"/>
                <w:sz w:val="24"/>
              </w:rPr>
              <w:t>eqg</w:t>
            </w:r>
            <w:r>
              <w:rPr>
                <w:kern w:val="0"/>
                <w:sz w:val="24"/>
              </w:rPr>
              <w:t>）计算公式：</w:t>
            </w:r>
          </w:p>
          <w:p w14:paraId="7EAFD7E6">
            <w:pPr>
              <w:spacing w:before="60" w:after="60" w:line="360" w:lineRule="auto"/>
              <w:jc w:val="center"/>
              <w:rPr>
                <w:sz w:val="24"/>
              </w:rPr>
            </w:pPr>
            <w:r>
              <w:rPr>
                <w:position w:val="-28"/>
                <w:sz w:val="24"/>
              </w:rPr>
              <w:object>
                <v:shape id="_x0000_i1025" o:spt="75" type="#_x0000_t75" style="height:33pt;width:132pt;" o:ole="t" filled="f" o:preferrelative="t" stroked="f" coordsize="21600,21600">
                  <v:path/>
                  <v:fill on="f" focussize="0,0"/>
                  <v:stroke on="f" joinstyle="miter"/>
                  <v:imagedata r:id="rId15" o:title=""/>
                  <o:lock v:ext="edit" aspectratio="t"/>
                  <w10:wrap type="none"/>
                  <w10:anchorlock/>
                </v:shape>
                <o:OLEObject Type="Embed" ProgID="Equation.3" ShapeID="_x0000_i1025" DrawAspect="Content" ObjectID="_1468075725" r:id="rId14">
                  <o:LockedField>false</o:LockedField>
                </o:OLEObject>
              </w:object>
            </w:r>
          </w:p>
          <w:p w14:paraId="3AFA97B4">
            <w:pPr>
              <w:spacing w:before="60" w:after="60" w:line="360" w:lineRule="auto"/>
              <w:ind w:firstLine="480" w:firstLineChars="200"/>
              <w:rPr>
                <w:sz w:val="24"/>
              </w:rPr>
            </w:pPr>
            <w:r>
              <w:rPr>
                <w:sz w:val="24"/>
              </w:rPr>
              <w:t>式中：</w:t>
            </w:r>
            <w:r>
              <w:rPr>
                <w:i/>
                <w:sz w:val="24"/>
              </w:rPr>
              <w:t>L</w:t>
            </w:r>
            <w:r>
              <w:rPr>
                <w:sz w:val="24"/>
                <w:vertAlign w:val="subscript"/>
              </w:rPr>
              <w:t>eqg</w:t>
            </w:r>
            <w:r>
              <w:rPr>
                <w:sz w:val="24"/>
              </w:rPr>
              <w:t>—建设项目声源在预测点的等效声级贡献值，dB（A）；</w:t>
            </w:r>
          </w:p>
          <w:p w14:paraId="3A9AA5B0">
            <w:pPr>
              <w:spacing w:before="60" w:after="60" w:line="360" w:lineRule="auto"/>
              <w:ind w:firstLine="1200" w:firstLineChars="500"/>
              <w:rPr>
                <w:sz w:val="24"/>
              </w:rPr>
            </w:pPr>
            <w:r>
              <w:rPr>
                <w:i/>
                <w:sz w:val="24"/>
              </w:rPr>
              <w:t>L</w:t>
            </w:r>
            <w:r>
              <w:rPr>
                <w:sz w:val="24"/>
                <w:vertAlign w:val="subscript"/>
              </w:rPr>
              <w:t>Ai</w:t>
            </w:r>
            <w:r>
              <w:rPr>
                <w:sz w:val="24"/>
              </w:rPr>
              <w:t>—i声源在预测点产生的A声级，dB（A）；</w:t>
            </w:r>
          </w:p>
          <w:p w14:paraId="59D32DD9">
            <w:pPr>
              <w:spacing w:before="60" w:after="60" w:line="360" w:lineRule="auto"/>
              <w:ind w:firstLine="1200" w:firstLineChars="500"/>
              <w:rPr>
                <w:sz w:val="24"/>
              </w:rPr>
            </w:pPr>
            <w:r>
              <w:rPr>
                <w:i/>
                <w:sz w:val="24"/>
              </w:rPr>
              <w:t>T</w:t>
            </w:r>
            <w:r>
              <w:rPr>
                <w:sz w:val="24"/>
              </w:rPr>
              <w:t>—预测计算的时间段，s；</w:t>
            </w:r>
          </w:p>
          <w:p w14:paraId="1592C0AA">
            <w:pPr>
              <w:spacing w:before="60" w:after="60" w:line="360" w:lineRule="auto"/>
              <w:ind w:firstLine="1200" w:firstLineChars="500"/>
              <w:rPr>
                <w:sz w:val="24"/>
              </w:rPr>
            </w:pPr>
            <w:r>
              <w:rPr>
                <w:i/>
                <w:sz w:val="24"/>
              </w:rPr>
              <w:t>t</w:t>
            </w:r>
            <w:r>
              <w:rPr>
                <w:i/>
                <w:sz w:val="24"/>
                <w:vertAlign w:val="subscript"/>
              </w:rPr>
              <w:t>i</w:t>
            </w:r>
            <w:r>
              <w:rPr>
                <w:sz w:val="24"/>
              </w:rPr>
              <w:t>—i声源在T时段内的运行时间，s。</w:t>
            </w:r>
          </w:p>
          <w:p w14:paraId="39F603A3">
            <w:pPr>
              <w:spacing w:line="360" w:lineRule="auto"/>
              <w:ind w:firstLine="480" w:firstLineChars="200"/>
              <w:rPr>
                <w:kern w:val="0"/>
                <w:sz w:val="24"/>
              </w:rPr>
            </w:pPr>
            <w:r>
              <w:rPr>
                <w:kern w:val="0"/>
                <w:sz w:val="24"/>
              </w:rPr>
              <w:t>（2）预测点的预测等效声级（</w:t>
            </w:r>
            <w:r>
              <w:rPr>
                <w:i/>
                <w:iCs/>
                <w:kern w:val="0"/>
                <w:sz w:val="24"/>
              </w:rPr>
              <w:t>Leq</w:t>
            </w:r>
            <w:r>
              <w:rPr>
                <w:kern w:val="0"/>
                <w:sz w:val="24"/>
              </w:rPr>
              <w:t>）计算公式</w:t>
            </w:r>
          </w:p>
          <w:p w14:paraId="2DF661CD">
            <w:pPr>
              <w:spacing w:before="60" w:after="60" w:line="360" w:lineRule="auto"/>
              <w:jc w:val="center"/>
              <w:rPr>
                <w:sz w:val="24"/>
              </w:rPr>
            </w:pPr>
            <w:r>
              <w:rPr>
                <w:position w:val="-14"/>
                <w:sz w:val="24"/>
              </w:rPr>
              <w:object>
                <v:shape id="_x0000_i1026" o:spt="75" type="#_x0000_t75" style="height:21pt;width:141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14:paraId="6012CA4A">
            <w:pPr>
              <w:spacing w:before="60" w:after="60" w:line="360" w:lineRule="auto"/>
              <w:ind w:firstLine="480" w:firstLineChars="200"/>
              <w:rPr>
                <w:kern w:val="0"/>
                <w:sz w:val="24"/>
              </w:rPr>
            </w:pPr>
            <w:r>
              <w:rPr>
                <w:kern w:val="0"/>
                <w:sz w:val="24"/>
              </w:rPr>
              <w:t>式中：</w:t>
            </w:r>
            <w:r>
              <w:rPr>
                <w:i/>
                <w:iCs/>
                <w:kern w:val="0"/>
                <w:sz w:val="24"/>
              </w:rPr>
              <w:t>L</w:t>
            </w:r>
            <w:r>
              <w:rPr>
                <w:i/>
                <w:iCs/>
                <w:kern w:val="0"/>
                <w:sz w:val="24"/>
                <w:vertAlign w:val="subscript"/>
              </w:rPr>
              <w:t xml:space="preserve"> eq g</w:t>
            </w:r>
            <w:r>
              <w:rPr>
                <w:i/>
                <w:iCs/>
                <w:kern w:val="0"/>
                <w:sz w:val="24"/>
              </w:rPr>
              <w:t xml:space="preserve"> </w:t>
            </w:r>
            <w:r>
              <w:rPr>
                <w:kern w:val="0"/>
                <w:sz w:val="24"/>
              </w:rPr>
              <w:t>—建设项目声源在预测点的等效声级贡献值，dB（A）；</w:t>
            </w:r>
          </w:p>
          <w:p w14:paraId="4BE76A66">
            <w:pPr>
              <w:spacing w:before="60" w:after="60" w:line="360" w:lineRule="auto"/>
              <w:ind w:firstLine="1200" w:firstLineChars="500"/>
              <w:rPr>
                <w:sz w:val="24"/>
                <w:szCs w:val="20"/>
              </w:rPr>
            </w:pPr>
            <w:r>
              <w:rPr>
                <w:i/>
                <w:iCs/>
                <w:kern w:val="0"/>
                <w:sz w:val="24"/>
              </w:rPr>
              <w:t>L</w:t>
            </w:r>
            <w:r>
              <w:rPr>
                <w:i/>
                <w:iCs/>
                <w:kern w:val="0"/>
                <w:sz w:val="24"/>
                <w:vertAlign w:val="subscript"/>
              </w:rPr>
              <w:t xml:space="preserve"> eqb</w:t>
            </w:r>
            <w:r>
              <w:rPr>
                <w:kern w:val="0"/>
                <w:sz w:val="24"/>
              </w:rPr>
              <w:t>—预测点的背景值，dB（A）</w:t>
            </w:r>
            <w:r>
              <w:rPr>
                <w:sz w:val="24"/>
              </w:rPr>
              <w:t>。</w:t>
            </w:r>
          </w:p>
          <w:p w14:paraId="07E9AC04">
            <w:pPr>
              <w:widowControl/>
              <w:spacing w:line="360" w:lineRule="auto"/>
              <w:ind w:firstLine="482" w:firstLineChars="200"/>
              <w:jc w:val="left"/>
              <w:rPr>
                <w:b/>
                <w:kern w:val="0"/>
                <w:sz w:val="24"/>
              </w:rPr>
            </w:pPr>
            <w:r>
              <w:rPr>
                <w:rFonts w:hint="eastAsia"/>
                <w:b/>
                <w:kern w:val="0"/>
                <w:sz w:val="24"/>
                <w:lang w:val="en-US" w:eastAsia="zh-CN"/>
              </w:rPr>
              <w:t>3</w:t>
            </w:r>
            <w:r>
              <w:rPr>
                <w:b/>
                <w:kern w:val="0"/>
                <w:sz w:val="24"/>
              </w:rPr>
              <w:t>、预测结果</w:t>
            </w:r>
          </w:p>
          <w:p w14:paraId="2A78CA94">
            <w:pPr>
              <w:widowControl/>
              <w:spacing w:line="360" w:lineRule="auto"/>
              <w:ind w:firstLine="480" w:firstLineChars="200"/>
              <w:jc w:val="left"/>
              <w:rPr>
                <w:kern w:val="0"/>
                <w:sz w:val="24"/>
              </w:rPr>
            </w:pPr>
            <w:r>
              <w:rPr>
                <w:kern w:val="0"/>
                <w:sz w:val="24"/>
              </w:rPr>
              <w:t>拟建项目运行时昼间</w:t>
            </w:r>
            <w:r>
              <w:rPr>
                <w:rFonts w:hint="eastAsia"/>
                <w:kern w:val="0"/>
                <w:sz w:val="24"/>
                <w:lang w:eastAsia="zh-CN"/>
              </w:rPr>
              <w:t>、</w:t>
            </w:r>
            <w:r>
              <w:rPr>
                <w:rFonts w:hint="eastAsia"/>
                <w:kern w:val="0"/>
                <w:sz w:val="24"/>
                <w:lang w:val="en-US" w:eastAsia="zh-CN"/>
              </w:rPr>
              <w:t>夜间</w:t>
            </w:r>
            <w:r>
              <w:rPr>
                <w:kern w:val="0"/>
                <w:sz w:val="24"/>
              </w:rPr>
              <w:t>预测噪声排放值结果如下。</w:t>
            </w:r>
          </w:p>
          <w:p w14:paraId="77006149">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rFonts w:hint="eastAsia" w:eastAsia="宋体"/>
                <w:b/>
                <w:kern w:val="0"/>
                <w:sz w:val="24"/>
                <w:lang w:eastAsia="zh-CN"/>
              </w:rPr>
            </w:pPr>
            <w:r>
              <w:rPr>
                <w:b/>
                <w:kern w:val="0"/>
                <w:sz w:val="24"/>
              </w:rPr>
              <w:t>表4-1</w:t>
            </w:r>
            <w:r>
              <w:rPr>
                <w:rFonts w:hint="eastAsia"/>
                <w:b/>
                <w:kern w:val="0"/>
                <w:sz w:val="24"/>
                <w:lang w:val="en-US" w:eastAsia="zh-CN"/>
              </w:rPr>
              <w:t>0</w:t>
            </w:r>
            <w:r>
              <w:rPr>
                <w:b/>
                <w:kern w:val="0"/>
                <w:sz w:val="24"/>
              </w:rPr>
              <w:t xml:space="preserve">  噪声排放预测结果  单位：dB</w:t>
            </w:r>
            <w:r>
              <w:rPr>
                <w:rFonts w:hint="eastAsia"/>
                <w:b/>
                <w:kern w:val="0"/>
                <w:sz w:val="24"/>
                <w:lang w:eastAsia="zh-CN"/>
              </w:rPr>
              <w:t>（</w:t>
            </w:r>
            <w:r>
              <w:rPr>
                <w:b/>
                <w:kern w:val="0"/>
                <w:sz w:val="24"/>
              </w:rPr>
              <w:t>A</w:t>
            </w:r>
            <w:r>
              <w:rPr>
                <w:rFonts w:hint="eastAsia"/>
                <w:b/>
                <w:kern w:val="0"/>
                <w:sz w:val="24"/>
                <w:lang w:eastAsia="zh-CN"/>
              </w:rPr>
              <w:t>）</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1080"/>
              <w:gridCol w:w="1106"/>
              <w:gridCol w:w="950"/>
              <w:gridCol w:w="1219"/>
              <w:gridCol w:w="1691"/>
              <w:gridCol w:w="1231"/>
            </w:tblGrid>
            <w:tr w14:paraId="051813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687" w:type="pct"/>
                  <w:vMerge w:val="restart"/>
                  <w:tcBorders>
                    <w:tl2br w:val="nil"/>
                    <w:tr2bl w:val="nil"/>
                  </w:tcBorders>
                  <w:shd w:val="clear" w:color="auto" w:fill="auto"/>
                  <w:vAlign w:val="center"/>
                </w:tcPr>
                <w:p w14:paraId="64A11F55">
                  <w:pPr>
                    <w:autoSpaceDE w:val="0"/>
                    <w:autoSpaceDN w:val="0"/>
                    <w:jc w:val="center"/>
                    <w:rPr>
                      <w:b/>
                      <w:szCs w:val="21"/>
                    </w:rPr>
                  </w:pPr>
                  <w:r>
                    <w:rPr>
                      <w:b/>
                      <w:szCs w:val="21"/>
                    </w:rPr>
                    <w:t>预测</w:t>
                  </w:r>
                </w:p>
                <w:p w14:paraId="143BFCCA">
                  <w:pPr>
                    <w:autoSpaceDE w:val="0"/>
                    <w:autoSpaceDN w:val="0"/>
                    <w:jc w:val="center"/>
                    <w:rPr>
                      <w:szCs w:val="21"/>
                    </w:rPr>
                  </w:pPr>
                  <w:r>
                    <w:rPr>
                      <w:b/>
                      <w:szCs w:val="21"/>
                    </w:rPr>
                    <w:t>方位</w:t>
                  </w:r>
                </w:p>
              </w:tc>
              <w:tc>
                <w:tcPr>
                  <w:tcW w:w="1858" w:type="pct"/>
                  <w:gridSpan w:val="3"/>
                  <w:tcBorders>
                    <w:tl2br w:val="nil"/>
                    <w:tr2bl w:val="nil"/>
                  </w:tcBorders>
                  <w:shd w:val="clear" w:color="auto" w:fill="auto"/>
                  <w:vAlign w:val="center"/>
                </w:tcPr>
                <w:p w14:paraId="5C5D7CFD">
                  <w:pPr>
                    <w:autoSpaceDE w:val="0"/>
                    <w:autoSpaceDN w:val="0"/>
                    <w:jc w:val="center"/>
                    <w:rPr>
                      <w:szCs w:val="21"/>
                    </w:rPr>
                  </w:pPr>
                  <w:r>
                    <w:rPr>
                      <w:b/>
                      <w:szCs w:val="21"/>
                    </w:rPr>
                    <w:t>空间相对位置/m</w:t>
                  </w:r>
                </w:p>
              </w:tc>
              <w:tc>
                <w:tcPr>
                  <w:tcW w:w="722" w:type="pct"/>
                  <w:vMerge w:val="restart"/>
                  <w:tcBorders>
                    <w:tl2br w:val="nil"/>
                    <w:tr2bl w:val="nil"/>
                  </w:tcBorders>
                  <w:shd w:val="clear" w:color="auto" w:fill="auto"/>
                  <w:vAlign w:val="center"/>
                </w:tcPr>
                <w:p w14:paraId="0990EB2D">
                  <w:pPr>
                    <w:autoSpaceDE w:val="0"/>
                    <w:autoSpaceDN w:val="0"/>
                    <w:jc w:val="center"/>
                    <w:rPr>
                      <w:szCs w:val="21"/>
                    </w:rPr>
                  </w:pPr>
                  <w:r>
                    <w:rPr>
                      <w:b/>
                      <w:szCs w:val="21"/>
                    </w:rPr>
                    <w:t>时段</w:t>
                  </w:r>
                </w:p>
              </w:tc>
              <w:tc>
                <w:tcPr>
                  <w:tcW w:w="1002" w:type="pct"/>
                  <w:vMerge w:val="restart"/>
                  <w:tcBorders>
                    <w:tl2br w:val="nil"/>
                    <w:tr2bl w:val="nil"/>
                  </w:tcBorders>
                  <w:vAlign w:val="center"/>
                </w:tcPr>
                <w:p w14:paraId="179ADB17">
                  <w:pPr>
                    <w:autoSpaceDE w:val="0"/>
                    <w:autoSpaceDN w:val="0"/>
                    <w:jc w:val="center"/>
                    <w:rPr>
                      <w:b/>
                      <w:szCs w:val="21"/>
                    </w:rPr>
                  </w:pPr>
                  <w:r>
                    <w:rPr>
                      <w:b/>
                      <w:szCs w:val="21"/>
                    </w:rPr>
                    <w:t>贡献值</w:t>
                  </w:r>
                </w:p>
                <w:p w14:paraId="2AD3CE9C">
                  <w:pPr>
                    <w:autoSpaceDE w:val="0"/>
                    <w:autoSpaceDN w:val="0"/>
                    <w:jc w:val="center"/>
                    <w:rPr>
                      <w:b/>
                      <w:szCs w:val="21"/>
                    </w:rPr>
                  </w:pPr>
                  <w:r>
                    <w:rPr>
                      <w:b/>
                      <w:szCs w:val="21"/>
                    </w:rPr>
                    <w:t>dB（A）</w:t>
                  </w:r>
                </w:p>
              </w:tc>
              <w:tc>
                <w:tcPr>
                  <w:tcW w:w="729" w:type="pct"/>
                  <w:vMerge w:val="restart"/>
                  <w:tcBorders>
                    <w:tl2br w:val="nil"/>
                    <w:tr2bl w:val="nil"/>
                  </w:tcBorders>
                  <w:shd w:val="clear" w:color="auto" w:fill="auto"/>
                  <w:vAlign w:val="center"/>
                </w:tcPr>
                <w:p w14:paraId="1AA9F491">
                  <w:pPr>
                    <w:autoSpaceDE w:val="0"/>
                    <w:autoSpaceDN w:val="0"/>
                    <w:jc w:val="center"/>
                    <w:rPr>
                      <w:b/>
                      <w:szCs w:val="21"/>
                    </w:rPr>
                  </w:pPr>
                  <w:r>
                    <w:rPr>
                      <w:b/>
                      <w:szCs w:val="21"/>
                    </w:rPr>
                    <w:t>标准值dB（A）</w:t>
                  </w:r>
                </w:p>
              </w:tc>
            </w:tr>
            <w:tr w14:paraId="30963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87" w:type="pct"/>
                  <w:vMerge w:val="continue"/>
                  <w:tcBorders>
                    <w:tl2br w:val="nil"/>
                    <w:tr2bl w:val="nil"/>
                  </w:tcBorders>
                  <w:shd w:val="clear" w:color="auto" w:fill="auto"/>
                  <w:vAlign w:val="center"/>
                </w:tcPr>
                <w:p w14:paraId="07B0F184">
                  <w:pPr>
                    <w:widowControl/>
                    <w:jc w:val="center"/>
                    <w:rPr>
                      <w:szCs w:val="21"/>
                    </w:rPr>
                  </w:pPr>
                </w:p>
              </w:tc>
              <w:tc>
                <w:tcPr>
                  <w:tcW w:w="640" w:type="pct"/>
                  <w:tcBorders>
                    <w:tl2br w:val="nil"/>
                    <w:tr2bl w:val="nil"/>
                  </w:tcBorders>
                  <w:shd w:val="clear" w:color="auto" w:fill="auto"/>
                  <w:vAlign w:val="center"/>
                </w:tcPr>
                <w:p w14:paraId="2A2E0A87">
                  <w:pPr>
                    <w:autoSpaceDE w:val="0"/>
                    <w:autoSpaceDN w:val="0"/>
                    <w:jc w:val="center"/>
                    <w:rPr>
                      <w:b/>
                      <w:szCs w:val="21"/>
                    </w:rPr>
                  </w:pPr>
                  <w:r>
                    <w:rPr>
                      <w:b/>
                      <w:szCs w:val="21"/>
                    </w:rPr>
                    <w:t>X</w:t>
                  </w:r>
                </w:p>
              </w:tc>
              <w:tc>
                <w:tcPr>
                  <w:tcW w:w="655" w:type="pct"/>
                  <w:tcBorders>
                    <w:tl2br w:val="nil"/>
                    <w:tr2bl w:val="nil"/>
                  </w:tcBorders>
                  <w:shd w:val="clear" w:color="auto" w:fill="auto"/>
                  <w:vAlign w:val="center"/>
                </w:tcPr>
                <w:p w14:paraId="4356B203">
                  <w:pPr>
                    <w:autoSpaceDE w:val="0"/>
                    <w:autoSpaceDN w:val="0"/>
                    <w:jc w:val="center"/>
                    <w:rPr>
                      <w:b/>
                      <w:szCs w:val="21"/>
                    </w:rPr>
                  </w:pPr>
                  <w:r>
                    <w:rPr>
                      <w:b/>
                      <w:szCs w:val="21"/>
                    </w:rPr>
                    <w:t>Y</w:t>
                  </w:r>
                </w:p>
              </w:tc>
              <w:tc>
                <w:tcPr>
                  <w:tcW w:w="563" w:type="pct"/>
                  <w:tcBorders>
                    <w:tl2br w:val="nil"/>
                    <w:tr2bl w:val="nil"/>
                  </w:tcBorders>
                  <w:shd w:val="clear" w:color="auto" w:fill="auto"/>
                  <w:vAlign w:val="center"/>
                </w:tcPr>
                <w:p w14:paraId="6FF7F62D">
                  <w:pPr>
                    <w:autoSpaceDE w:val="0"/>
                    <w:autoSpaceDN w:val="0"/>
                    <w:jc w:val="center"/>
                    <w:rPr>
                      <w:b/>
                      <w:szCs w:val="21"/>
                    </w:rPr>
                  </w:pPr>
                  <w:r>
                    <w:rPr>
                      <w:b/>
                      <w:szCs w:val="21"/>
                    </w:rPr>
                    <w:t>Z</w:t>
                  </w:r>
                </w:p>
              </w:tc>
              <w:tc>
                <w:tcPr>
                  <w:tcW w:w="722" w:type="pct"/>
                  <w:vMerge w:val="continue"/>
                  <w:tcBorders>
                    <w:tl2br w:val="nil"/>
                    <w:tr2bl w:val="nil"/>
                  </w:tcBorders>
                  <w:shd w:val="clear" w:color="auto" w:fill="auto"/>
                  <w:vAlign w:val="center"/>
                </w:tcPr>
                <w:p w14:paraId="16AC1B6E">
                  <w:pPr>
                    <w:widowControl/>
                    <w:jc w:val="center"/>
                    <w:rPr>
                      <w:szCs w:val="21"/>
                    </w:rPr>
                  </w:pPr>
                </w:p>
              </w:tc>
              <w:tc>
                <w:tcPr>
                  <w:tcW w:w="1002" w:type="pct"/>
                  <w:vMerge w:val="continue"/>
                  <w:tcBorders>
                    <w:tl2br w:val="nil"/>
                    <w:tr2bl w:val="nil"/>
                  </w:tcBorders>
                  <w:vAlign w:val="center"/>
                </w:tcPr>
                <w:p w14:paraId="63A500D5">
                  <w:pPr>
                    <w:widowControl/>
                    <w:jc w:val="center"/>
                    <w:rPr>
                      <w:szCs w:val="21"/>
                    </w:rPr>
                  </w:pPr>
                </w:p>
              </w:tc>
              <w:tc>
                <w:tcPr>
                  <w:tcW w:w="729" w:type="pct"/>
                  <w:vMerge w:val="continue"/>
                  <w:tcBorders>
                    <w:tl2br w:val="nil"/>
                    <w:tr2bl w:val="nil"/>
                  </w:tcBorders>
                  <w:shd w:val="clear" w:color="auto" w:fill="auto"/>
                  <w:vAlign w:val="center"/>
                </w:tcPr>
                <w:p w14:paraId="4C1DDC38">
                  <w:pPr>
                    <w:widowControl/>
                    <w:jc w:val="center"/>
                    <w:rPr>
                      <w:szCs w:val="21"/>
                    </w:rPr>
                  </w:pPr>
                </w:p>
              </w:tc>
            </w:tr>
            <w:tr w14:paraId="61C1F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0F07BA48">
                  <w:pPr>
                    <w:autoSpaceDE w:val="0"/>
                    <w:autoSpaceDN w:val="0"/>
                    <w:jc w:val="center"/>
                    <w:rPr>
                      <w:szCs w:val="21"/>
                    </w:rPr>
                  </w:pPr>
                  <w:r>
                    <w:rPr>
                      <w:szCs w:val="21"/>
                    </w:rPr>
                    <w:t>东侧</w:t>
                  </w:r>
                </w:p>
              </w:tc>
              <w:tc>
                <w:tcPr>
                  <w:tcW w:w="640" w:type="pct"/>
                  <w:vMerge w:val="restart"/>
                  <w:tcBorders>
                    <w:tl2br w:val="nil"/>
                    <w:tr2bl w:val="nil"/>
                  </w:tcBorders>
                  <w:shd w:val="clear" w:color="auto" w:fill="auto"/>
                  <w:vAlign w:val="center"/>
                </w:tcPr>
                <w:p w14:paraId="368203F2">
                  <w:pPr>
                    <w:jc w:val="center"/>
                    <w:rPr>
                      <w:rFonts w:hint="default" w:eastAsia="宋体"/>
                      <w:szCs w:val="21"/>
                      <w:lang w:val="en-US" w:eastAsia="zh-CN"/>
                    </w:rPr>
                  </w:pPr>
                  <w:r>
                    <w:rPr>
                      <w:rFonts w:hint="eastAsia"/>
                      <w:szCs w:val="21"/>
                      <w:lang w:val="en-US" w:eastAsia="zh-CN"/>
                    </w:rPr>
                    <w:t>20</w:t>
                  </w:r>
                </w:p>
              </w:tc>
              <w:tc>
                <w:tcPr>
                  <w:tcW w:w="655" w:type="pct"/>
                  <w:vMerge w:val="restart"/>
                  <w:tcBorders>
                    <w:tl2br w:val="nil"/>
                    <w:tr2bl w:val="nil"/>
                  </w:tcBorders>
                  <w:shd w:val="clear" w:color="auto" w:fill="auto"/>
                  <w:vAlign w:val="center"/>
                </w:tcPr>
                <w:p w14:paraId="34DE1FB3">
                  <w:pPr>
                    <w:jc w:val="center"/>
                    <w:rPr>
                      <w:rFonts w:hint="eastAsia" w:eastAsia="宋体"/>
                      <w:szCs w:val="21"/>
                      <w:lang w:eastAsia="zh-CN"/>
                    </w:rPr>
                  </w:pPr>
                  <w:r>
                    <w:rPr>
                      <w:rFonts w:hint="eastAsia"/>
                      <w:szCs w:val="21"/>
                      <w:lang w:val="en-US" w:eastAsia="zh-CN"/>
                    </w:rPr>
                    <w:t>5</w:t>
                  </w:r>
                </w:p>
              </w:tc>
              <w:tc>
                <w:tcPr>
                  <w:tcW w:w="563" w:type="pct"/>
                  <w:vMerge w:val="restart"/>
                  <w:tcBorders>
                    <w:tl2br w:val="nil"/>
                    <w:tr2bl w:val="nil"/>
                  </w:tcBorders>
                  <w:shd w:val="clear" w:color="auto" w:fill="auto"/>
                  <w:vAlign w:val="center"/>
                </w:tcPr>
                <w:p w14:paraId="4872E620">
                  <w:pPr>
                    <w:jc w:val="center"/>
                    <w:rPr>
                      <w:szCs w:val="21"/>
                    </w:rPr>
                  </w:pPr>
                  <w:r>
                    <w:rPr>
                      <w:rFonts w:eastAsia="Arial"/>
                      <w:szCs w:val="21"/>
                    </w:rPr>
                    <w:t>1.2</w:t>
                  </w:r>
                </w:p>
              </w:tc>
              <w:tc>
                <w:tcPr>
                  <w:tcW w:w="722" w:type="pct"/>
                  <w:tcBorders>
                    <w:tl2br w:val="nil"/>
                    <w:tr2bl w:val="nil"/>
                  </w:tcBorders>
                  <w:shd w:val="clear" w:color="auto" w:fill="auto"/>
                  <w:vAlign w:val="center"/>
                </w:tcPr>
                <w:p w14:paraId="7AF33A21">
                  <w:pPr>
                    <w:autoSpaceDE w:val="0"/>
                    <w:autoSpaceDN w:val="0"/>
                    <w:jc w:val="center"/>
                    <w:rPr>
                      <w:szCs w:val="21"/>
                    </w:rPr>
                  </w:pPr>
                  <w:r>
                    <w:rPr>
                      <w:szCs w:val="21"/>
                    </w:rPr>
                    <w:t>昼间</w:t>
                  </w:r>
                </w:p>
              </w:tc>
              <w:tc>
                <w:tcPr>
                  <w:tcW w:w="1002" w:type="pct"/>
                  <w:tcBorders>
                    <w:tl2br w:val="nil"/>
                    <w:tr2bl w:val="nil"/>
                  </w:tcBorders>
                  <w:vAlign w:val="center"/>
                </w:tcPr>
                <w:p w14:paraId="600A0264">
                  <w:pPr>
                    <w:autoSpaceDN w:val="0"/>
                    <w:jc w:val="center"/>
                    <w:textAlignment w:val="center"/>
                    <w:rPr>
                      <w:rFonts w:hint="default" w:eastAsia="宋体"/>
                      <w:szCs w:val="21"/>
                      <w:lang w:val="en-US" w:eastAsia="zh-CN"/>
                    </w:rPr>
                  </w:pPr>
                  <w:r>
                    <w:rPr>
                      <w:rFonts w:hint="eastAsia"/>
                      <w:szCs w:val="21"/>
                      <w:lang w:val="en-US" w:eastAsia="zh-CN"/>
                    </w:rPr>
                    <w:t>39.4</w:t>
                  </w:r>
                </w:p>
              </w:tc>
              <w:tc>
                <w:tcPr>
                  <w:tcW w:w="729" w:type="pct"/>
                  <w:tcBorders>
                    <w:tl2br w:val="nil"/>
                    <w:tr2bl w:val="nil"/>
                  </w:tcBorders>
                  <w:shd w:val="clear" w:color="auto" w:fill="auto"/>
                  <w:vAlign w:val="center"/>
                </w:tcPr>
                <w:p w14:paraId="7B0AA0A6">
                  <w:pPr>
                    <w:autoSpaceDN w:val="0"/>
                    <w:jc w:val="center"/>
                    <w:textAlignment w:val="center"/>
                    <w:rPr>
                      <w:szCs w:val="21"/>
                    </w:rPr>
                  </w:pPr>
                  <w:r>
                    <w:rPr>
                      <w:szCs w:val="21"/>
                    </w:rPr>
                    <w:t>65</w:t>
                  </w:r>
                </w:p>
              </w:tc>
            </w:tr>
            <w:tr w14:paraId="58B584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383A724F">
                  <w:pPr>
                    <w:autoSpaceDE w:val="0"/>
                    <w:autoSpaceDN w:val="0"/>
                    <w:jc w:val="center"/>
                    <w:rPr>
                      <w:szCs w:val="21"/>
                    </w:rPr>
                  </w:pPr>
                </w:p>
              </w:tc>
              <w:tc>
                <w:tcPr>
                  <w:tcW w:w="640" w:type="pct"/>
                  <w:vMerge w:val="continue"/>
                  <w:tcBorders>
                    <w:tl2br w:val="nil"/>
                    <w:tr2bl w:val="nil"/>
                  </w:tcBorders>
                  <w:shd w:val="clear" w:color="auto" w:fill="auto"/>
                  <w:vAlign w:val="center"/>
                </w:tcPr>
                <w:p w14:paraId="3879F5E8">
                  <w:pPr>
                    <w:jc w:val="center"/>
                    <w:rPr>
                      <w:rFonts w:eastAsia="Arial"/>
                      <w:szCs w:val="21"/>
                    </w:rPr>
                  </w:pPr>
                </w:p>
              </w:tc>
              <w:tc>
                <w:tcPr>
                  <w:tcW w:w="655" w:type="pct"/>
                  <w:vMerge w:val="continue"/>
                  <w:tcBorders>
                    <w:tl2br w:val="nil"/>
                    <w:tr2bl w:val="nil"/>
                  </w:tcBorders>
                  <w:shd w:val="clear" w:color="auto" w:fill="auto"/>
                  <w:vAlign w:val="center"/>
                </w:tcPr>
                <w:p w14:paraId="691F0DB1">
                  <w:pPr>
                    <w:jc w:val="center"/>
                    <w:rPr>
                      <w:rFonts w:eastAsia="Arial"/>
                      <w:szCs w:val="21"/>
                    </w:rPr>
                  </w:pPr>
                </w:p>
              </w:tc>
              <w:tc>
                <w:tcPr>
                  <w:tcW w:w="563" w:type="pct"/>
                  <w:vMerge w:val="continue"/>
                  <w:tcBorders>
                    <w:tl2br w:val="nil"/>
                    <w:tr2bl w:val="nil"/>
                  </w:tcBorders>
                  <w:shd w:val="clear" w:color="auto" w:fill="auto"/>
                  <w:vAlign w:val="center"/>
                </w:tcPr>
                <w:p w14:paraId="7DA21452">
                  <w:pPr>
                    <w:jc w:val="center"/>
                    <w:rPr>
                      <w:rFonts w:eastAsia="Arial"/>
                      <w:szCs w:val="21"/>
                    </w:rPr>
                  </w:pPr>
                </w:p>
              </w:tc>
              <w:tc>
                <w:tcPr>
                  <w:tcW w:w="722" w:type="pct"/>
                  <w:tcBorders>
                    <w:tl2br w:val="nil"/>
                    <w:tr2bl w:val="nil"/>
                  </w:tcBorders>
                  <w:shd w:val="clear" w:color="auto" w:fill="auto"/>
                  <w:vAlign w:val="center"/>
                </w:tcPr>
                <w:p w14:paraId="33A57667">
                  <w:pPr>
                    <w:autoSpaceDE w:val="0"/>
                    <w:autoSpaceDN w:val="0"/>
                    <w:jc w:val="center"/>
                    <w:rPr>
                      <w:rFonts w:hint="eastAsia" w:eastAsia="宋体"/>
                      <w:szCs w:val="21"/>
                      <w:lang w:val="en-US" w:eastAsia="zh-CN"/>
                    </w:rPr>
                  </w:pPr>
                  <w:r>
                    <w:rPr>
                      <w:rFonts w:hint="eastAsia"/>
                      <w:szCs w:val="21"/>
                      <w:lang w:val="en-US" w:eastAsia="zh-CN"/>
                    </w:rPr>
                    <w:t>夜间</w:t>
                  </w:r>
                </w:p>
              </w:tc>
              <w:tc>
                <w:tcPr>
                  <w:tcW w:w="1002" w:type="pct"/>
                  <w:tcBorders>
                    <w:tl2br w:val="nil"/>
                    <w:tr2bl w:val="nil"/>
                  </w:tcBorders>
                  <w:vAlign w:val="center"/>
                </w:tcPr>
                <w:p w14:paraId="42990936">
                  <w:pPr>
                    <w:autoSpaceDN w:val="0"/>
                    <w:jc w:val="center"/>
                    <w:textAlignment w:val="center"/>
                    <w:rPr>
                      <w:rFonts w:hint="eastAsia"/>
                      <w:szCs w:val="21"/>
                    </w:rPr>
                  </w:pPr>
                  <w:r>
                    <w:rPr>
                      <w:rFonts w:hint="eastAsia"/>
                      <w:szCs w:val="21"/>
                      <w:lang w:val="en-US" w:eastAsia="zh-CN"/>
                    </w:rPr>
                    <w:t>39.4</w:t>
                  </w:r>
                </w:p>
              </w:tc>
              <w:tc>
                <w:tcPr>
                  <w:tcW w:w="729" w:type="pct"/>
                  <w:tcBorders>
                    <w:tl2br w:val="nil"/>
                    <w:tr2bl w:val="nil"/>
                  </w:tcBorders>
                  <w:shd w:val="clear" w:color="auto" w:fill="auto"/>
                  <w:vAlign w:val="center"/>
                </w:tcPr>
                <w:p w14:paraId="3D0BFA92">
                  <w:pPr>
                    <w:autoSpaceDN w:val="0"/>
                    <w:jc w:val="center"/>
                    <w:textAlignment w:val="center"/>
                    <w:rPr>
                      <w:rFonts w:hint="default" w:eastAsia="宋体"/>
                      <w:szCs w:val="21"/>
                      <w:lang w:val="en-US" w:eastAsia="zh-CN"/>
                    </w:rPr>
                  </w:pPr>
                  <w:r>
                    <w:rPr>
                      <w:rFonts w:hint="eastAsia"/>
                      <w:szCs w:val="21"/>
                      <w:lang w:val="en-US" w:eastAsia="zh-CN"/>
                    </w:rPr>
                    <w:t>55</w:t>
                  </w:r>
                </w:p>
              </w:tc>
            </w:tr>
            <w:tr w14:paraId="53FC5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69277DBB">
                  <w:pPr>
                    <w:autoSpaceDE w:val="0"/>
                    <w:autoSpaceDN w:val="0"/>
                    <w:jc w:val="center"/>
                    <w:rPr>
                      <w:szCs w:val="21"/>
                    </w:rPr>
                  </w:pPr>
                  <w:r>
                    <w:rPr>
                      <w:szCs w:val="21"/>
                    </w:rPr>
                    <w:t>南侧</w:t>
                  </w:r>
                </w:p>
              </w:tc>
              <w:tc>
                <w:tcPr>
                  <w:tcW w:w="640" w:type="pct"/>
                  <w:vMerge w:val="restart"/>
                  <w:tcBorders>
                    <w:tl2br w:val="nil"/>
                    <w:tr2bl w:val="nil"/>
                  </w:tcBorders>
                  <w:shd w:val="clear" w:color="auto" w:fill="auto"/>
                  <w:vAlign w:val="center"/>
                </w:tcPr>
                <w:p w14:paraId="2B0F50CB">
                  <w:pPr>
                    <w:jc w:val="center"/>
                    <w:rPr>
                      <w:rFonts w:hint="default" w:eastAsia="宋体"/>
                      <w:szCs w:val="21"/>
                      <w:lang w:val="en-US" w:eastAsia="zh-CN"/>
                    </w:rPr>
                  </w:pPr>
                  <w:r>
                    <w:rPr>
                      <w:rFonts w:hint="eastAsia"/>
                      <w:szCs w:val="21"/>
                      <w:lang w:val="en-US" w:eastAsia="zh-CN"/>
                    </w:rPr>
                    <w:t>10</w:t>
                  </w:r>
                </w:p>
              </w:tc>
              <w:tc>
                <w:tcPr>
                  <w:tcW w:w="655" w:type="pct"/>
                  <w:vMerge w:val="restart"/>
                  <w:tcBorders>
                    <w:tl2br w:val="nil"/>
                    <w:tr2bl w:val="nil"/>
                  </w:tcBorders>
                  <w:shd w:val="clear" w:color="auto" w:fill="auto"/>
                  <w:vAlign w:val="center"/>
                </w:tcPr>
                <w:p w14:paraId="059B37C4">
                  <w:pPr>
                    <w:jc w:val="center"/>
                    <w:rPr>
                      <w:rFonts w:hint="default" w:eastAsia="宋体"/>
                      <w:szCs w:val="21"/>
                      <w:lang w:val="en-US" w:eastAsia="zh-CN"/>
                    </w:rPr>
                  </w:pPr>
                  <w:r>
                    <w:rPr>
                      <w:rFonts w:eastAsia="Arial"/>
                      <w:szCs w:val="21"/>
                    </w:rPr>
                    <w:t>-</w:t>
                  </w:r>
                  <w:r>
                    <w:rPr>
                      <w:rFonts w:hint="eastAsia"/>
                      <w:szCs w:val="21"/>
                      <w:lang w:val="en-US" w:eastAsia="zh-CN"/>
                    </w:rPr>
                    <w:t>12</w:t>
                  </w:r>
                </w:p>
              </w:tc>
              <w:tc>
                <w:tcPr>
                  <w:tcW w:w="563" w:type="pct"/>
                  <w:vMerge w:val="restart"/>
                  <w:tcBorders>
                    <w:tl2br w:val="nil"/>
                    <w:tr2bl w:val="nil"/>
                  </w:tcBorders>
                  <w:shd w:val="clear" w:color="auto" w:fill="auto"/>
                  <w:vAlign w:val="center"/>
                </w:tcPr>
                <w:p w14:paraId="2EB720A3">
                  <w:pPr>
                    <w:jc w:val="center"/>
                    <w:rPr>
                      <w:szCs w:val="21"/>
                    </w:rPr>
                  </w:pPr>
                  <w:r>
                    <w:rPr>
                      <w:rFonts w:eastAsia="Arial"/>
                      <w:szCs w:val="21"/>
                    </w:rPr>
                    <w:t>1.2</w:t>
                  </w:r>
                </w:p>
              </w:tc>
              <w:tc>
                <w:tcPr>
                  <w:tcW w:w="722" w:type="pct"/>
                  <w:tcBorders>
                    <w:tl2br w:val="nil"/>
                    <w:tr2bl w:val="nil"/>
                  </w:tcBorders>
                  <w:shd w:val="clear" w:color="auto" w:fill="auto"/>
                  <w:vAlign w:val="center"/>
                </w:tcPr>
                <w:p w14:paraId="426BDD2A">
                  <w:pPr>
                    <w:autoSpaceDE w:val="0"/>
                    <w:autoSpaceDN w:val="0"/>
                    <w:jc w:val="center"/>
                    <w:rPr>
                      <w:szCs w:val="21"/>
                    </w:rPr>
                  </w:pPr>
                  <w:r>
                    <w:rPr>
                      <w:szCs w:val="21"/>
                    </w:rPr>
                    <w:t>昼间</w:t>
                  </w:r>
                </w:p>
              </w:tc>
              <w:tc>
                <w:tcPr>
                  <w:tcW w:w="1002" w:type="pct"/>
                  <w:tcBorders>
                    <w:tl2br w:val="nil"/>
                    <w:tr2bl w:val="nil"/>
                  </w:tcBorders>
                  <w:vAlign w:val="center"/>
                </w:tcPr>
                <w:p w14:paraId="3F1066D4">
                  <w:pPr>
                    <w:autoSpaceDN w:val="0"/>
                    <w:jc w:val="center"/>
                    <w:textAlignment w:val="center"/>
                    <w:rPr>
                      <w:rFonts w:hint="default" w:eastAsia="宋体"/>
                      <w:szCs w:val="21"/>
                      <w:lang w:val="en-US" w:eastAsia="zh-CN"/>
                    </w:rPr>
                  </w:pPr>
                  <w:r>
                    <w:rPr>
                      <w:rFonts w:hint="eastAsia"/>
                      <w:szCs w:val="21"/>
                      <w:lang w:val="en-US" w:eastAsia="zh-CN"/>
                    </w:rPr>
                    <w:t>44.2</w:t>
                  </w:r>
                </w:p>
              </w:tc>
              <w:tc>
                <w:tcPr>
                  <w:tcW w:w="729" w:type="pct"/>
                  <w:tcBorders>
                    <w:tl2br w:val="nil"/>
                    <w:tr2bl w:val="nil"/>
                  </w:tcBorders>
                  <w:shd w:val="clear" w:color="auto" w:fill="auto"/>
                  <w:vAlign w:val="center"/>
                </w:tcPr>
                <w:p w14:paraId="7345B34C">
                  <w:pPr>
                    <w:autoSpaceDN w:val="0"/>
                    <w:jc w:val="center"/>
                    <w:textAlignment w:val="center"/>
                    <w:rPr>
                      <w:szCs w:val="21"/>
                    </w:rPr>
                  </w:pPr>
                  <w:r>
                    <w:rPr>
                      <w:szCs w:val="21"/>
                    </w:rPr>
                    <w:t>65</w:t>
                  </w:r>
                </w:p>
              </w:tc>
            </w:tr>
            <w:tr w14:paraId="17A0F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3FBC6433">
                  <w:pPr>
                    <w:autoSpaceDE w:val="0"/>
                    <w:autoSpaceDN w:val="0"/>
                    <w:jc w:val="center"/>
                    <w:rPr>
                      <w:szCs w:val="21"/>
                    </w:rPr>
                  </w:pPr>
                </w:p>
              </w:tc>
              <w:tc>
                <w:tcPr>
                  <w:tcW w:w="640" w:type="pct"/>
                  <w:vMerge w:val="continue"/>
                  <w:tcBorders>
                    <w:tl2br w:val="nil"/>
                    <w:tr2bl w:val="nil"/>
                  </w:tcBorders>
                  <w:shd w:val="clear" w:color="auto" w:fill="auto"/>
                  <w:vAlign w:val="center"/>
                </w:tcPr>
                <w:p w14:paraId="309B5B38">
                  <w:pPr>
                    <w:jc w:val="center"/>
                    <w:rPr>
                      <w:rFonts w:eastAsia="Arial"/>
                      <w:szCs w:val="21"/>
                    </w:rPr>
                  </w:pPr>
                </w:p>
              </w:tc>
              <w:tc>
                <w:tcPr>
                  <w:tcW w:w="655" w:type="pct"/>
                  <w:vMerge w:val="continue"/>
                  <w:tcBorders>
                    <w:tl2br w:val="nil"/>
                    <w:tr2bl w:val="nil"/>
                  </w:tcBorders>
                  <w:shd w:val="clear" w:color="auto" w:fill="auto"/>
                  <w:vAlign w:val="center"/>
                </w:tcPr>
                <w:p w14:paraId="31BBD97D">
                  <w:pPr>
                    <w:jc w:val="center"/>
                    <w:rPr>
                      <w:rFonts w:eastAsia="Arial"/>
                      <w:szCs w:val="21"/>
                    </w:rPr>
                  </w:pPr>
                </w:p>
              </w:tc>
              <w:tc>
                <w:tcPr>
                  <w:tcW w:w="563" w:type="pct"/>
                  <w:vMerge w:val="continue"/>
                  <w:tcBorders>
                    <w:tl2br w:val="nil"/>
                    <w:tr2bl w:val="nil"/>
                  </w:tcBorders>
                  <w:shd w:val="clear" w:color="auto" w:fill="auto"/>
                  <w:vAlign w:val="center"/>
                </w:tcPr>
                <w:p w14:paraId="1A71C248">
                  <w:pPr>
                    <w:jc w:val="center"/>
                    <w:rPr>
                      <w:rFonts w:eastAsia="Arial"/>
                      <w:szCs w:val="21"/>
                    </w:rPr>
                  </w:pPr>
                </w:p>
              </w:tc>
              <w:tc>
                <w:tcPr>
                  <w:tcW w:w="722" w:type="pct"/>
                  <w:tcBorders>
                    <w:tl2br w:val="nil"/>
                    <w:tr2bl w:val="nil"/>
                  </w:tcBorders>
                  <w:shd w:val="clear" w:color="auto" w:fill="auto"/>
                  <w:vAlign w:val="center"/>
                </w:tcPr>
                <w:p w14:paraId="5968807B">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650C866B">
                  <w:pPr>
                    <w:autoSpaceDN w:val="0"/>
                    <w:jc w:val="center"/>
                    <w:textAlignment w:val="center"/>
                    <w:rPr>
                      <w:rFonts w:hint="default" w:eastAsia="宋体"/>
                      <w:szCs w:val="21"/>
                      <w:lang w:val="en-US" w:eastAsia="zh-CN"/>
                    </w:rPr>
                  </w:pPr>
                  <w:r>
                    <w:rPr>
                      <w:rFonts w:hint="eastAsia"/>
                      <w:szCs w:val="21"/>
                      <w:lang w:val="en-US" w:eastAsia="zh-CN"/>
                    </w:rPr>
                    <w:t>44.2</w:t>
                  </w:r>
                </w:p>
              </w:tc>
              <w:tc>
                <w:tcPr>
                  <w:tcW w:w="729" w:type="pct"/>
                  <w:tcBorders>
                    <w:tl2br w:val="nil"/>
                    <w:tr2bl w:val="nil"/>
                  </w:tcBorders>
                  <w:shd w:val="clear" w:color="auto" w:fill="auto"/>
                  <w:vAlign w:val="center"/>
                </w:tcPr>
                <w:p w14:paraId="6C97D8A0">
                  <w:pPr>
                    <w:autoSpaceDN w:val="0"/>
                    <w:jc w:val="center"/>
                    <w:textAlignment w:val="center"/>
                    <w:rPr>
                      <w:rFonts w:hint="default" w:eastAsia="宋体"/>
                      <w:szCs w:val="21"/>
                      <w:lang w:val="en-US" w:eastAsia="zh-CN"/>
                    </w:rPr>
                  </w:pPr>
                  <w:r>
                    <w:rPr>
                      <w:rFonts w:hint="eastAsia"/>
                      <w:szCs w:val="21"/>
                      <w:lang w:val="en-US" w:eastAsia="zh-CN"/>
                    </w:rPr>
                    <w:t>55</w:t>
                  </w:r>
                </w:p>
              </w:tc>
            </w:tr>
            <w:tr w14:paraId="36457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1233866C">
                  <w:pPr>
                    <w:autoSpaceDE w:val="0"/>
                    <w:autoSpaceDN w:val="0"/>
                    <w:jc w:val="center"/>
                    <w:rPr>
                      <w:szCs w:val="21"/>
                    </w:rPr>
                  </w:pPr>
                  <w:r>
                    <w:rPr>
                      <w:szCs w:val="21"/>
                    </w:rPr>
                    <w:t>西侧</w:t>
                  </w:r>
                </w:p>
              </w:tc>
              <w:tc>
                <w:tcPr>
                  <w:tcW w:w="640" w:type="pct"/>
                  <w:vMerge w:val="restart"/>
                  <w:tcBorders>
                    <w:tl2br w:val="nil"/>
                    <w:tr2bl w:val="nil"/>
                  </w:tcBorders>
                  <w:shd w:val="clear" w:color="auto" w:fill="auto"/>
                  <w:vAlign w:val="center"/>
                </w:tcPr>
                <w:p w14:paraId="5DB8A550">
                  <w:pPr>
                    <w:jc w:val="center"/>
                    <w:rPr>
                      <w:rFonts w:hint="default" w:eastAsia="宋体"/>
                      <w:szCs w:val="21"/>
                      <w:lang w:val="en-US" w:eastAsia="zh-CN"/>
                    </w:rPr>
                  </w:pPr>
                  <w:r>
                    <w:rPr>
                      <w:rFonts w:eastAsia="Arial"/>
                      <w:szCs w:val="21"/>
                    </w:rPr>
                    <w:t>-</w:t>
                  </w:r>
                  <w:r>
                    <w:rPr>
                      <w:rFonts w:hint="eastAsia"/>
                      <w:szCs w:val="21"/>
                      <w:lang w:val="en-US" w:eastAsia="zh-CN"/>
                    </w:rPr>
                    <w:t>19</w:t>
                  </w:r>
                </w:p>
              </w:tc>
              <w:tc>
                <w:tcPr>
                  <w:tcW w:w="655" w:type="pct"/>
                  <w:vMerge w:val="restart"/>
                  <w:tcBorders>
                    <w:tl2br w:val="nil"/>
                    <w:tr2bl w:val="nil"/>
                  </w:tcBorders>
                  <w:shd w:val="clear" w:color="auto" w:fill="auto"/>
                  <w:vAlign w:val="center"/>
                </w:tcPr>
                <w:p w14:paraId="0FAAE43A">
                  <w:pPr>
                    <w:jc w:val="center"/>
                    <w:rPr>
                      <w:rFonts w:hint="default" w:eastAsia="宋体"/>
                      <w:szCs w:val="21"/>
                      <w:lang w:val="en-US" w:eastAsia="zh-CN"/>
                    </w:rPr>
                  </w:pPr>
                  <w:r>
                    <w:rPr>
                      <w:rFonts w:hint="eastAsia"/>
                      <w:szCs w:val="21"/>
                      <w:lang w:val="en-US" w:eastAsia="zh-CN"/>
                    </w:rPr>
                    <w:t>23</w:t>
                  </w:r>
                </w:p>
              </w:tc>
              <w:tc>
                <w:tcPr>
                  <w:tcW w:w="563" w:type="pct"/>
                  <w:vMerge w:val="restart"/>
                  <w:tcBorders>
                    <w:tl2br w:val="nil"/>
                    <w:tr2bl w:val="nil"/>
                  </w:tcBorders>
                  <w:shd w:val="clear" w:color="auto" w:fill="auto"/>
                  <w:vAlign w:val="center"/>
                </w:tcPr>
                <w:p w14:paraId="2A0249B5">
                  <w:pPr>
                    <w:jc w:val="center"/>
                    <w:rPr>
                      <w:szCs w:val="21"/>
                    </w:rPr>
                  </w:pPr>
                  <w:r>
                    <w:rPr>
                      <w:rFonts w:eastAsia="Arial"/>
                      <w:szCs w:val="21"/>
                    </w:rPr>
                    <w:t>1.2</w:t>
                  </w:r>
                </w:p>
              </w:tc>
              <w:tc>
                <w:tcPr>
                  <w:tcW w:w="722" w:type="pct"/>
                  <w:tcBorders>
                    <w:tl2br w:val="nil"/>
                    <w:tr2bl w:val="nil"/>
                  </w:tcBorders>
                  <w:shd w:val="clear" w:color="auto" w:fill="auto"/>
                  <w:vAlign w:val="center"/>
                </w:tcPr>
                <w:p w14:paraId="34D266EB">
                  <w:pPr>
                    <w:autoSpaceDE w:val="0"/>
                    <w:autoSpaceDN w:val="0"/>
                    <w:jc w:val="center"/>
                    <w:rPr>
                      <w:szCs w:val="21"/>
                    </w:rPr>
                  </w:pPr>
                  <w:r>
                    <w:rPr>
                      <w:szCs w:val="21"/>
                    </w:rPr>
                    <w:t>昼间</w:t>
                  </w:r>
                </w:p>
              </w:tc>
              <w:tc>
                <w:tcPr>
                  <w:tcW w:w="1002" w:type="pct"/>
                  <w:tcBorders>
                    <w:tl2br w:val="nil"/>
                    <w:tr2bl w:val="nil"/>
                  </w:tcBorders>
                  <w:vAlign w:val="center"/>
                </w:tcPr>
                <w:p w14:paraId="06C307C3">
                  <w:pPr>
                    <w:autoSpaceDN w:val="0"/>
                    <w:jc w:val="center"/>
                    <w:textAlignment w:val="center"/>
                    <w:rPr>
                      <w:rFonts w:hint="default" w:eastAsia="宋体"/>
                      <w:szCs w:val="21"/>
                      <w:lang w:val="en-US" w:eastAsia="zh-CN"/>
                    </w:rPr>
                  </w:pPr>
                  <w:r>
                    <w:rPr>
                      <w:rFonts w:hint="eastAsia"/>
                      <w:szCs w:val="21"/>
                      <w:lang w:val="en-US" w:eastAsia="zh-CN"/>
                    </w:rPr>
                    <w:t>36.5</w:t>
                  </w:r>
                </w:p>
              </w:tc>
              <w:tc>
                <w:tcPr>
                  <w:tcW w:w="729" w:type="pct"/>
                  <w:tcBorders>
                    <w:tl2br w:val="nil"/>
                    <w:tr2bl w:val="nil"/>
                  </w:tcBorders>
                  <w:shd w:val="clear" w:color="auto" w:fill="auto"/>
                  <w:vAlign w:val="center"/>
                </w:tcPr>
                <w:p w14:paraId="030D74C6">
                  <w:pPr>
                    <w:autoSpaceDN w:val="0"/>
                    <w:jc w:val="center"/>
                    <w:textAlignment w:val="center"/>
                    <w:rPr>
                      <w:szCs w:val="21"/>
                    </w:rPr>
                  </w:pPr>
                  <w:r>
                    <w:rPr>
                      <w:szCs w:val="21"/>
                    </w:rPr>
                    <w:t>65</w:t>
                  </w:r>
                </w:p>
              </w:tc>
            </w:tr>
            <w:tr w14:paraId="1EBA0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43E31FC4">
                  <w:pPr>
                    <w:autoSpaceDE w:val="0"/>
                    <w:autoSpaceDN w:val="0"/>
                    <w:jc w:val="center"/>
                    <w:rPr>
                      <w:szCs w:val="21"/>
                    </w:rPr>
                  </w:pPr>
                </w:p>
              </w:tc>
              <w:tc>
                <w:tcPr>
                  <w:tcW w:w="640" w:type="pct"/>
                  <w:vMerge w:val="continue"/>
                  <w:tcBorders>
                    <w:tl2br w:val="nil"/>
                    <w:tr2bl w:val="nil"/>
                  </w:tcBorders>
                  <w:shd w:val="clear" w:color="auto" w:fill="auto"/>
                  <w:vAlign w:val="center"/>
                </w:tcPr>
                <w:p w14:paraId="06EACA41">
                  <w:pPr>
                    <w:jc w:val="center"/>
                    <w:rPr>
                      <w:rFonts w:eastAsia="Arial"/>
                      <w:szCs w:val="21"/>
                    </w:rPr>
                  </w:pPr>
                </w:p>
              </w:tc>
              <w:tc>
                <w:tcPr>
                  <w:tcW w:w="655" w:type="pct"/>
                  <w:vMerge w:val="continue"/>
                  <w:tcBorders>
                    <w:tl2br w:val="nil"/>
                    <w:tr2bl w:val="nil"/>
                  </w:tcBorders>
                  <w:shd w:val="clear" w:color="auto" w:fill="auto"/>
                  <w:vAlign w:val="center"/>
                </w:tcPr>
                <w:p w14:paraId="68E8721C">
                  <w:pPr>
                    <w:jc w:val="center"/>
                    <w:rPr>
                      <w:rFonts w:eastAsia="Arial"/>
                      <w:szCs w:val="21"/>
                    </w:rPr>
                  </w:pPr>
                </w:p>
              </w:tc>
              <w:tc>
                <w:tcPr>
                  <w:tcW w:w="563" w:type="pct"/>
                  <w:vMerge w:val="continue"/>
                  <w:tcBorders>
                    <w:tl2br w:val="nil"/>
                    <w:tr2bl w:val="nil"/>
                  </w:tcBorders>
                  <w:shd w:val="clear" w:color="auto" w:fill="auto"/>
                  <w:vAlign w:val="center"/>
                </w:tcPr>
                <w:p w14:paraId="4B0D78C0">
                  <w:pPr>
                    <w:jc w:val="center"/>
                    <w:rPr>
                      <w:rFonts w:eastAsia="Arial"/>
                      <w:szCs w:val="21"/>
                    </w:rPr>
                  </w:pPr>
                </w:p>
              </w:tc>
              <w:tc>
                <w:tcPr>
                  <w:tcW w:w="722" w:type="pct"/>
                  <w:tcBorders>
                    <w:tl2br w:val="nil"/>
                    <w:tr2bl w:val="nil"/>
                  </w:tcBorders>
                  <w:shd w:val="clear" w:color="auto" w:fill="auto"/>
                  <w:vAlign w:val="center"/>
                </w:tcPr>
                <w:p w14:paraId="11F139E7">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0E71F431">
                  <w:pPr>
                    <w:autoSpaceDN w:val="0"/>
                    <w:jc w:val="center"/>
                    <w:textAlignment w:val="center"/>
                    <w:rPr>
                      <w:rFonts w:hint="default" w:eastAsia="宋体"/>
                      <w:szCs w:val="21"/>
                      <w:lang w:val="en-US" w:eastAsia="zh-CN"/>
                    </w:rPr>
                  </w:pPr>
                  <w:r>
                    <w:rPr>
                      <w:rFonts w:hint="eastAsia"/>
                      <w:szCs w:val="21"/>
                      <w:lang w:val="en-US" w:eastAsia="zh-CN"/>
                    </w:rPr>
                    <w:t>36.5</w:t>
                  </w:r>
                </w:p>
              </w:tc>
              <w:tc>
                <w:tcPr>
                  <w:tcW w:w="729" w:type="pct"/>
                  <w:tcBorders>
                    <w:tl2br w:val="nil"/>
                    <w:tr2bl w:val="nil"/>
                  </w:tcBorders>
                  <w:shd w:val="clear" w:color="auto" w:fill="auto"/>
                  <w:vAlign w:val="center"/>
                </w:tcPr>
                <w:p w14:paraId="0EC88E9A">
                  <w:pPr>
                    <w:autoSpaceDN w:val="0"/>
                    <w:jc w:val="center"/>
                    <w:textAlignment w:val="center"/>
                    <w:rPr>
                      <w:rFonts w:hint="default" w:eastAsia="宋体"/>
                      <w:szCs w:val="21"/>
                      <w:lang w:val="en-US" w:eastAsia="zh-CN"/>
                    </w:rPr>
                  </w:pPr>
                  <w:r>
                    <w:rPr>
                      <w:rFonts w:hint="eastAsia"/>
                      <w:szCs w:val="21"/>
                      <w:lang w:val="en-US" w:eastAsia="zh-CN"/>
                    </w:rPr>
                    <w:t>55</w:t>
                  </w:r>
                </w:p>
              </w:tc>
            </w:tr>
            <w:tr w14:paraId="2775F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2192F832">
                  <w:pPr>
                    <w:autoSpaceDE w:val="0"/>
                    <w:autoSpaceDN w:val="0"/>
                    <w:jc w:val="center"/>
                    <w:rPr>
                      <w:szCs w:val="21"/>
                    </w:rPr>
                  </w:pPr>
                  <w:r>
                    <w:rPr>
                      <w:szCs w:val="21"/>
                    </w:rPr>
                    <w:t>北侧</w:t>
                  </w:r>
                </w:p>
              </w:tc>
              <w:tc>
                <w:tcPr>
                  <w:tcW w:w="640" w:type="pct"/>
                  <w:vMerge w:val="restart"/>
                  <w:tcBorders>
                    <w:tl2br w:val="nil"/>
                    <w:tr2bl w:val="nil"/>
                  </w:tcBorders>
                  <w:shd w:val="clear" w:color="auto" w:fill="auto"/>
                  <w:vAlign w:val="center"/>
                </w:tcPr>
                <w:p w14:paraId="1E48484B">
                  <w:pPr>
                    <w:jc w:val="center"/>
                    <w:rPr>
                      <w:rFonts w:hint="default" w:eastAsia="宋体"/>
                      <w:szCs w:val="21"/>
                      <w:lang w:val="en-US" w:eastAsia="zh-CN"/>
                    </w:rPr>
                  </w:pPr>
                  <w:r>
                    <w:rPr>
                      <w:rFonts w:hint="eastAsia"/>
                      <w:szCs w:val="21"/>
                      <w:lang w:val="en-US" w:eastAsia="zh-CN"/>
                    </w:rPr>
                    <w:t>14</w:t>
                  </w:r>
                </w:p>
              </w:tc>
              <w:tc>
                <w:tcPr>
                  <w:tcW w:w="655" w:type="pct"/>
                  <w:vMerge w:val="restart"/>
                  <w:tcBorders>
                    <w:tl2br w:val="nil"/>
                    <w:tr2bl w:val="nil"/>
                  </w:tcBorders>
                  <w:shd w:val="clear" w:color="auto" w:fill="auto"/>
                  <w:vAlign w:val="center"/>
                </w:tcPr>
                <w:p w14:paraId="560A2C94">
                  <w:pPr>
                    <w:jc w:val="center"/>
                    <w:rPr>
                      <w:rFonts w:hint="default" w:eastAsia="宋体"/>
                      <w:szCs w:val="21"/>
                      <w:lang w:val="en-US" w:eastAsia="zh-CN"/>
                    </w:rPr>
                  </w:pPr>
                  <w:r>
                    <w:rPr>
                      <w:rFonts w:hint="eastAsia"/>
                      <w:szCs w:val="21"/>
                      <w:lang w:val="en-US" w:eastAsia="zh-CN"/>
                    </w:rPr>
                    <w:t>50</w:t>
                  </w:r>
                </w:p>
              </w:tc>
              <w:tc>
                <w:tcPr>
                  <w:tcW w:w="563" w:type="pct"/>
                  <w:vMerge w:val="restart"/>
                  <w:tcBorders>
                    <w:tl2br w:val="nil"/>
                    <w:tr2bl w:val="nil"/>
                  </w:tcBorders>
                  <w:shd w:val="clear" w:color="auto" w:fill="auto"/>
                  <w:vAlign w:val="center"/>
                </w:tcPr>
                <w:p w14:paraId="5F5D009B">
                  <w:pPr>
                    <w:jc w:val="center"/>
                    <w:rPr>
                      <w:szCs w:val="21"/>
                    </w:rPr>
                  </w:pPr>
                  <w:r>
                    <w:rPr>
                      <w:rFonts w:eastAsia="Arial"/>
                      <w:szCs w:val="21"/>
                    </w:rPr>
                    <w:t>1.2</w:t>
                  </w:r>
                </w:p>
              </w:tc>
              <w:tc>
                <w:tcPr>
                  <w:tcW w:w="722" w:type="pct"/>
                  <w:tcBorders>
                    <w:tl2br w:val="nil"/>
                    <w:tr2bl w:val="nil"/>
                  </w:tcBorders>
                  <w:shd w:val="clear" w:color="auto" w:fill="auto"/>
                  <w:vAlign w:val="center"/>
                </w:tcPr>
                <w:p w14:paraId="0DED2828">
                  <w:pPr>
                    <w:autoSpaceDE w:val="0"/>
                    <w:autoSpaceDN w:val="0"/>
                    <w:jc w:val="center"/>
                    <w:rPr>
                      <w:szCs w:val="21"/>
                    </w:rPr>
                  </w:pPr>
                  <w:r>
                    <w:rPr>
                      <w:szCs w:val="21"/>
                    </w:rPr>
                    <w:t>昼间</w:t>
                  </w:r>
                </w:p>
              </w:tc>
              <w:tc>
                <w:tcPr>
                  <w:tcW w:w="1002" w:type="pct"/>
                  <w:tcBorders>
                    <w:tl2br w:val="nil"/>
                    <w:tr2bl w:val="nil"/>
                  </w:tcBorders>
                  <w:vAlign w:val="center"/>
                </w:tcPr>
                <w:p w14:paraId="5E2A44F2">
                  <w:pPr>
                    <w:autoSpaceDN w:val="0"/>
                    <w:jc w:val="center"/>
                    <w:textAlignment w:val="center"/>
                    <w:rPr>
                      <w:rFonts w:hint="default" w:eastAsia="宋体"/>
                      <w:szCs w:val="21"/>
                      <w:lang w:val="en-US" w:eastAsia="zh-CN"/>
                    </w:rPr>
                  </w:pPr>
                  <w:r>
                    <w:rPr>
                      <w:rFonts w:hint="eastAsia"/>
                      <w:szCs w:val="21"/>
                      <w:lang w:val="en-US" w:eastAsia="zh-CN"/>
                    </w:rPr>
                    <w:t>44.2</w:t>
                  </w:r>
                </w:p>
              </w:tc>
              <w:tc>
                <w:tcPr>
                  <w:tcW w:w="729" w:type="pct"/>
                  <w:tcBorders>
                    <w:tl2br w:val="nil"/>
                    <w:tr2bl w:val="nil"/>
                  </w:tcBorders>
                  <w:shd w:val="clear" w:color="auto" w:fill="auto"/>
                  <w:vAlign w:val="center"/>
                </w:tcPr>
                <w:p w14:paraId="16A3DD85">
                  <w:pPr>
                    <w:autoSpaceDN w:val="0"/>
                    <w:jc w:val="center"/>
                    <w:textAlignment w:val="center"/>
                    <w:rPr>
                      <w:szCs w:val="21"/>
                    </w:rPr>
                  </w:pPr>
                  <w:r>
                    <w:rPr>
                      <w:szCs w:val="21"/>
                    </w:rPr>
                    <w:t>65</w:t>
                  </w:r>
                </w:p>
              </w:tc>
            </w:tr>
            <w:tr w14:paraId="410E9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78717D59">
                  <w:pPr>
                    <w:autoSpaceDE w:val="0"/>
                    <w:autoSpaceDN w:val="0"/>
                    <w:jc w:val="center"/>
                    <w:rPr>
                      <w:szCs w:val="21"/>
                    </w:rPr>
                  </w:pPr>
                </w:p>
              </w:tc>
              <w:tc>
                <w:tcPr>
                  <w:tcW w:w="640" w:type="pct"/>
                  <w:vMerge w:val="continue"/>
                  <w:tcBorders>
                    <w:tl2br w:val="nil"/>
                    <w:tr2bl w:val="nil"/>
                  </w:tcBorders>
                  <w:shd w:val="clear" w:color="auto" w:fill="auto"/>
                  <w:vAlign w:val="center"/>
                </w:tcPr>
                <w:p w14:paraId="05665FE9">
                  <w:pPr>
                    <w:jc w:val="center"/>
                    <w:rPr>
                      <w:rFonts w:eastAsia="Arial"/>
                      <w:szCs w:val="21"/>
                    </w:rPr>
                  </w:pPr>
                </w:p>
              </w:tc>
              <w:tc>
                <w:tcPr>
                  <w:tcW w:w="655" w:type="pct"/>
                  <w:vMerge w:val="continue"/>
                  <w:tcBorders>
                    <w:tl2br w:val="nil"/>
                    <w:tr2bl w:val="nil"/>
                  </w:tcBorders>
                  <w:shd w:val="clear" w:color="auto" w:fill="auto"/>
                  <w:vAlign w:val="center"/>
                </w:tcPr>
                <w:p w14:paraId="05F1162C">
                  <w:pPr>
                    <w:jc w:val="center"/>
                    <w:rPr>
                      <w:rFonts w:eastAsia="Arial"/>
                      <w:szCs w:val="21"/>
                    </w:rPr>
                  </w:pPr>
                </w:p>
              </w:tc>
              <w:tc>
                <w:tcPr>
                  <w:tcW w:w="563" w:type="pct"/>
                  <w:vMerge w:val="continue"/>
                  <w:tcBorders>
                    <w:tl2br w:val="nil"/>
                    <w:tr2bl w:val="nil"/>
                  </w:tcBorders>
                  <w:shd w:val="clear" w:color="auto" w:fill="auto"/>
                  <w:vAlign w:val="center"/>
                </w:tcPr>
                <w:p w14:paraId="5F67A5CC">
                  <w:pPr>
                    <w:jc w:val="center"/>
                    <w:rPr>
                      <w:rFonts w:eastAsia="Arial"/>
                      <w:szCs w:val="21"/>
                    </w:rPr>
                  </w:pPr>
                </w:p>
              </w:tc>
              <w:tc>
                <w:tcPr>
                  <w:tcW w:w="722" w:type="pct"/>
                  <w:tcBorders>
                    <w:tl2br w:val="nil"/>
                    <w:tr2bl w:val="nil"/>
                  </w:tcBorders>
                  <w:shd w:val="clear" w:color="auto" w:fill="auto"/>
                  <w:vAlign w:val="center"/>
                </w:tcPr>
                <w:p w14:paraId="7CC09440">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5F6BA87A">
                  <w:pPr>
                    <w:autoSpaceDN w:val="0"/>
                    <w:jc w:val="center"/>
                    <w:textAlignment w:val="center"/>
                    <w:rPr>
                      <w:rFonts w:hint="default" w:eastAsia="宋体"/>
                      <w:szCs w:val="21"/>
                      <w:lang w:val="en-US" w:eastAsia="zh-CN"/>
                    </w:rPr>
                  </w:pPr>
                  <w:r>
                    <w:rPr>
                      <w:rFonts w:hint="eastAsia"/>
                      <w:szCs w:val="21"/>
                      <w:lang w:val="en-US" w:eastAsia="zh-CN"/>
                    </w:rPr>
                    <w:t>44.2</w:t>
                  </w:r>
                </w:p>
              </w:tc>
              <w:tc>
                <w:tcPr>
                  <w:tcW w:w="729" w:type="pct"/>
                  <w:tcBorders>
                    <w:tl2br w:val="nil"/>
                    <w:tr2bl w:val="nil"/>
                  </w:tcBorders>
                  <w:shd w:val="clear" w:color="auto" w:fill="auto"/>
                  <w:vAlign w:val="center"/>
                </w:tcPr>
                <w:p w14:paraId="2587CF66">
                  <w:pPr>
                    <w:autoSpaceDN w:val="0"/>
                    <w:jc w:val="center"/>
                    <w:textAlignment w:val="center"/>
                    <w:rPr>
                      <w:rFonts w:hint="default" w:eastAsia="宋体"/>
                      <w:szCs w:val="21"/>
                      <w:lang w:val="en-US" w:eastAsia="zh-CN"/>
                    </w:rPr>
                  </w:pPr>
                  <w:r>
                    <w:rPr>
                      <w:rFonts w:hint="eastAsia"/>
                      <w:szCs w:val="21"/>
                      <w:lang w:val="en-US" w:eastAsia="zh-CN"/>
                    </w:rPr>
                    <w:t>55</w:t>
                  </w:r>
                </w:p>
              </w:tc>
            </w:tr>
          </w:tbl>
          <w:p w14:paraId="737DAB3E">
            <w:pPr>
              <w:spacing w:before="100" w:beforeAutospacing="1" w:line="360" w:lineRule="auto"/>
              <w:ind w:firstLine="480" w:firstLineChars="200"/>
              <w:jc w:val="left"/>
              <w:rPr>
                <w:kern w:val="0"/>
                <w:sz w:val="24"/>
              </w:rPr>
            </w:pPr>
            <w:r>
              <w:rPr>
                <w:kern w:val="0"/>
                <w:sz w:val="24"/>
              </w:rPr>
              <w:t>根据预测结果，本项目运行后昼间</w:t>
            </w:r>
            <w:r>
              <w:rPr>
                <w:rFonts w:hint="eastAsia"/>
                <w:kern w:val="0"/>
                <w:sz w:val="24"/>
                <w:lang w:eastAsia="zh-CN"/>
              </w:rPr>
              <w:t>、</w:t>
            </w:r>
            <w:r>
              <w:rPr>
                <w:rFonts w:hint="eastAsia"/>
                <w:kern w:val="0"/>
                <w:sz w:val="24"/>
                <w:lang w:val="en-US" w:eastAsia="zh-CN"/>
              </w:rPr>
              <w:t>夜间</w:t>
            </w:r>
            <w:r>
              <w:rPr>
                <w:kern w:val="0"/>
                <w:sz w:val="24"/>
              </w:rPr>
              <w:t>厂界噪声可达《工业企业厂界环境噪声排放标准》（GB12348-2008）3类标准限值要求。</w:t>
            </w:r>
          </w:p>
          <w:p w14:paraId="2D18DC1E">
            <w:pPr>
              <w:widowControl/>
              <w:spacing w:line="360" w:lineRule="auto"/>
              <w:ind w:firstLine="482" w:firstLineChars="200"/>
              <w:jc w:val="left"/>
              <w:rPr>
                <w:b/>
                <w:kern w:val="0"/>
                <w:sz w:val="24"/>
              </w:rPr>
            </w:pPr>
            <w:r>
              <w:rPr>
                <w:rFonts w:hint="eastAsia"/>
                <w:b/>
                <w:kern w:val="0"/>
                <w:sz w:val="24"/>
                <w:lang w:val="en-US" w:eastAsia="zh-CN"/>
              </w:rPr>
              <w:t>4</w:t>
            </w:r>
            <w:r>
              <w:rPr>
                <w:b/>
                <w:kern w:val="0"/>
                <w:sz w:val="24"/>
              </w:rPr>
              <w:t>、运营期噪声监控计划</w:t>
            </w:r>
          </w:p>
          <w:p w14:paraId="2DC132FB">
            <w:pPr>
              <w:widowControl/>
              <w:spacing w:line="360" w:lineRule="auto"/>
              <w:ind w:firstLine="480" w:firstLineChars="200"/>
              <w:jc w:val="left"/>
              <w:rPr>
                <w:kern w:val="0"/>
                <w:sz w:val="24"/>
              </w:rPr>
            </w:pPr>
            <w:r>
              <w:rPr>
                <w:kern w:val="0"/>
                <w:sz w:val="24"/>
              </w:rPr>
              <w:t>根据</w:t>
            </w:r>
            <w:r>
              <w:rPr>
                <w:rFonts w:hint="eastAsia"/>
                <w:kern w:val="0"/>
                <w:sz w:val="24"/>
              </w:rPr>
              <w:t>《排污单位自行监测技术指南 总则》（HJ</w:t>
            </w:r>
            <w:r>
              <w:rPr>
                <w:kern w:val="0"/>
                <w:sz w:val="24"/>
              </w:rPr>
              <w:t>819</w:t>
            </w:r>
            <w:r>
              <w:rPr>
                <w:rFonts w:hint="eastAsia"/>
                <w:kern w:val="0"/>
                <w:sz w:val="24"/>
              </w:rPr>
              <w:t>-201</w:t>
            </w:r>
            <w:r>
              <w:rPr>
                <w:kern w:val="0"/>
                <w:sz w:val="24"/>
              </w:rPr>
              <w:t>7</w:t>
            </w:r>
            <w:r>
              <w:rPr>
                <w:rFonts w:hint="eastAsia"/>
                <w:kern w:val="0"/>
                <w:sz w:val="24"/>
              </w:rPr>
              <w:t>）</w:t>
            </w:r>
            <w:r>
              <w:rPr>
                <w:kern w:val="0"/>
                <w:sz w:val="24"/>
              </w:rPr>
              <w:t>，项目噪声监测计划见下表。</w:t>
            </w:r>
          </w:p>
          <w:p w14:paraId="67CD96FB">
            <w:pPr>
              <w:keepNext w:val="0"/>
              <w:keepLines w:val="0"/>
              <w:pageBreakBefore w:val="0"/>
              <w:widowControl/>
              <w:kinsoku/>
              <w:wordWrap/>
              <w:overflowPunct/>
              <w:topLinePunct w:val="0"/>
              <w:autoSpaceDE/>
              <w:autoSpaceDN/>
              <w:bidi w:val="0"/>
              <w:adjustRightInd w:val="0"/>
              <w:snapToGrid w:val="0"/>
              <w:spacing w:beforeAutospacing="0" w:line="360" w:lineRule="auto"/>
              <w:jc w:val="center"/>
              <w:textAlignment w:val="baseline"/>
              <w:rPr>
                <w:b/>
                <w:kern w:val="0"/>
                <w:sz w:val="24"/>
              </w:rPr>
            </w:pPr>
            <w:r>
              <w:rPr>
                <w:b/>
                <w:kern w:val="0"/>
                <w:sz w:val="24"/>
              </w:rPr>
              <w:t>表4-</w:t>
            </w:r>
            <w:r>
              <w:rPr>
                <w:rFonts w:hint="eastAsia"/>
                <w:b/>
                <w:kern w:val="0"/>
                <w:sz w:val="24"/>
                <w:lang w:val="en-US" w:eastAsia="zh-CN"/>
              </w:rPr>
              <w:t>11</w:t>
            </w:r>
            <w:r>
              <w:rPr>
                <w:b/>
                <w:kern w:val="0"/>
                <w:sz w:val="24"/>
              </w:rPr>
              <w:t xml:space="preserve">  项目运营期噪声监控计划一览表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3277"/>
              <w:gridCol w:w="1838"/>
              <w:gridCol w:w="2477"/>
            </w:tblGrid>
            <w:tr w14:paraId="0B876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501" w:type="pct"/>
                  <w:tcBorders>
                    <w:tl2br w:val="nil"/>
                    <w:tr2bl w:val="nil"/>
                  </w:tcBorders>
                  <w:shd w:val="clear" w:color="auto" w:fill="auto"/>
                  <w:vAlign w:val="center"/>
                </w:tcPr>
                <w:p w14:paraId="5526062E">
                  <w:pPr>
                    <w:widowControl/>
                    <w:jc w:val="center"/>
                    <w:rPr>
                      <w:b/>
                      <w:kern w:val="0"/>
                      <w:szCs w:val="21"/>
                    </w:rPr>
                  </w:pPr>
                  <w:r>
                    <w:rPr>
                      <w:b/>
                      <w:kern w:val="0"/>
                      <w:szCs w:val="21"/>
                    </w:rPr>
                    <w:t>类别</w:t>
                  </w:r>
                </w:p>
              </w:tc>
              <w:tc>
                <w:tcPr>
                  <w:tcW w:w="1942" w:type="pct"/>
                  <w:tcBorders>
                    <w:tl2br w:val="nil"/>
                    <w:tr2bl w:val="nil"/>
                  </w:tcBorders>
                  <w:shd w:val="clear" w:color="auto" w:fill="auto"/>
                  <w:vAlign w:val="center"/>
                </w:tcPr>
                <w:p w14:paraId="2EC7FB3D">
                  <w:pPr>
                    <w:widowControl/>
                    <w:jc w:val="center"/>
                    <w:rPr>
                      <w:b/>
                      <w:kern w:val="0"/>
                      <w:szCs w:val="21"/>
                    </w:rPr>
                  </w:pPr>
                  <w:r>
                    <w:rPr>
                      <w:b/>
                      <w:kern w:val="0"/>
                      <w:szCs w:val="21"/>
                    </w:rPr>
                    <w:t>监测点位</w:t>
                  </w:r>
                </w:p>
              </w:tc>
              <w:tc>
                <w:tcPr>
                  <w:tcW w:w="1089" w:type="pct"/>
                  <w:tcBorders>
                    <w:tl2br w:val="nil"/>
                    <w:tr2bl w:val="nil"/>
                  </w:tcBorders>
                  <w:shd w:val="clear" w:color="auto" w:fill="auto"/>
                  <w:vAlign w:val="center"/>
                </w:tcPr>
                <w:p w14:paraId="48FE158C">
                  <w:pPr>
                    <w:widowControl/>
                    <w:jc w:val="center"/>
                    <w:rPr>
                      <w:b/>
                      <w:kern w:val="0"/>
                      <w:szCs w:val="21"/>
                    </w:rPr>
                  </w:pPr>
                  <w:r>
                    <w:rPr>
                      <w:b/>
                      <w:kern w:val="0"/>
                      <w:szCs w:val="21"/>
                    </w:rPr>
                    <w:t>监测项目</w:t>
                  </w:r>
                </w:p>
              </w:tc>
              <w:tc>
                <w:tcPr>
                  <w:tcW w:w="1468" w:type="pct"/>
                  <w:tcBorders>
                    <w:tl2br w:val="nil"/>
                    <w:tr2bl w:val="nil"/>
                  </w:tcBorders>
                  <w:shd w:val="clear" w:color="auto" w:fill="auto"/>
                  <w:vAlign w:val="center"/>
                </w:tcPr>
                <w:p w14:paraId="568D7326">
                  <w:pPr>
                    <w:widowControl/>
                    <w:jc w:val="center"/>
                    <w:rPr>
                      <w:b/>
                      <w:kern w:val="0"/>
                      <w:szCs w:val="21"/>
                    </w:rPr>
                  </w:pPr>
                  <w:r>
                    <w:rPr>
                      <w:b/>
                      <w:kern w:val="0"/>
                      <w:szCs w:val="21"/>
                    </w:rPr>
                    <w:t>最低监测频次</w:t>
                  </w:r>
                </w:p>
              </w:tc>
            </w:tr>
            <w:tr w14:paraId="00827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1" w:type="pct"/>
                  <w:tcBorders>
                    <w:tl2br w:val="nil"/>
                    <w:tr2bl w:val="nil"/>
                  </w:tcBorders>
                  <w:shd w:val="clear" w:color="auto" w:fill="auto"/>
                  <w:vAlign w:val="center"/>
                </w:tcPr>
                <w:p w14:paraId="64FE0D22">
                  <w:pPr>
                    <w:widowControl/>
                    <w:jc w:val="center"/>
                    <w:rPr>
                      <w:kern w:val="0"/>
                      <w:szCs w:val="21"/>
                    </w:rPr>
                  </w:pPr>
                  <w:r>
                    <w:rPr>
                      <w:kern w:val="0"/>
                      <w:szCs w:val="21"/>
                    </w:rPr>
                    <w:t>噪声</w:t>
                  </w:r>
                </w:p>
              </w:tc>
              <w:tc>
                <w:tcPr>
                  <w:tcW w:w="1942" w:type="pct"/>
                  <w:tcBorders>
                    <w:tl2br w:val="nil"/>
                    <w:tr2bl w:val="nil"/>
                  </w:tcBorders>
                  <w:shd w:val="clear" w:color="auto" w:fill="auto"/>
                  <w:vAlign w:val="center"/>
                </w:tcPr>
                <w:p w14:paraId="014AB935">
                  <w:pPr>
                    <w:widowControl/>
                    <w:jc w:val="center"/>
                    <w:rPr>
                      <w:kern w:val="0"/>
                      <w:szCs w:val="21"/>
                    </w:rPr>
                  </w:pPr>
                  <w:r>
                    <w:rPr>
                      <w:kern w:val="0"/>
                      <w:szCs w:val="21"/>
                    </w:rPr>
                    <w:t>项目四周厂界</w:t>
                  </w:r>
                </w:p>
              </w:tc>
              <w:tc>
                <w:tcPr>
                  <w:tcW w:w="1089" w:type="pct"/>
                  <w:tcBorders>
                    <w:tl2br w:val="nil"/>
                    <w:tr2bl w:val="nil"/>
                  </w:tcBorders>
                  <w:shd w:val="clear" w:color="auto" w:fill="auto"/>
                  <w:vAlign w:val="center"/>
                </w:tcPr>
                <w:p w14:paraId="2AAFD04A">
                  <w:pPr>
                    <w:widowControl/>
                    <w:jc w:val="center"/>
                    <w:rPr>
                      <w:kern w:val="0"/>
                      <w:szCs w:val="21"/>
                    </w:rPr>
                  </w:pPr>
                  <w:r>
                    <w:rPr>
                      <w:kern w:val="0"/>
                      <w:szCs w:val="21"/>
                    </w:rPr>
                    <w:t>等效连续A声级</w:t>
                  </w:r>
                </w:p>
              </w:tc>
              <w:tc>
                <w:tcPr>
                  <w:tcW w:w="1468" w:type="pct"/>
                  <w:tcBorders>
                    <w:tl2br w:val="nil"/>
                    <w:tr2bl w:val="nil"/>
                  </w:tcBorders>
                  <w:shd w:val="clear" w:color="auto" w:fill="auto"/>
                  <w:vAlign w:val="center"/>
                </w:tcPr>
                <w:p w14:paraId="35D67CE7">
                  <w:pPr>
                    <w:widowControl/>
                    <w:jc w:val="center"/>
                    <w:rPr>
                      <w:kern w:val="0"/>
                      <w:szCs w:val="21"/>
                    </w:rPr>
                  </w:pPr>
                  <w:r>
                    <w:rPr>
                      <w:kern w:val="0"/>
                      <w:szCs w:val="21"/>
                    </w:rPr>
                    <w:t>季度</w:t>
                  </w:r>
                </w:p>
              </w:tc>
            </w:tr>
          </w:tbl>
          <w:p w14:paraId="290156E4">
            <w:pPr>
              <w:keepNext/>
              <w:keepLines/>
              <w:spacing w:before="100" w:beforeAutospacing="1" w:line="360" w:lineRule="auto"/>
              <w:ind w:firstLine="482" w:firstLineChars="200"/>
              <w:outlineLvl w:val="2"/>
              <w:rPr>
                <w:b/>
                <w:bCs/>
                <w:sz w:val="24"/>
                <w:szCs w:val="32"/>
              </w:rPr>
            </w:pPr>
            <w:r>
              <w:rPr>
                <w:rFonts w:hint="eastAsia"/>
                <w:b/>
                <w:bCs/>
                <w:sz w:val="24"/>
                <w:szCs w:val="32"/>
              </w:rPr>
              <w:t>四、固体废物环境影响和保护措施</w:t>
            </w:r>
          </w:p>
          <w:p w14:paraId="37A6B826">
            <w:pPr>
              <w:snapToGrid w:val="0"/>
              <w:spacing w:line="360" w:lineRule="auto"/>
              <w:ind w:firstLine="482" w:firstLineChars="200"/>
              <w:outlineLvl w:val="3"/>
              <w:rPr>
                <w:b/>
                <w:bCs/>
                <w:sz w:val="24"/>
              </w:rPr>
            </w:pPr>
            <w:r>
              <w:rPr>
                <w:rFonts w:hint="eastAsia"/>
                <w:b/>
                <w:sz w:val="24"/>
              </w:rPr>
              <w:t>1、固体废物产生及处置情况</w:t>
            </w:r>
          </w:p>
          <w:p w14:paraId="336F3B07">
            <w:pPr>
              <w:spacing w:line="360" w:lineRule="auto"/>
              <w:ind w:firstLine="480" w:firstLineChars="200"/>
              <w:rPr>
                <w:kern w:val="0"/>
                <w:sz w:val="24"/>
              </w:rPr>
            </w:pPr>
            <w:r>
              <w:rPr>
                <w:kern w:val="0"/>
                <w:sz w:val="24"/>
              </w:rPr>
              <w:t>本项目产生的固体废物主要分为：一般工业固体废物、危险废物和生活垃圾。其中一般工业固体废物主要为</w:t>
            </w:r>
            <w:r>
              <w:rPr>
                <w:rFonts w:hint="eastAsia"/>
                <w:kern w:val="0"/>
                <w:sz w:val="24"/>
                <w:lang w:val="en-US" w:eastAsia="zh-CN"/>
              </w:rPr>
              <w:t>检验产生的</w:t>
            </w:r>
            <w:r>
              <w:rPr>
                <w:rFonts w:hint="eastAsia"/>
                <w:sz w:val="24"/>
                <w:lang w:val="en-US" w:eastAsia="zh-CN"/>
              </w:rPr>
              <w:t>不合格品</w:t>
            </w:r>
            <w:r>
              <w:rPr>
                <w:rFonts w:hint="eastAsia"/>
                <w:sz w:val="24"/>
              </w:rPr>
              <w:t>、</w:t>
            </w:r>
            <w:r>
              <w:rPr>
                <w:rFonts w:hint="eastAsia"/>
                <w:sz w:val="24"/>
                <w:lang w:val="en-US" w:eastAsia="zh-CN"/>
              </w:rPr>
              <w:t>分切产生的边角料</w:t>
            </w:r>
            <w:r>
              <w:rPr>
                <w:rFonts w:hint="eastAsia"/>
                <w:sz w:val="24"/>
              </w:rPr>
              <w:t>、</w:t>
            </w:r>
            <w:r>
              <w:rPr>
                <w:rFonts w:hint="eastAsia"/>
                <w:sz w:val="24"/>
                <w:lang w:val="en-US" w:eastAsia="zh-CN"/>
              </w:rPr>
              <w:t>包装产生的废包装袋</w:t>
            </w:r>
            <w:r>
              <w:rPr>
                <w:kern w:val="0"/>
                <w:sz w:val="24"/>
              </w:rPr>
              <w:t>；危险废物主要为</w:t>
            </w:r>
            <w:r>
              <w:rPr>
                <w:sz w:val="24"/>
              </w:rPr>
              <w:t>废活性炭、废润滑油和废油桶</w:t>
            </w:r>
            <w:r>
              <w:rPr>
                <w:kern w:val="0"/>
                <w:sz w:val="24"/>
              </w:rPr>
              <w:t>。</w:t>
            </w:r>
          </w:p>
          <w:p w14:paraId="4D38447C">
            <w:pPr>
              <w:spacing w:line="360" w:lineRule="auto"/>
              <w:ind w:firstLine="480" w:firstLineChars="200"/>
              <w:rPr>
                <w:kern w:val="0"/>
                <w:sz w:val="24"/>
                <w:szCs w:val="20"/>
              </w:rPr>
            </w:pPr>
            <w:r>
              <w:rPr>
                <w:kern w:val="0"/>
                <w:sz w:val="24"/>
                <w:szCs w:val="20"/>
              </w:rPr>
              <w:t>（1）一般工业固废</w:t>
            </w:r>
          </w:p>
          <w:p w14:paraId="02A82F71">
            <w:pPr>
              <w:spacing w:line="360" w:lineRule="auto"/>
              <w:ind w:firstLine="480" w:firstLineChars="200"/>
              <w:jc w:val="left"/>
              <w:rPr>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rFonts w:hint="eastAsia"/>
                <w:sz w:val="24"/>
                <w:lang w:val="en-US" w:eastAsia="zh-CN"/>
              </w:rPr>
              <w:t>废边角料</w:t>
            </w:r>
            <w:r>
              <w:rPr>
                <w:rFonts w:hint="eastAsia"/>
                <w:sz w:val="24"/>
              </w:rPr>
              <w:t>：本项目</w:t>
            </w:r>
            <w:r>
              <w:rPr>
                <w:rFonts w:hint="eastAsia"/>
                <w:sz w:val="24"/>
                <w:lang w:val="en-US" w:eastAsia="zh-CN"/>
              </w:rPr>
              <w:t>分切</w:t>
            </w:r>
            <w:r>
              <w:rPr>
                <w:rFonts w:hint="eastAsia"/>
                <w:sz w:val="24"/>
              </w:rPr>
              <w:t>等环节产生边角料，根据企业实际生产经验，产生量按塑料原料使用量的0.5%估算，项目塑料原料使用量为</w:t>
            </w:r>
            <w:r>
              <w:rPr>
                <w:rFonts w:hint="eastAsia"/>
                <w:sz w:val="24"/>
                <w:lang w:val="en-US" w:eastAsia="zh-CN"/>
              </w:rPr>
              <w:t>660</w:t>
            </w:r>
            <w:r>
              <w:rPr>
                <w:rFonts w:hint="eastAsia"/>
                <w:sz w:val="24"/>
              </w:rPr>
              <w:t>t/a，因此塑料边角料产生量约为</w:t>
            </w:r>
            <w:r>
              <w:rPr>
                <w:rFonts w:hint="eastAsia"/>
                <w:sz w:val="24"/>
                <w:lang w:val="en-US" w:eastAsia="zh-CN"/>
              </w:rPr>
              <w:t>3.3</w:t>
            </w:r>
            <w:r>
              <w:rPr>
                <w:rFonts w:hint="eastAsia"/>
                <w:sz w:val="24"/>
              </w:rPr>
              <w:t>t/a，产生</w:t>
            </w:r>
            <w:r>
              <w:rPr>
                <w:rFonts w:hint="eastAsia"/>
                <w:sz w:val="24"/>
                <w:lang w:val="en-US" w:eastAsia="zh-CN"/>
              </w:rPr>
              <w:t>废</w:t>
            </w:r>
            <w:r>
              <w:rPr>
                <w:rFonts w:hint="eastAsia"/>
                <w:sz w:val="24"/>
              </w:rPr>
              <w:t>边角料</w:t>
            </w:r>
            <w:r>
              <w:rPr>
                <w:rFonts w:hint="eastAsia"/>
                <w:sz w:val="24"/>
                <w:lang w:val="en-US" w:eastAsia="zh-CN"/>
              </w:rPr>
              <w:t>收集</w:t>
            </w:r>
            <w:r>
              <w:rPr>
                <w:rFonts w:hint="eastAsia"/>
                <w:sz w:val="24"/>
              </w:rPr>
              <w:t>后回用。</w:t>
            </w:r>
          </w:p>
          <w:p w14:paraId="60F6CBB3">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2 \* GB3 </w:instrText>
            </w:r>
            <w:r>
              <w:rPr>
                <w:rFonts w:hint="default" w:ascii="Times New Roman" w:hAnsi="Times New Roman" w:cs="Times New Roman"/>
                <w:sz w:val="24"/>
              </w:rPr>
              <w:fldChar w:fldCharType="separate"/>
            </w:r>
            <w:r>
              <w:rPr>
                <w:rFonts w:hint="default" w:ascii="Times New Roman" w:hAnsi="Times New Roman" w:cs="Times New Roman"/>
                <w:sz w:val="24"/>
              </w:rPr>
              <w:t>②</w:t>
            </w:r>
            <w:r>
              <w:rPr>
                <w:rFonts w:hint="default" w:ascii="Times New Roman" w:hAnsi="Times New Roman" w:cs="Times New Roman"/>
                <w:sz w:val="24"/>
              </w:rPr>
              <w:fldChar w:fldCharType="end"/>
            </w:r>
            <w:r>
              <w:rPr>
                <w:rFonts w:hint="default" w:ascii="Times New Roman" w:hAnsi="Times New Roman" w:cs="Times New Roman"/>
                <w:sz w:val="24"/>
              </w:rPr>
              <w:t>塑料不合格品：本项目检验工序会产生塑料不合格品，产生量按塑料粒子原料使用量的0.</w:t>
            </w:r>
            <w:r>
              <w:rPr>
                <w:rFonts w:hint="eastAsia" w:ascii="Times New Roman" w:hAnsi="Times New Roman" w:cs="Times New Roman"/>
                <w:sz w:val="24"/>
                <w:lang w:val="en-US" w:eastAsia="zh-CN"/>
              </w:rPr>
              <w:t>2</w:t>
            </w:r>
            <w:r>
              <w:rPr>
                <w:rFonts w:hint="default" w:ascii="Times New Roman" w:hAnsi="Times New Roman" w:cs="Times New Roman"/>
                <w:sz w:val="24"/>
              </w:rPr>
              <w:t>%估算，因此塑料不合格品产生量约为</w:t>
            </w:r>
            <w:r>
              <w:rPr>
                <w:rFonts w:hint="eastAsia" w:ascii="Times New Roman" w:hAnsi="Times New Roman" w:cs="Times New Roman"/>
                <w:sz w:val="24"/>
                <w:lang w:val="en-US" w:eastAsia="zh-CN"/>
              </w:rPr>
              <w:t>1.32</w:t>
            </w:r>
            <w:r>
              <w:rPr>
                <w:rFonts w:hint="default" w:ascii="Times New Roman" w:hAnsi="Times New Roman" w:cs="Times New Roman"/>
                <w:sz w:val="24"/>
              </w:rPr>
              <w:t>t/a，产生塑料不合格品破碎后回用。</w:t>
            </w:r>
          </w:p>
          <w:p w14:paraId="22D74DC1">
            <w:pPr>
              <w:spacing w:line="360" w:lineRule="auto"/>
              <w:ind w:firstLine="480" w:firstLineChars="200"/>
              <w:rPr>
                <w:kern w:val="0"/>
                <w:sz w:val="24"/>
                <w:szCs w:val="20"/>
              </w:rPr>
            </w:pPr>
            <w:r>
              <w:rPr>
                <w:kern w:val="0"/>
                <w:sz w:val="24"/>
                <w:szCs w:val="20"/>
              </w:rPr>
              <w:t>（2）危险废物</w:t>
            </w:r>
          </w:p>
          <w:p w14:paraId="5972F2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sz w:val="24"/>
              </w:rPr>
              <w:t>废活性炭：</w:t>
            </w:r>
            <w:r>
              <w:rPr>
                <w:rFonts w:hint="default" w:ascii="Times New Roman" w:hAnsi="Times New Roman" w:cs="Times New Roman"/>
                <w:sz w:val="24"/>
              </w:rPr>
              <w:t>本项目活性炭吸附装置处理有机废气时会产生废活性炭。根据工程分析，本项目有机废气处理量为</w:t>
            </w:r>
            <w:r>
              <w:rPr>
                <w:rFonts w:hint="eastAsia" w:ascii="Times New Roman" w:hAnsi="Times New Roman" w:cs="Times New Roman"/>
                <w:sz w:val="24"/>
                <w:lang w:val="en-US" w:eastAsia="zh-CN"/>
              </w:rPr>
              <w:t>1.44</w:t>
            </w:r>
            <w:r>
              <w:rPr>
                <w:rFonts w:hint="default" w:ascii="Times New Roman" w:hAnsi="Times New Roman" w:cs="Times New Roman"/>
                <w:sz w:val="24"/>
              </w:rPr>
              <w:t>t/a，活性炭对有机废气的吸附容量按30%计，即1kg的活性炭可以吸附0.3kg的有机废气，因此废活性炭产生量为</w:t>
            </w:r>
            <w:r>
              <w:rPr>
                <w:rFonts w:hint="eastAsia" w:ascii="Times New Roman" w:hAnsi="Times New Roman" w:cs="Times New Roman"/>
                <w:sz w:val="24"/>
                <w:lang w:val="en-US" w:eastAsia="zh-CN"/>
              </w:rPr>
              <w:t>6.24</w:t>
            </w:r>
            <w:r>
              <w:rPr>
                <w:rFonts w:hint="default" w:ascii="Times New Roman" w:hAnsi="Times New Roman" w:cs="Times New Roman"/>
                <w:sz w:val="24"/>
              </w:rPr>
              <w:t>t/a（含吸附的有机废气量</w:t>
            </w:r>
            <w:r>
              <w:rPr>
                <w:rFonts w:hint="eastAsia" w:ascii="Times New Roman" w:hAnsi="Times New Roman" w:cs="Times New Roman"/>
                <w:sz w:val="24"/>
                <w:lang w:val="en-US" w:eastAsia="zh-CN"/>
              </w:rPr>
              <w:t>1.44</w:t>
            </w:r>
            <w:r>
              <w:rPr>
                <w:rFonts w:hint="default" w:ascii="Times New Roman" w:hAnsi="Times New Roman" w:cs="Times New Roman"/>
                <w:sz w:val="24"/>
              </w:rPr>
              <w:t>t/a）。产生的废活性炭属于危险废物，危废代码为</w:t>
            </w:r>
            <w:r>
              <w:rPr>
                <w:rFonts w:hint="default" w:ascii="Times New Roman" w:hAnsi="Times New Roman" w:cs="Times New Roman"/>
                <w:kern w:val="0"/>
                <w:sz w:val="24"/>
                <w:szCs w:val="20"/>
                <w:lang w:val="zh-CN"/>
              </w:rPr>
              <w:t>HW49 900-039-49</w:t>
            </w:r>
            <w:r>
              <w:rPr>
                <w:rFonts w:hint="default" w:ascii="Times New Roman" w:hAnsi="Times New Roman" w:cs="Times New Roman"/>
                <w:sz w:val="24"/>
              </w:rPr>
              <w:t>，收集后暂存于厂区危废暂存库，定期交由有资质的单位接收处理。</w:t>
            </w:r>
          </w:p>
          <w:p w14:paraId="15DF1CA7">
            <w:pPr>
              <w:spacing w:line="336" w:lineRule="auto"/>
              <w:ind w:firstLine="420" w:firstLineChars="175"/>
              <w:jc w:val="left"/>
              <w:rPr>
                <w:sz w:val="24"/>
              </w:rPr>
            </w:pPr>
            <w:r>
              <w:rPr>
                <w:rFonts w:hint="default" w:ascii="Times New Roman" w:hAnsi="Times New Roman" w:eastAsia="微软雅黑" w:cs="Times New Roman"/>
                <w:sz w:val="24"/>
                <w:shd w:val="clear" w:color="auto" w:fill="FFFFFF"/>
              </w:rPr>
              <w:t>②</w:t>
            </w:r>
            <w:r>
              <w:rPr>
                <w:sz w:val="24"/>
                <w:shd w:val="clear" w:color="auto" w:fill="FFFFFF"/>
              </w:rPr>
              <w:t>废润滑油：本项目润滑油使用时会产生废润滑油，产生量按使用量的</w:t>
            </w:r>
            <w:r>
              <w:rPr>
                <w:rFonts w:hint="eastAsia"/>
                <w:sz w:val="24"/>
                <w:shd w:val="clear" w:color="auto" w:fill="FFFFFF"/>
              </w:rPr>
              <w:t>3</w:t>
            </w:r>
            <w:r>
              <w:rPr>
                <w:sz w:val="24"/>
                <w:shd w:val="clear" w:color="auto" w:fill="FFFFFF"/>
              </w:rPr>
              <w:t>0%计，因此废润滑油产生量为</w:t>
            </w:r>
            <w:r>
              <w:rPr>
                <w:rFonts w:hint="eastAsia"/>
                <w:sz w:val="24"/>
                <w:shd w:val="clear" w:color="auto" w:fill="FFFFFF"/>
              </w:rPr>
              <w:t>0</w:t>
            </w:r>
            <w:r>
              <w:rPr>
                <w:sz w:val="24"/>
                <w:shd w:val="clear" w:color="auto" w:fill="FFFFFF"/>
              </w:rPr>
              <w:t>.0</w:t>
            </w:r>
            <w:r>
              <w:rPr>
                <w:rFonts w:hint="eastAsia"/>
                <w:sz w:val="24"/>
                <w:shd w:val="clear" w:color="auto" w:fill="FFFFFF"/>
                <w:lang w:val="en-US" w:eastAsia="zh-CN"/>
              </w:rPr>
              <w:t>3</w:t>
            </w:r>
            <w:r>
              <w:rPr>
                <w:sz w:val="24"/>
                <w:shd w:val="clear" w:color="auto" w:fill="FFFFFF"/>
              </w:rPr>
              <w:t>t/a。</w:t>
            </w:r>
            <w:r>
              <w:rPr>
                <w:sz w:val="24"/>
              </w:rPr>
              <w:t>产生的废润滑油属于危险废物，危废代码为HW08 900-214-08，收集后暂存于厂区危废暂存库，定期交由有资质的单位接收处理。</w:t>
            </w:r>
          </w:p>
          <w:p w14:paraId="3327761B">
            <w:pPr>
              <w:spacing w:line="336" w:lineRule="auto"/>
              <w:ind w:firstLine="420" w:firstLineChars="175"/>
              <w:jc w:val="left"/>
              <w:rPr>
                <w:sz w:val="24"/>
              </w:rPr>
            </w:pPr>
            <w:r>
              <w:rPr>
                <w:rFonts w:hint="default" w:ascii="Times New Roman" w:hAnsi="Times New Roman" w:eastAsia="微软雅黑" w:cs="Times New Roman"/>
                <w:sz w:val="24"/>
                <w:shd w:val="clear" w:color="auto" w:fill="FFFFFF"/>
              </w:rPr>
              <w:t>③</w:t>
            </w:r>
            <w:r>
              <w:rPr>
                <w:sz w:val="24"/>
                <w:shd w:val="clear" w:color="auto" w:fill="FFFFFF"/>
              </w:rPr>
              <w:t>废油桶：</w:t>
            </w:r>
            <w:r>
              <w:rPr>
                <w:sz w:val="24"/>
              </w:rPr>
              <w:t>项目润滑油使用过程中会产生废油桶，20</w:t>
            </w:r>
            <w:r>
              <w:rPr>
                <w:bCs/>
                <w:sz w:val="24"/>
              </w:rPr>
              <w:t>kg包装桶产生量为</w:t>
            </w:r>
            <w:r>
              <w:rPr>
                <w:rFonts w:hint="eastAsia"/>
                <w:bCs/>
                <w:sz w:val="24"/>
                <w:lang w:val="en-US" w:eastAsia="zh-CN"/>
              </w:rPr>
              <w:t>5</w:t>
            </w:r>
            <w:r>
              <w:rPr>
                <w:bCs/>
                <w:sz w:val="24"/>
              </w:rPr>
              <w:t>个/a，按</w:t>
            </w:r>
            <w:r>
              <w:rPr>
                <w:sz w:val="24"/>
              </w:rPr>
              <w:t>1kg/个，因此废包装桶产生量为0.00</w:t>
            </w:r>
            <w:r>
              <w:rPr>
                <w:rFonts w:hint="eastAsia"/>
                <w:sz w:val="24"/>
                <w:lang w:val="en-US" w:eastAsia="zh-CN"/>
              </w:rPr>
              <w:t>5</w:t>
            </w:r>
            <w:r>
              <w:rPr>
                <w:sz w:val="24"/>
              </w:rPr>
              <w:t>t/a。产生的废包装桶属于危险废物，危废代码为HW49 900-041-49，收集后暂存于厂区危废暂存库，定期交由有资质的单位接收处理。</w:t>
            </w:r>
          </w:p>
          <w:p w14:paraId="6CB19D22">
            <w:pPr>
              <w:spacing w:line="360" w:lineRule="auto"/>
              <w:ind w:firstLine="420" w:firstLineChars="175"/>
              <w:jc w:val="left"/>
              <w:rPr>
                <w:sz w:val="24"/>
                <w:shd w:val="clear" w:color="auto" w:fill="FFFFFF"/>
              </w:rPr>
            </w:pPr>
            <w:r>
              <w:rPr>
                <w:sz w:val="24"/>
                <w:shd w:val="clear" w:color="auto" w:fill="FFFFFF"/>
              </w:rPr>
              <w:t>（</w:t>
            </w:r>
            <w:r>
              <w:rPr>
                <w:rFonts w:hint="eastAsia"/>
                <w:sz w:val="24"/>
                <w:shd w:val="clear" w:color="auto" w:fill="FFFFFF"/>
              </w:rPr>
              <w:t>3</w:t>
            </w:r>
            <w:r>
              <w:rPr>
                <w:sz w:val="24"/>
                <w:shd w:val="clear" w:color="auto" w:fill="FFFFFF"/>
              </w:rPr>
              <w:t>）生活垃圾</w:t>
            </w:r>
          </w:p>
          <w:p w14:paraId="74E6060D">
            <w:pPr>
              <w:spacing w:line="360" w:lineRule="auto"/>
              <w:ind w:firstLine="420" w:firstLineChars="175"/>
              <w:jc w:val="left"/>
              <w:rPr>
                <w:sz w:val="24"/>
              </w:rPr>
            </w:pPr>
            <w:r>
              <w:rPr>
                <w:sz w:val="24"/>
              </w:rPr>
              <w:t>本项目劳动定员</w:t>
            </w:r>
            <w:r>
              <w:rPr>
                <w:rFonts w:hint="eastAsia"/>
                <w:sz w:val="24"/>
                <w:lang w:val="en-US" w:eastAsia="zh-CN"/>
              </w:rPr>
              <w:t>15</w:t>
            </w:r>
            <w:r>
              <w:rPr>
                <w:sz w:val="24"/>
              </w:rPr>
              <w:t>人，</w:t>
            </w:r>
            <w:r>
              <w:rPr>
                <w:rFonts w:hint="eastAsia"/>
                <w:sz w:val="24"/>
              </w:rPr>
              <w:t>生活</w:t>
            </w:r>
            <w:r>
              <w:rPr>
                <w:sz w:val="24"/>
              </w:rPr>
              <w:t>垃圾产生量按0.5kg/d计，因此生活垃圾产生量为</w:t>
            </w:r>
            <w:r>
              <w:rPr>
                <w:rFonts w:hint="eastAsia"/>
                <w:sz w:val="24"/>
                <w:lang w:val="en-US" w:eastAsia="zh-CN"/>
              </w:rPr>
              <w:t>2.25</w:t>
            </w:r>
            <w:r>
              <w:rPr>
                <w:sz w:val="24"/>
              </w:rPr>
              <w:t>t/a</w:t>
            </w:r>
            <w:r>
              <w:rPr>
                <w:rFonts w:hint="default" w:ascii="Times New Roman" w:hAnsi="Times New Roman" w:eastAsia="宋体" w:cs="Times New Roman"/>
                <w:caps w:val="0"/>
                <w:color w:val="000000" w:themeColor="text1"/>
                <w:sz w:val="24"/>
                <w:highlight w:val="none"/>
                <w14:textFill>
                  <w14:solidFill>
                    <w14:schemeClr w14:val="tx1"/>
                  </w14:solidFill>
                </w14:textFill>
              </w:rPr>
              <w:t>（年工作日300天）</w:t>
            </w:r>
            <w:r>
              <w:rPr>
                <w:rFonts w:hint="eastAsia"/>
                <w:sz w:val="24"/>
              </w:rPr>
              <w:t>。</w:t>
            </w:r>
            <w:r>
              <w:rPr>
                <w:sz w:val="24"/>
              </w:rPr>
              <w:t>生活垃圾收集后交由环卫部门统一清运。</w:t>
            </w:r>
          </w:p>
          <w:p w14:paraId="378325B9">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kern w:val="0"/>
                <w:sz w:val="24"/>
              </w:rPr>
            </w:pPr>
            <w:r>
              <w:rPr>
                <w:kern w:val="0"/>
                <w:sz w:val="24"/>
                <w:szCs w:val="20"/>
              </w:rPr>
              <w:t>本项目固体废物处理措施见下表</w:t>
            </w:r>
            <w:r>
              <w:rPr>
                <w:rFonts w:hint="eastAsia"/>
                <w:kern w:val="0"/>
                <w:sz w:val="24"/>
              </w:rPr>
              <w:t>。</w:t>
            </w:r>
          </w:p>
          <w:p w14:paraId="3D4AED91">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b/>
                <w:kern w:val="0"/>
                <w:sz w:val="24"/>
                <w:szCs w:val="20"/>
              </w:rPr>
            </w:pPr>
            <w:r>
              <w:rPr>
                <w:b/>
                <w:kern w:val="0"/>
                <w:sz w:val="24"/>
                <w:szCs w:val="20"/>
              </w:rPr>
              <w:t>表4-</w:t>
            </w:r>
            <w:r>
              <w:rPr>
                <w:rFonts w:hint="eastAsia"/>
                <w:b/>
                <w:kern w:val="0"/>
                <w:sz w:val="24"/>
                <w:szCs w:val="20"/>
                <w:lang w:val="en-US" w:eastAsia="zh-CN"/>
              </w:rPr>
              <w:t>12</w:t>
            </w:r>
            <w:r>
              <w:rPr>
                <w:b/>
                <w:kern w:val="0"/>
                <w:sz w:val="24"/>
                <w:szCs w:val="20"/>
              </w:rPr>
              <w:t xml:space="preserve">  本项目固体废物处理措施一览表</w:t>
            </w:r>
          </w:p>
          <w:tbl>
            <w:tblPr>
              <w:tblStyle w:val="58"/>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63"/>
              <w:gridCol w:w="672"/>
              <w:gridCol w:w="902"/>
              <w:gridCol w:w="600"/>
              <w:gridCol w:w="657"/>
              <w:gridCol w:w="890"/>
              <w:gridCol w:w="731"/>
              <w:gridCol w:w="1189"/>
              <w:gridCol w:w="998"/>
              <w:gridCol w:w="713"/>
              <w:gridCol w:w="719"/>
            </w:tblGrid>
            <w:tr w14:paraId="2DB99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9" w:hRule="atLeast"/>
              </w:trPr>
              <w:tc>
                <w:tcPr>
                  <w:tcW w:w="215" w:type="pct"/>
                  <w:tcBorders>
                    <w:tl2br w:val="nil"/>
                    <w:tr2bl w:val="nil"/>
                  </w:tcBorders>
                  <w:vAlign w:val="center"/>
                </w:tcPr>
                <w:p w14:paraId="657A4062">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属性</w:t>
                  </w:r>
                </w:p>
              </w:tc>
              <w:tc>
                <w:tcPr>
                  <w:tcW w:w="398" w:type="pct"/>
                  <w:tcBorders>
                    <w:tl2br w:val="nil"/>
                    <w:tr2bl w:val="nil"/>
                  </w:tcBorders>
                  <w:vAlign w:val="center"/>
                </w:tcPr>
                <w:p w14:paraId="05DB7FC9">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产生工序</w:t>
                  </w:r>
                </w:p>
              </w:tc>
              <w:tc>
                <w:tcPr>
                  <w:tcW w:w="534" w:type="pct"/>
                  <w:tcBorders>
                    <w:tl2br w:val="nil"/>
                    <w:tr2bl w:val="nil"/>
                  </w:tcBorders>
                  <w:vAlign w:val="center"/>
                </w:tcPr>
                <w:p w14:paraId="3C6DC91B">
                  <w:pPr>
                    <w:jc w:val="center"/>
                    <w:textAlignment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b/>
                      <w:caps w:val="0"/>
                      <w:color w:val="000000" w:themeColor="text1"/>
                      <w:szCs w:val="21"/>
                      <w:highlight w:val="none"/>
                      <w:lang w:val="en-US" w:eastAsia="zh-CN"/>
                      <w14:textFill>
                        <w14:solidFill>
                          <w14:schemeClr w14:val="tx1"/>
                        </w14:solidFill>
                      </w14:textFill>
                    </w:rPr>
                    <w:t>废物名称</w:t>
                  </w:r>
                </w:p>
              </w:tc>
              <w:tc>
                <w:tcPr>
                  <w:tcW w:w="355" w:type="pct"/>
                  <w:tcBorders>
                    <w:tl2br w:val="nil"/>
                    <w:tr2bl w:val="nil"/>
                  </w:tcBorders>
                  <w:vAlign w:val="center"/>
                </w:tcPr>
                <w:p w14:paraId="5DE49977">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形态</w:t>
                  </w:r>
                </w:p>
              </w:tc>
              <w:tc>
                <w:tcPr>
                  <w:tcW w:w="389" w:type="pct"/>
                  <w:tcBorders>
                    <w:tl2br w:val="nil"/>
                    <w:tr2bl w:val="nil"/>
                  </w:tcBorders>
                  <w:vAlign w:val="center"/>
                </w:tcPr>
                <w:p w14:paraId="6E5C28A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主要成分</w:t>
                  </w:r>
                </w:p>
              </w:tc>
              <w:tc>
                <w:tcPr>
                  <w:tcW w:w="527" w:type="pct"/>
                  <w:tcBorders>
                    <w:tl2br w:val="nil"/>
                    <w:tr2bl w:val="nil"/>
                  </w:tcBorders>
                  <w:vAlign w:val="center"/>
                </w:tcPr>
                <w:p w14:paraId="697ABF13">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鉴别依据</w:t>
                  </w:r>
                </w:p>
              </w:tc>
              <w:tc>
                <w:tcPr>
                  <w:tcW w:w="433" w:type="pct"/>
                  <w:tcBorders>
                    <w:tl2br w:val="nil"/>
                    <w:tr2bl w:val="nil"/>
                  </w:tcBorders>
                  <w:vAlign w:val="center"/>
                </w:tcPr>
                <w:p w14:paraId="2633973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废物类别</w:t>
                  </w:r>
                </w:p>
              </w:tc>
              <w:tc>
                <w:tcPr>
                  <w:tcW w:w="704" w:type="pct"/>
                  <w:tcBorders>
                    <w:tl2br w:val="nil"/>
                    <w:tr2bl w:val="nil"/>
                  </w:tcBorders>
                  <w:vAlign w:val="center"/>
                </w:tcPr>
                <w:p w14:paraId="2E9FAE5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废物代码</w:t>
                  </w:r>
                </w:p>
              </w:tc>
              <w:tc>
                <w:tcPr>
                  <w:tcW w:w="591" w:type="pct"/>
                  <w:tcBorders>
                    <w:tl2br w:val="nil"/>
                    <w:tr2bl w:val="nil"/>
                  </w:tcBorders>
                  <w:vAlign w:val="center"/>
                </w:tcPr>
                <w:p w14:paraId="1131167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产生量（t/a）</w:t>
                  </w:r>
                </w:p>
              </w:tc>
              <w:tc>
                <w:tcPr>
                  <w:tcW w:w="422" w:type="pct"/>
                  <w:tcBorders>
                    <w:tl2br w:val="nil"/>
                    <w:tr2bl w:val="nil"/>
                  </w:tcBorders>
                  <w:vAlign w:val="center"/>
                </w:tcPr>
                <w:p w14:paraId="7B506656">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处理处置方式</w:t>
                  </w:r>
                </w:p>
              </w:tc>
              <w:tc>
                <w:tcPr>
                  <w:tcW w:w="426" w:type="pct"/>
                  <w:tcBorders>
                    <w:tl2br w:val="nil"/>
                    <w:tr2bl w:val="nil"/>
                  </w:tcBorders>
                  <w:vAlign w:val="center"/>
                </w:tcPr>
                <w:p w14:paraId="363F270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排放量（t/a）</w:t>
                  </w:r>
                </w:p>
              </w:tc>
            </w:tr>
            <w:tr w14:paraId="630780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42" w:hRule="atLeast"/>
              </w:trPr>
              <w:tc>
                <w:tcPr>
                  <w:tcW w:w="215" w:type="pct"/>
                  <w:vMerge w:val="restart"/>
                  <w:tcBorders>
                    <w:tl2br w:val="nil"/>
                    <w:tr2bl w:val="nil"/>
                  </w:tcBorders>
                  <w:vAlign w:val="center"/>
                </w:tcPr>
                <w:p w14:paraId="5F1AD89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一般固废</w:t>
                  </w:r>
                </w:p>
              </w:tc>
              <w:tc>
                <w:tcPr>
                  <w:tcW w:w="398" w:type="pct"/>
                  <w:tcBorders>
                    <w:tl2br w:val="nil"/>
                    <w:tr2bl w:val="nil"/>
                  </w:tcBorders>
                  <w:vAlign w:val="center"/>
                </w:tcPr>
                <w:p w14:paraId="4EE6771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分切</w:t>
                  </w:r>
                </w:p>
              </w:tc>
              <w:tc>
                <w:tcPr>
                  <w:tcW w:w="534" w:type="pct"/>
                  <w:tcBorders>
                    <w:tl2br w:val="nil"/>
                    <w:tr2bl w:val="nil"/>
                  </w:tcBorders>
                  <w:vAlign w:val="center"/>
                </w:tcPr>
                <w:p w14:paraId="78234D9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szCs w:val="21"/>
                      <w:lang w:val="en-US" w:eastAsia="zh-CN"/>
                    </w:rPr>
                    <w:t>废边角料</w:t>
                  </w:r>
                </w:p>
              </w:tc>
              <w:tc>
                <w:tcPr>
                  <w:tcW w:w="355" w:type="pct"/>
                  <w:tcBorders>
                    <w:tl2br w:val="nil"/>
                    <w:tr2bl w:val="nil"/>
                  </w:tcBorders>
                  <w:vAlign w:val="center"/>
                </w:tcPr>
                <w:p w14:paraId="679FF74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6F9C0DF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塑料</w:t>
                  </w:r>
                </w:p>
              </w:tc>
              <w:tc>
                <w:tcPr>
                  <w:tcW w:w="527" w:type="pct"/>
                  <w:vMerge w:val="restart"/>
                  <w:tcBorders>
                    <w:tl2br w:val="nil"/>
                    <w:tr2bl w:val="nil"/>
                  </w:tcBorders>
                  <w:vAlign w:val="center"/>
                </w:tcPr>
                <w:p w14:paraId="5B676132">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《固体废物分类与代码目录》</w:t>
                  </w:r>
                </w:p>
              </w:tc>
              <w:tc>
                <w:tcPr>
                  <w:tcW w:w="433" w:type="pct"/>
                  <w:tcBorders>
                    <w:tl2br w:val="nil"/>
                    <w:tr2bl w:val="nil"/>
                  </w:tcBorders>
                  <w:vAlign w:val="center"/>
                </w:tcPr>
                <w:p w14:paraId="11042C3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704" w:type="pct"/>
                  <w:tcBorders>
                    <w:tl2br w:val="nil"/>
                    <w:tr2bl w:val="nil"/>
                  </w:tcBorders>
                  <w:vAlign w:val="center"/>
                </w:tcPr>
                <w:p w14:paraId="4B82853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900-003-S17</w:t>
                  </w:r>
                </w:p>
              </w:tc>
              <w:tc>
                <w:tcPr>
                  <w:tcW w:w="591" w:type="pct"/>
                  <w:tcBorders>
                    <w:tl2br w:val="nil"/>
                    <w:tr2bl w:val="nil"/>
                  </w:tcBorders>
                  <w:vAlign w:val="center"/>
                </w:tcPr>
                <w:p w14:paraId="199BA8BA">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3.3</w:t>
                  </w:r>
                </w:p>
              </w:tc>
              <w:tc>
                <w:tcPr>
                  <w:tcW w:w="422" w:type="pct"/>
                  <w:vMerge w:val="restart"/>
                  <w:tcBorders>
                    <w:tl2br w:val="nil"/>
                    <w:tr2bl w:val="nil"/>
                  </w:tcBorders>
                  <w:vAlign w:val="center"/>
                </w:tcPr>
                <w:p w14:paraId="46942F7F">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aps w:val="0"/>
                      <w:color w:val="000000" w:themeColor="text1"/>
                      <w:kern w:val="2"/>
                      <w:sz w:val="21"/>
                      <w:szCs w:val="21"/>
                      <w:highlight w:val="none"/>
                      <w:lang w:val="en-US" w:eastAsia="zh-CN" w:bidi="ar-SA"/>
                      <w14:textFill>
                        <w14:solidFill>
                          <w14:schemeClr w14:val="tx1"/>
                        </w14:solidFill>
                      </w14:textFill>
                    </w:rPr>
                    <w:t>收集后回用</w:t>
                  </w:r>
                </w:p>
              </w:tc>
              <w:tc>
                <w:tcPr>
                  <w:tcW w:w="426" w:type="pct"/>
                  <w:tcBorders>
                    <w:tl2br w:val="nil"/>
                    <w:tr2bl w:val="nil"/>
                  </w:tcBorders>
                  <w:vAlign w:val="center"/>
                </w:tcPr>
                <w:p w14:paraId="5AEDD60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534B09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215" w:type="pct"/>
                  <w:vMerge w:val="continue"/>
                  <w:tcBorders>
                    <w:tl2br w:val="nil"/>
                    <w:tr2bl w:val="nil"/>
                  </w:tcBorders>
                  <w:vAlign w:val="center"/>
                </w:tcPr>
                <w:p w14:paraId="6116BBB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6F09AD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检验</w:t>
                  </w:r>
                </w:p>
              </w:tc>
              <w:tc>
                <w:tcPr>
                  <w:tcW w:w="534" w:type="pct"/>
                  <w:tcBorders>
                    <w:tl2br w:val="nil"/>
                    <w:tr2bl w:val="nil"/>
                  </w:tcBorders>
                  <w:vAlign w:val="center"/>
                </w:tcPr>
                <w:p w14:paraId="46A6E97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kern w:val="0"/>
                      <w:szCs w:val="21"/>
                      <w:lang w:val="en-US" w:eastAsia="zh-CN"/>
                    </w:rPr>
                    <w:t>不合格品</w:t>
                  </w:r>
                </w:p>
              </w:tc>
              <w:tc>
                <w:tcPr>
                  <w:tcW w:w="355" w:type="pct"/>
                  <w:tcBorders>
                    <w:tl2br w:val="nil"/>
                    <w:tr2bl w:val="nil"/>
                  </w:tcBorders>
                  <w:vAlign w:val="center"/>
                </w:tcPr>
                <w:p w14:paraId="0F78276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67B9502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塑料</w:t>
                  </w:r>
                </w:p>
              </w:tc>
              <w:tc>
                <w:tcPr>
                  <w:tcW w:w="527" w:type="pct"/>
                  <w:vMerge w:val="continue"/>
                  <w:tcBorders>
                    <w:tl2br w:val="nil"/>
                    <w:tr2bl w:val="nil"/>
                  </w:tcBorders>
                  <w:vAlign w:val="center"/>
                </w:tcPr>
                <w:p w14:paraId="078425C8">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3" w:type="pct"/>
                  <w:tcBorders>
                    <w:tl2br w:val="nil"/>
                    <w:tr2bl w:val="nil"/>
                  </w:tcBorders>
                  <w:vAlign w:val="center"/>
                </w:tcPr>
                <w:p w14:paraId="4F7B71E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704" w:type="pct"/>
                  <w:tcBorders>
                    <w:tl2br w:val="nil"/>
                    <w:tr2bl w:val="nil"/>
                  </w:tcBorders>
                  <w:shd w:val="clear" w:color="auto" w:fill="auto"/>
                  <w:vAlign w:val="center"/>
                </w:tcPr>
                <w:p w14:paraId="195A508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900-003-S17</w:t>
                  </w:r>
                </w:p>
              </w:tc>
              <w:tc>
                <w:tcPr>
                  <w:tcW w:w="591" w:type="pct"/>
                  <w:tcBorders>
                    <w:tl2br w:val="nil"/>
                    <w:tr2bl w:val="nil"/>
                  </w:tcBorders>
                  <w:shd w:val="clear" w:color="auto" w:fill="auto"/>
                  <w:vAlign w:val="center"/>
                </w:tcPr>
                <w:p w14:paraId="7DD452CF">
                  <w:pPr>
                    <w:jc w:val="center"/>
                    <w:textAlignment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1.32</w:t>
                  </w:r>
                </w:p>
              </w:tc>
              <w:tc>
                <w:tcPr>
                  <w:tcW w:w="422" w:type="pct"/>
                  <w:vMerge w:val="continue"/>
                  <w:tcBorders>
                    <w:tl2br w:val="nil"/>
                    <w:tr2bl w:val="nil"/>
                  </w:tcBorders>
                  <w:vAlign w:val="center"/>
                </w:tcPr>
                <w:p w14:paraId="2D38A19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26" w:type="pct"/>
                  <w:tcBorders>
                    <w:tl2br w:val="nil"/>
                    <w:tr2bl w:val="nil"/>
                  </w:tcBorders>
                  <w:vAlign w:val="center"/>
                </w:tcPr>
                <w:p w14:paraId="77A40B2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63387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215" w:type="pct"/>
                  <w:vMerge w:val="restart"/>
                  <w:tcBorders>
                    <w:tl2br w:val="nil"/>
                    <w:tr2bl w:val="nil"/>
                  </w:tcBorders>
                  <w:vAlign w:val="center"/>
                </w:tcPr>
                <w:p w14:paraId="3042CA6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危险废物</w:t>
                  </w:r>
                </w:p>
              </w:tc>
              <w:tc>
                <w:tcPr>
                  <w:tcW w:w="398" w:type="pct"/>
                  <w:tcBorders>
                    <w:tl2br w:val="nil"/>
                    <w:tr2bl w:val="nil"/>
                  </w:tcBorders>
                  <w:vAlign w:val="center"/>
                </w:tcPr>
                <w:p w14:paraId="092BF88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534" w:type="pct"/>
                  <w:tcBorders>
                    <w:tl2br w:val="nil"/>
                    <w:tr2bl w:val="nil"/>
                  </w:tcBorders>
                  <w:vAlign w:val="center"/>
                </w:tcPr>
                <w:p w14:paraId="3EF5CA9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355" w:type="pct"/>
                  <w:tcBorders>
                    <w:tl2br w:val="nil"/>
                    <w:tr2bl w:val="nil"/>
                  </w:tcBorders>
                  <w:vAlign w:val="center"/>
                </w:tcPr>
                <w:p w14:paraId="7AB321F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液态</w:t>
                  </w:r>
                </w:p>
              </w:tc>
              <w:tc>
                <w:tcPr>
                  <w:tcW w:w="389" w:type="pct"/>
                  <w:tcBorders>
                    <w:tl2br w:val="nil"/>
                    <w:tr2bl w:val="nil"/>
                  </w:tcBorders>
                  <w:vAlign w:val="center"/>
                </w:tcPr>
                <w:p w14:paraId="0B05FEC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27" w:type="pct"/>
                  <w:vMerge w:val="restart"/>
                  <w:tcBorders>
                    <w:tl2br w:val="nil"/>
                    <w:tr2bl w:val="nil"/>
                  </w:tcBorders>
                  <w:vAlign w:val="center"/>
                </w:tcPr>
                <w:p w14:paraId="05A03F6C">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《国家危险废物名录》（20</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aps w:val="0"/>
                      <w:color w:val="000000" w:themeColor="text1"/>
                      <w:szCs w:val="21"/>
                      <w:highlight w:val="none"/>
                      <w14:textFill>
                        <w14:solidFill>
                          <w14:schemeClr w14:val="tx1"/>
                        </w14:solidFill>
                      </w14:textFill>
                    </w:rPr>
                    <w:t>年）</w:t>
                  </w:r>
                </w:p>
              </w:tc>
              <w:tc>
                <w:tcPr>
                  <w:tcW w:w="433" w:type="pct"/>
                  <w:tcBorders>
                    <w:tl2br w:val="nil"/>
                    <w:tr2bl w:val="nil"/>
                  </w:tcBorders>
                  <w:vAlign w:val="center"/>
                </w:tcPr>
                <w:p w14:paraId="747689E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04" w:type="pct"/>
                  <w:tcBorders>
                    <w:tl2br w:val="nil"/>
                    <w:tr2bl w:val="nil"/>
                  </w:tcBorders>
                  <w:vAlign w:val="center"/>
                </w:tcPr>
                <w:p w14:paraId="3BB9ACF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900-214-08</w:t>
                  </w:r>
                </w:p>
              </w:tc>
              <w:tc>
                <w:tcPr>
                  <w:tcW w:w="591" w:type="pct"/>
                  <w:tcBorders>
                    <w:tl2br w:val="nil"/>
                    <w:tr2bl w:val="nil"/>
                  </w:tcBorders>
                  <w:vAlign w:val="center"/>
                </w:tcPr>
                <w:p w14:paraId="1B638ABB">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0.03</w:t>
                  </w:r>
                </w:p>
              </w:tc>
              <w:tc>
                <w:tcPr>
                  <w:tcW w:w="422" w:type="pct"/>
                  <w:vMerge w:val="restart"/>
                  <w:tcBorders>
                    <w:tl2br w:val="nil"/>
                    <w:tr2bl w:val="nil"/>
                  </w:tcBorders>
                  <w:vAlign w:val="center"/>
                </w:tcPr>
                <w:p w14:paraId="2A01851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厂内集中收集，暂存在危废暂存库内，委托有资质单位处置</w:t>
                  </w:r>
                </w:p>
              </w:tc>
              <w:tc>
                <w:tcPr>
                  <w:tcW w:w="426" w:type="pct"/>
                  <w:tcBorders>
                    <w:tl2br w:val="nil"/>
                    <w:tr2bl w:val="nil"/>
                  </w:tcBorders>
                  <w:vAlign w:val="center"/>
                </w:tcPr>
                <w:p w14:paraId="0080890F">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285BC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215" w:type="pct"/>
                  <w:vMerge w:val="continue"/>
                  <w:tcBorders>
                    <w:tl2br w:val="nil"/>
                    <w:tr2bl w:val="nil"/>
                  </w:tcBorders>
                  <w:vAlign w:val="center"/>
                </w:tcPr>
                <w:p w14:paraId="25BEC3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02B6A95E">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534" w:type="pct"/>
                  <w:tcBorders>
                    <w:tl2br w:val="nil"/>
                    <w:tr2bl w:val="nil"/>
                  </w:tcBorders>
                  <w:vAlign w:val="center"/>
                </w:tcPr>
                <w:p w14:paraId="76D27DA5">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355" w:type="pct"/>
                  <w:tcBorders>
                    <w:tl2br w:val="nil"/>
                    <w:tr2bl w:val="nil"/>
                  </w:tcBorders>
                  <w:vAlign w:val="center"/>
                </w:tcPr>
                <w:p w14:paraId="7AA08FA8">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5AB0834B">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27" w:type="pct"/>
                  <w:vMerge w:val="continue"/>
                  <w:tcBorders>
                    <w:tl2br w:val="nil"/>
                    <w:tr2bl w:val="nil"/>
                  </w:tcBorders>
                  <w:vAlign w:val="center"/>
                </w:tcPr>
                <w:p w14:paraId="4A9FE29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3" w:type="pct"/>
                  <w:tcBorders>
                    <w:tl2br w:val="nil"/>
                    <w:tr2bl w:val="nil"/>
                  </w:tcBorders>
                  <w:vAlign w:val="center"/>
                </w:tcPr>
                <w:p w14:paraId="68AB7A3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04" w:type="pct"/>
                  <w:tcBorders>
                    <w:tl2br w:val="nil"/>
                    <w:tr2bl w:val="nil"/>
                  </w:tcBorders>
                  <w:vAlign w:val="center"/>
                </w:tcPr>
                <w:p w14:paraId="4121F8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49</w:t>
                  </w:r>
                  <w:r>
                    <w:rPr>
                      <w:rFonts w:hint="default" w:ascii="Times New Roman" w:hAnsi="Times New Roman" w:eastAsia="宋体" w:cs="Times New Roman"/>
                      <w:caps w:val="0"/>
                      <w:color w:val="000000" w:themeColor="text1"/>
                      <w:szCs w:val="21"/>
                      <w:highlight w:val="none"/>
                      <w14:textFill>
                        <w14:solidFill>
                          <w14:schemeClr w14:val="tx1"/>
                        </w14:solidFill>
                      </w14:textFill>
                    </w:rPr>
                    <w:t>-08</w:t>
                  </w:r>
                </w:p>
              </w:tc>
              <w:tc>
                <w:tcPr>
                  <w:tcW w:w="591" w:type="pct"/>
                  <w:tcBorders>
                    <w:tl2br w:val="nil"/>
                    <w:tr2bl w:val="nil"/>
                  </w:tcBorders>
                  <w:vAlign w:val="center"/>
                </w:tcPr>
                <w:p w14:paraId="42D60819">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0.005</w:t>
                  </w:r>
                </w:p>
              </w:tc>
              <w:tc>
                <w:tcPr>
                  <w:tcW w:w="422" w:type="pct"/>
                  <w:vMerge w:val="continue"/>
                  <w:tcBorders>
                    <w:tl2br w:val="nil"/>
                    <w:tr2bl w:val="nil"/>
                  </w:tcBorders>
                  <w:vAlign w:val="center"/>
                </w:tcPr>
                <w:p w14:paraId="173A1FA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26" w:type="pct"/>
                  <w:tcBorders>
                    <w:tl2br w:val="nil"/>
                    <w:tr2bl w:val="nil"/>
                  </w:tcBorders>
                  <w:vAlign w:val="center"/>
                </w:tcPr>
                <w:p w14:paraId="68945DC1">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52811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42" w:hRule="atLeast"/>
              </w:trPr>
              <w:tc>
                <w:tcPr>
                  <w:tcW w:w="215" w:type="pct"/>
                  <w:vMerge w:val="continue"/>
                  <w:tcBorders>
                    <w:tl2br w:val="nil"/>
                    <w:tr2bl w:val="nil"/>
                  </w:tcBorders>
                  <w:vAlign w:val="center"/>
                </w:tcPr>
                <w:p w14:paraId="6C7103D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398" w:type="pct"/>
                  <w:tcBorders>
                    <w:tl2br w:val="nil"/>
                    <w:tr2bl w:val="nil"/>
                  </w:tcBorders>
                  <w:vAlign w:val="center"/>
                </w:tcPr>
                <w:p w14:paraId="3F39920F">
                  <w:pPr>
                    <w:jc w:val="center"/>
                    <w:rPr>
                      <w:rFonts w:hint="default" w:ascii="Times New Roman" w:hAnsi="Times New Roman" w:cs="Times New Roman"/>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废气处理</w:t>
                  </w:r>
                </w:p>
              </w:tc>
              <w:tc>
                <w:tcPr>
                  <w:tcW w:w="534" w:type="pct"/>
                  <w:tcBorders>
                    <w:tl2br w:val="nil"/>
                    <w:tr2bl w:val="nil"/>
                  </w:tcBorders>
                  <w:vAlign w:val="center"/>
                </w:tcPr>
                <w:p w14:paraId="753E034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废活性炭</w:t>
                  </w:r>
                </w:p>
              </w:tc>
              <w:tc>
                <w:tcPr>
                  <w:tcW w:w="355" w:type="pct"/>
                  <w:tcBorders>
                    <w:tl2br w:val="nil"/>
                    <w:tr2bl w:val="nil"/>
                  </w:tcBorders>
                  <w:vAlign w:val="center"/>
                </w:tcPr>
                <w:p w14:paraId="6AADE3D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424FAFC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有机废气</w:t>
                  </w:r>
                </w:p>
              </w:tc>
              <w:tc>
                <w:tcPr>
                  <w:tcW w:w="527" w:type="pct"/>
                  <w:vMerge w:val="continue"/>
                  <w:tcBorders>
                    <w:tl2br w:val="nil"/>
                    <w:tr2bl w:val="nil"/>
                  </w:tcBorders>
                  <w:vAlign w:val="center"/>
                </w:tcPr>
                <w:p w14:paraId="15E28F44">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3" w:type="pct"/>
                  <w:tcBorders>
                    <w:tl2br w:val="nil"/>
                    <w:tr2bl w:val="nil"/>
                  </w:tcBorders>
                  <w:vAlign w:val="center"/>
                </w:tcPr>
                <w:p w14:paraId="31CD6C45">
                  <w:pPr>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49</w:t>
                  </w:r>
                </w:p>
              </w:tc>
              <w:tc>
                <w:tcPr>
                  <w:tcW w:w="704" w:type="pct"/>
                  <w:tcBorders>
                    <w:tl2br w:val="nil"/>
                    <w:tr2bl w:val="nil"/>
                  </w:tcBorders>
                  <w:vAlign w:val="center"/>
                </w:tcPr>
                <w:p w14:paraId="584DAC6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900-039-49</w:t>
                  </w:r>
                </w:p>
              </w:tc>
              <w:tc>
                <w:tcPr>
                  <w:tcW w:w="591" w:type="pct"/>
                  <w:tcBorders>
                    <w:tl2br w:val="nil"/>
                    <w:tr2bl w:val="nil"/>
                  </w:tcBorders>
                  <w:vAlign w:val="center"/>
                </w:tcPr>
                <w:p w14:paraId="734E905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6.24</w:t>
                  </w:r>
                </w:p>
              </w:tc>
              <w:tc>
                <w:tcPr>
                  <w:tcW w:w="422" w:type="pct"/>
                  <w:vMerge w:val="continue"/>
                  <w:tcBorders>
                    <w:tl2br w:val="nil"/>
                    <w:tr2bl w:val="nil"/>
                  </w:tcBorders>
                  <w:vAlign w:val="center"/>
                </w:tcPr>
                <w:p w14:paraId="05596BDD">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26" w:type="pct"/>
                  <w:tcBorders>
                    <w:tl2br w:val="nil"/>
                    <w:tr2bl w:val="nil"/>
                  </w:tcBorders>
                  <w:vAlign w:val="center"/>
                </w:tcPr>
                <w:p w14:paraId="614A51C4">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668A8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16" w:hRule="atLeast"/>
              </w:trPr>
              <w:tc>
                <w:tcPr>
                  <w:tcW w:w="215" w:type="pct"/>
                  <w:tcBorders>
                    <w:tl2br w:val="nil"/>
                    <w:tr2bl w:val="nil"/>
                  </w:tcBorders>
                  <w:vAlign w:val="center"/>
                </w:tcPr>
                <w:p w14:paraId="714371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398" w:type="pct"/>
                  <w:tcBorders>
                    <w:tl2br w:val="nil"/>
                    <w:tr2bl w:val="nil"/>
                  </w:tcBorders>
                  <w:vAlign w:val="center"/>
                </w:tcPr>
                <w:p w14:paraId="30747BC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办公生活</w:t>
                  </w:r>
                </w:p>
              </w:tc>
              <w:tc>
                <w:tcPr>
                  <w:tcW w:w="534" w:type="pct"/>
                  <w:tcBorders>
                    <w:tl2br w:val="nil"/>
                    <w:tr2bl w:val="nil"/>
                  </w:tcBorders>
                  <w:vAlign w:val="center"/>
                </w:tcPr>
                <w:p w14:paraId="3190668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生活垃圾</w:t>
                  </w:r>
                </w:p>
              </w:tc>
              <w:tc>
                <w:tcPr>
                  <w:tcW w:w="355" w:type="pct"/>
                  <w:tcBorders>
                    <w:tl2br w:val="nil"/>
                    <w:tr2bl w:val="nil"/>
                  </w:tcBorders>
                  <w:vAlign w:val="center"/>
                </w:tcPr>
                <w:p w14:paraId="6BC5CED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3C9B1CD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果皮纸屑等</w:t>
                  </w:r>
                </w:p>
              </w:tc>
              <w:tc>
                <w:tcPr>
                  <w:tcW w:w="527" w:type="pct"/>
                  <w:tcBorders>
                    <w:tl2br w:val="nil"/>
                    <w:tr2bl w:val="nil"/>
                  </w:tcBorders>
                  <w:vAlign w:val="center"/>
                </w:tcPr>
                <w:p w14:paraId="0E04A61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433" w:type="pct"/>
                  <w:tcBorders>
                    <w:tl2br w:val="nil"/>
                    <w:tr2bl w:val="nil"/>
                  </w:tcBorders>
                  <w:shd w:val="clear" w:color="auto" w:fill="auto"/>
                  <w:vAlign w:val="center"/>
                </w:tcPr>
                <w:p w14:paraId="47D119C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704" w:type="pct"/>
                  <w:tcBorders>
                    <w:tl2br w:val="nil"/>
                    <w:tr2bl w:val="nil"/>
                  </w:tcBorders>
                  <w:shd w:val="clear" w:color="auto" w:fill="auto"/>
                  <w:vAlign w:val="center"/>
                </w:tcPr>
                <w:p w14:paraId="01B8CC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591" w:type="pct"/>
                  <w:tcBorders>
                    <w:tl2br w:val="nil"/>
                    <w:tr2bl w:val="nil"/>
                  </w:tcBorders>
                  <w:vAlign w:val="center"/>
                </w:tcPr>
                <w:p w14:paraId="7CDAE06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25</w:t>
                  </w:r>
                </w:p>
              </w:tc>
              <w:tc>
                <w:tcPr>
                  <w:tcW w:w="422" w:type="pct"/>
                  <w:tcBorders>
                    <w:tl2br w:val="nil"/>
                    <w:tr2bl w:val="nil"/>
                  </w:tcBorders>
                  <w:vAlign w:val="center"/>
                </w:tcPr>
                <w:p w14:paraId="0B22C81B">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交由环卫部门清运</w:t>
                  </w:r>
                </w:p>
              </w:tc>
              <w:tc>
                <w:tcPr>
                  <w:tcW w:w="426" w:type="pct"/>
                  <w:tcBorders>
                    <w:tl2br w:val="nil"/>
                    <w:tr2bl w:val="nil"/>
                  </w:tcBorders>
                  <w:vAlign w:val="center"/>
                </w:tcPr>
                <w:p w14:paraId="7186F79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bl>
          <w:p w14:paraId="50BE98AB">
            <w:pPr>
              <w:adjustRightInd w:val="0"/>
              <w:snapToGrid w:val="0"/>
              <w:spacing w:line="360" w:lineRule="auto"/>
              <w:ind w:firstLine="442" w:firstLineChars="200"/>
              <w:rPr>
                <w:rFonts w:hint="default"/>
                <w:b/>
                <w:bCs/>
                <w:spacing w:val="-10"/>
                <w:sz w:val="24"/>
                <w:lang w:val="en-US" w:eastAsia="zh-CN"/>
              </w:rPr>
            </w:pPr>
            <w:bookmarkStart w:id="7" w:name="_Toc85978818"/>
            <w:bookmarkStart w:id="8" w:name="_Toc62011226"/>
            <w:bookmarkStart w:id="9" w:name="_Toc87096201"/>
            <w:r>
              <w:rPr>
                <w:rFonts w:hint="eastAsia"/>
                <w:b/>
                <w:bCs/>
                <w:spacing w:val="-10"/>
                <w:sz w:val="24"/>
                <w:lang w:val="en-US" w:eastAsia="zh-CN"/>
              </w:rPr>
              <w:t>2、管理要求</w:t>
            </w:r>
          </w:p>
          <w:p w14:paraId="4BFCF3E1">
            <w:pPr>
              <w:adjustRightInd w:val="0"/>
              <w:snapToGrid w:val="0"/>
              <w:spacing w:line="360" w:lineRule="auto"/>
              <w:ind w:firstLine="442" w:firstLineChars="200"/>
              <w:rPr>
                <w:b/>
                <w:bCs/>
                <w:spacing w:val="-10"/>
                <w:sz w:val="24"/>
              </w:rPr>
            </w:pPr>
            <w:r>
              <w:rPr>
                <w:b/>
                <w:bCs/>
                <w:spacing w:val="-10"/>
                <w:sz w:val="24"/>
              </w:rPr>
              <w:t>（1）一般固废管理要求</w:t>
            </w:r>
          </w:p>
          <w:p w14:paraId="1C7D95F0">
            <w:pPr>
              <w:autoSpaceDE w:val="0"/>
              <w:autoSpaceDN w:val="0"/>
              <w:adjustRightInd w:val="0"/>
              <w:spacing w:line="360" w:lineRule="auto"/>
              <w:ind w:firstLine="480" w:firstLineChars="200"/>
              <w:jc w:val="left"/>
              <w:rPr>
                <w:kern w:val="0"/>
                <w:sz w:val="24"/>
              </w:rPr>
            </w:pPr>
            <w:r>
              <w:rPr>
                <w:kern w:val="0"/>
                <w:sz w:val="24"/>
              </w:rPr>
              <w:t>一般工业固废的暂存场所应按照《一般工业固体废物贮存和填埋污染控制标准》（GB18599-2020）要求建设：</w:t>
            </w:r>
          </w:p>
          <w:p w14:paraId="551F1EE4">
            <w:pPr>
              <w:autoSpaceDE w:val="0"/>
              <w:autoSpaceDN w:val="0"/>
              <w:adjustRightInd w:val="0"/>
              <w:spacing w:line="360" w:lineRule="auto"/>
              <w:ind w:firstLine="480" w:firstLineChars="200"/>
              <w:jc w:val="left"/>
              <w:rPr>
                <w:kern w:val="0"/>
                <w:sz w:val="24"/>
              </w:rPr>
            </w:pPr>
            <w:r>
              <w:rPr>
                <w:kern w:val="0"/>
                <w:sz w:val="24"/>
              </w:rPr>
              <w:t>①对固体废物实行从产生、收集、运输、贮存直至最终处理实行全过程管理，按照有关法律法规的要求，对固体废物全过程管理应报当地环保行政主管部门等批准；</w:t>
            </w:r>
          </w:p>
          <w:p w14:paraId="46BE851C">
            <w:pPr>
              <w:autoSpaceDE w:val="0"/>
              <w:autoSpaceDN w:val="0"/>
              <w:adjustRightInd w:val="0"/>
              <w:spacing w:line="360" w:lineRule="auto"/>
              <w:ind w:firstLine="480" w:firstLineChars="200"/>
              <w:jc w:val="left"/>
              <w:rPr>
                <w:kern w:val="0"/>
                <w:sz w:val="24"/>
              </w:rPr>
            </w:pPr>
            <w:r>
              <w:rPr>
                <w:kern w:val="0"/>
                <w:sz w:val="24"/>
              </w:rPr>
              <w:t>②加强固体废物规范化管理，固体废物分类定点存放；</w:t>
            </w:r>
          </w:p>
          <w:p w14:paraId="368108F6">
            <w:pPr>
              <w:autoSpaceDE w:val="0"/>
              <w:autoSpaceDN w:val="0"/>
              <w:adjustRightInd w:val="0"/>
              <w:spacing w:line="360" w:lineRule="auto"/>
              <w:ind w:firstLine="480" w:firstLineChars="200"/>
              <w:jc w:val="left"/>
              <w:rPr>
                <w:kern w:val="0"/>
                <w:sz w:val="24"/>
              </w:rPr>
            </w:pPr>
            <w:r>
              <w:rPr>
                <w:kern w:val="0"/>
                <w:sz w:val="24"/>
              </w:rPr>
              <w:t>③及时清运，避免产生二次污染；</w:t>
            </w:r>
          </w:p>
          <w:p w14:paraId="1A71CFA4">
            <w:pPr>
              <w:autoSpaceDE w:val="0"/>
              <w:autoSpaceDN w:val="0"/>
              <w:adjustRightInd w:val="0"/>
              <w:spacing w:line="360" w:lineRule="auto"/>
              <w:ind w:firstLine="480" w:firstLineChars="200"/>
              <w:jc w:val="left"/>
              <w:rPr>
                <w:kern w:val="0"/>
                <w:sz w:val="24"/>
              </w:rPr>
            </w:pPr>
            <w:r>
              <w:rPr>
                <w:kern w:val="0"/>
                <w:sz w:val="24"/>
              </w:rPr>
              <w:t>④固体废物运输过程中应做到密闭运输，防止固废泄漏，减少污染。</w:t>
            </w:r>
          </w:p>
          <w:p w14:paraId="39AEADFE">
            <w:pPr>
              <w:autoSpaceDE w:val="0"/>
              <w:autoSpaceDN w:val="0"/>
              <w:adjustRightInd w:val="0"/>
              <w:spacing w:line="360" w:lineRule="auto"/>
              <w:ind w:firstLine="480" w:firstLineChars="200"/>
              <w:jc w:val="left"/>
              <w:rPr>
                <w:kern w:val="0"/>
                <w:sz w:val="24"/>
              </w:rPr>
            </w:pPr>
            <w:r>
              <w:rPr>
                <w:kern w:val="0"/>
                <w:sz w:val="24"/>
              </w:rPr>
              <w:t>依据固体废物的种类、产生量及管理的全过程可能造成的环境影响进行分析：</w:t>
            </w:r>
          </w:p>
          <w:p w14:paraId="4C6624E4">
            <w:pPr>
              <w:autoSpaceDE w:val="0"/>
              <w:autoSpaceDN w:val="0"/>
              <w:adjustRightInd w:val="0"/>
              <w:spacing w:line="360" w:lineRule="auto"/>
              <w:ind w:firstLine="480" w:firstLineChars="200"/>
              <w:jc w:val="left"/>
              <w:rPr>
                <w:kern w:val="0"/>
                <w:sz w:val="24"/>
              </w:rPr>
            </w:pPr>
            <w:r>
              <w:rPr>
                <w:kern w:val="0"/>
                <w:sz w:val="24"/>
              </w:rPr>
              <w:t>①全厂固废分类收集与贮存，不混放，固废相互之间不影响。</w:t>
            </w:r>
          </w:p>
          <w:p w14:paraId="4EA55AB5">
            <w:pPr>
              <w:autoSpaceDE w:val="0"/>
              <w:autoSpaceDN w:val="0"/>
              <w:adjustRightInd w:val="0"/>
              <w:spacing w:line="360" w:lineRule="auto"/>
              <w:ind w:firstLine="480" w:firstLineChars="200"/>
              <w:jc w:val="left"/>
              <w:rPr>
                <w:kern w:val="0"/>
                <w:sz w:val="24"/>
              </w:rPr>
            </w:pPr>
            <w:r>
              <w:rPr>
                <w:kern w:val="0"/>
                <w:sz w:val="24"/>
              </w:rPr>
              <w:t>②全厂固废运输由专业的运输单位负责，在运输过程中采用封闭运输，运输过程中不易散落，对环境影响较小。</w:t>
            </w:r>
          </w:p>
          <w:p w14:paraId="3BF41001">
            <w:pPr>
              <w:autoSpaceDE w:val="0"/>
              <w:autoSpaceDN w:val="0"/>
              <w:adjustRightInd w:val="0"/>
              <w:spacing w:line="360" w:lineRule="auto"/>
              <w:ind w:firstLine="480" w:firstLineChars="200"/>
              <w:jc w:val="left"/>
              <w:rPr>
                <w:kern w:val="0"/>
                <w:sz w:val="24"/>
              </w:rPr>
            </w:pPr>
            <w:r>
              <w:rPr>
                <w:kern w:val="0"/>
                <w:sz w:val="24"/>
              </w:rPr>
              <w:t>③固废的贮存场所地面采用防渗地面，对土壤、地下水产生的影响较小。</w:t>
            </w:r>
          </w:p>
          <w:p w14:paraId="03FF3556">
            <w:pPr>
              <w:autoSpaceDE w:val="0"/>
              <w:autoSpaceDN w:val="0"/>
              <w:adjustRightInd w:val="0"/>
              <w:spacing w:line="360" w:lineRule="auto"/>
              <w:ind w:firstLine="480" w:firstLineChars="200"/>
              <w:jc w:val="left"/>
              <w:rPr>
                <w:kern w:val="0"/>
                <w:sz w:val="24"/>
              </w:rPr>
            </w:pPr>
            <w:r>
              <w:rPr>
                <w:kern w:val="0"/>
                <w:sz w:val="24"/>
              </w:rPr>
              <w:t>④全厂的固废通过回收利用的方式，对大气、水体、土壤环境基本不产生影响。</w:t>
            </w:r>
          </w:p>
          <w:p w14:paraId="34B0516F">
            <w:pPr>
              <w:autoSpaceDE w:val="0"/>
              <w:autoSpaceDN w:val="0"/>
              <w:adjustRightInd w:val="0"/>
              <w:spacing w:line="360" w:lineRule="auto"/>
              <w:ind w:firstLine="480" w:firstLineChars="200"/>
              <w:jc w:val="left"/>
              <w:rPr>
                <w:rFonts w:hint="eastAsia"/>
                <w:kern w:val="0"/>
                <w:sz w:val="24"/>
              </w:rPr>
            </w:pPr>
            <w:r>
              <w:rPr>
                <w:kern w:val="0"/>
                <w:sz w:val="24"/>
              </w:rPr>
              <w:t>综上，只要建设单位强化管理，做好一般固废的收集、贮存和清运工作，并采取安全处置方法，经处置后固体废弃物不会对周围环境产生明显的不利影响。</w:t>
            </w:r>
          </w:p>
          <w:p w14:paraId="0AB8F193">
            <w:pPr>
              <w:adjustRightInd w:val="0"/>
              <w:snapToGrid w:val="0"/>
              <w:spacing w:line="360" w:lineRule="auto"/>
              <w:ind w:firstLine="442" w:firstLineChars="200"/>
              <w:rPr>
                <w:b/>
                <w:bCs/>
                <w:spacing w:val="-10"/>
                <w:sz w:val="24"/>
              </w:rPr>
            </w:pPr>
            <w:r>
              <w:rPr>
                <w:b/>
                <w:bCs/>
                <w:spacing w:val="-10"/>
                <w:sz w:val="24"/>
              </w:rPr>
              <w:t>（</w:t>
            </w:r>
            <w:r>
              <w:rPr>
                <w:rFonts w:hint="eastAsia"/>
                <w:b/>
                <w:bCs/>
                <w:spacing w:val="-10"/>
                <w:sz w:val="24"/>
              </w:rPr>
              <w:t>2</w:t>
            </w:r>
            <w:r>
              <w:rPr>
                <w:b/>
                <w:bCs/>
                <w:spacing w:val="-10"/>
                <w:sz w:val="24"/>
              </w:rPr>
              <w:t>）危险废物</w:t>
            </w:r>
          </w:p>
          <w:p w14:paraId="008C9281">
            <w:pPr>
              <w:autoSpaceDE w:val="0"/>
              <w:autoSpaceDN w:val="0"/>
              <w:adjustRightInd w:val="0"/>
              <w:spacing w:line="360" w:lineRule="auto"/>
              <w:ind w:firstLine="480" w:firstLineChars="200"/>
              <w:jc w:val="left"/>
              <w:rPr>
                <w:kern w:val="0"/>
                <w:sz w:val="24"/>
              </w:rPr>
            </w:pPr>
            <w:r>
              <w:rPr>
                <w:kern w:val="0"/>
                <w:sz w:val="24"/>
              </w:rPr>
              <w:t>本项目危险废物暂存于车间危废库。</w:t>
            </w:r>
            <w:r>
              <w:rPr>
                <w:rFonts w:hint="eastAsia"/>
                <w:kern w:val="0"/>
                <w:sz w:val="24"/>
              </w:rPr>
              <w:t>位于车间北侧，占地面积约10m2</w:t>
            </w:r>
            <w:r>
              <w:rPr>
                <w:kern w:val="0"/>
                <w:sz w:val="24"/>
              </w:rPr>
              <w:t>，能够满足全厂危废贮存需求。</w:t>
            </w:r>
          </w:p>
          <w:p w14:paraId="16EEC906">
            <w:pPr>
              <w:autoSpaceDE w:val="0"/>
              <w:autoSpaceDN w:val="0"/>
              <w:adjustRightInd w:val="0"/>
              <w:spacing w:line="360" w:lineRule="auto"/>
              <w:ind w:firstLine="480" w:firstLineChars="200"/>
              <w:jc w:val="left"/>
              <w:rPr>
                <w:kern w:val="0"/>
                <w:sz w:val="24"/>
              </w:rPr>
            </w:pPr>
            <w:r>
              <w:rPr>
                <w:rFonts w:hint="eastAsia"/>
                <w:kern w:val="0"/>
                <w:sz w:val="24"/>
              </w:rPr>
              <w:t>①</w:t>
            </w:r>
            <w:r>
              <w:rPr>
                <w:kern w:val="0"/>
                <w:sz w:val="24"/>
              </w:rPr>
              <w:t>危险废物贮存场所（设施）环境影响分析</w:t>
            </w:r>
          </w:p>
          <w:p w14:paraId="0F7B5E79">
            <w:pPr>
              <w:autoSpaceDE w:val="0"/>
              <w:autoSpaceDN w:val="0"/>
              <w:adjustRightInd w:val="0"/>
              <w:spacing w:line="360" w:lineRule="auto"/>
              <w:ind w:firstLine="480" w:firstLineChars="200"/>
              <w:jc w:val="left"/>
              <w:rPr>
                <w:kern w:val="0"/>
                <w:sz w:val="24"/>
              </w:rPr>
            </w:pPr>
            <w:r>
              <w:rPr>
                <w:kern w:val="0"/>
                <w:sz w:val="24"/>
              </w:rPr>
              <w:t>本项目废润滑油、废包装桶、废活性炭为危险固废，废润滑油为液态危废，采用专业容器桶密闭收集保存；废润滑油桶采用原密封盖密封后收集保存；废活性炭采用专业容器密闭收集保存。本项目危废产生量为</w:t>
            </w:r>
            <w:r>
              <w:rPr>
                <w:rFonts w:hint="eastAsia"/>
                <w:kern w:val="0"/>
                <w:sz w:val="24"/>
                <w:lang w:val="en-US" w:eastAsia="zh-CN"/>
              </w:rPr>
              <w:t>6.275</w:t>
            </w:r>
            <w:r>
              <w:rPr>
                <w:kern w:val="0"/>
                <w:sz w:val="24"/>
              </w:rPr>
              <w:t>t/a。公司定期将危废外送处置，一般暂存时间为3个月。本项目建设危废库一间，危废仓库面积为</w:t>
            </w:r>
            <w:r>
              <w:rPr>
                <w:rFonts w:hint="eastAsia"/>
                <w:kern w:val="0"/>
                <w:sz w:val="24"/>
                <w:lang w:val="en-US" w:eastAsia="zh-CN"/>
              </w:rPr>
              <w:t>1</w:t>
            </w:r>
            <w:r>
              <w:rPr>
                <w:kern w:val="0"/>
                <w:sz w:val="24"/>
              </w:rPr>
              <w:t>0m</w:t>
            </w:r>
            <w:r>
              <w:rPr>
                <w:kern w:val="0"/>
                <w:sz w:val="24"/>
                <w:vertAlign w:val="superscript"/>
              </w:rPr>
              <w:t>2</w:t>
            </w:r>
            <w:r>
              <w:rPr>
                <w:kern w:val="0"/>
                <w:sz w:val="24"/>
              </w:rPr>
              <w:t>，位于厂区</w:t>
            </w:r>
            <w:r>
              <w:rPr>
                <w:rFonts w:hint="eastAsia"/>
                <w:kern w:val="0"/>
                <w:sz w:val="24"/>
                <w:lang w:val="en-US" w:eastAsia="zh-CN"/>
              </w:rPr>
              <w:t>北</w:t>
            </w:r>
            <w:r>
              <w:rPr>
                <w:kern w:val="0"/>
                <w:sz w:val="24"/>
              </w:rPr>
              <w:t>侧，能够满足全厂危废贮存需求。</w:t>
            </w:r>
          </w:p>
          <w:p w14:paraId="6F4531C5">
            <w:pPr>
              <w:autoSpaceDE w:val="0"/>
              <w:autoSpaceDN w:val="0"/>
              <w:adjustRightInd w:val="0"/>
              <w:spacing w:line="360" w:lineRule="auto"/>
              <w:ind w:firstLine="480" w:firstLineChars="200"/>
              <w:jc w:val="left"/>
              <w:rPr>
                <w:kern w:val="0"/>
                <w:sz w:val="24"/>
              </w:rPr>
            </w:pPr>
            <w:r>
              <w:rPr>
                <w:kern w:val="0"/>
                <w:sz w:val="24"/>
              </w:rPr>
              <w:t>本项目危废主要为废润滑油、废</w:t>
            </w:r>
            <w:r>
              <w:rPr>
                <w:rFonts w:hint="eastAsia"/>
                <w:kern w:val="0"/>
                <w:sz w:val="24"/>
                <w:lang w:val="en-US" w:eastAsia="zh-CN"/>
              </w:rPr>
              <w:t>润滑油</w:t>
            </w:r>
            <w:r>
              <w:rPr>
                <w:kern w:val="0"/>
                <w:sz w:val="24"/>
              </w:rPr>
              <w:t>桶、废活性炭，对周围大气环境影响较小；且危废存放于包装容器中，不会发生泄露或流动，因此对周围地表水环境影响较小；项目危废存放于危废暂存间内，危废暂存间铺设防渗材料，危废不会进入地下水和土壤中，不会对项目周围地下水和土壤产生影响。</w:t>
            </w:r>
          </w:p>
          <w:p w14:paraId="164E31E9">
            <w:pPr>
              <w:autoSpaceDE w:val="0"/>
              <w:autoSpaceDN w:val="0"/>
              <w:adjustRightInd w:val="0"/>
              <w:spacing w:line="360" w:lineRule="auto"/>
              <w:ind w:firstLine="480" w:firstLineChars="200"/>
              <w:jc w:val="left"/>
              <w:rPr>
                <w:kern w:val="0"/>
                <w:sz w:val="24"/>
              </w:rPr>
            </w:pPr>
            <w:r>
              <w:rPr>
                <w:rFonts w:hint="eastAsia"/>
                <w:kern w:val="0"/>
                <w:sz w:val="24"/>
              </w:rPr>
              <w:t>②</w:t>
            </w:r>
            <w:r>
              <w:rPr>
                <w:kern w:val="0"/>
                <w:sz w:val="24"/>
              </w:rPr>
              <w:t>运输过程的环境影响分析</w:t>
            </w:r>
          </w:p>
          <w:p w14:paraId="742BA63F">
            <w:pPr>
              <w:autoSpaceDE w:val="0"/>
              <w:autoSpaceDN w:val="0"/>
              <w:adjustRightInd w:val="0"/>
              <w:spacing w:line="360" w:lineRule="auto"/>
              <w:ind w:firstLine="480" w:firstLineChars="200"/>
              <w:jc w:val="left"/>
              <w:rPr>
                <w:kern w:val="0"/>
                <w:sz w:val="24"/>
              </w:rPr>
            </w:pPr>
            <w:r>
              <w:rPr>
                <w:kern w:val="0"/>
                <w:sz w:val="24"/>
              </w:rPr>
              <w:t>本项目危废主要为废润滑油、废</w:t>
            </w:r>
            <w:r>
              <w:rPr>
                <w:rFonts w:hint="eastAsia"/>
                <w:kern w:val="0"/>
                <w:sz w:val="24"/>
                <w:lang w:val="en-US" w:eastAsia="zh-CN"/>
              </w:rPr>
              <w:t>润滑油</w:t>
            </w:r>
            <w:r>
              <w:rPr>
                <w:kern w:val="0"/>
                <w:sz w:val="24"/>
              </w:rPr>
              <w:t>桶、废活性炭，定期由厂内员工收集至危废库中，另危废暂存间严格按照“四防”（防风、防雨、防晒、防渗漏）要求进行设置，项目危废定期由有资质单位处理处置。</w:t>
            </w:r>
          </w:p>
          <w:p w14:paraId="57337E9D">
            <w:pPr>
              <w:autoSpaceDE w:val="0"/>
              <w:autoSpaceDN w:val="0"/>
              <w:adjustRightInd w:val="0"/>
              <w:spacing w:line="360" w:lineRule="auto"/>
              <w:ind w:firstLine="480" w:firstLineChars="200"/>
              <w:jc w:val="left"/>
              <w:rPr>
                <w:kern w:val="0"/>
                <w:sz w:val="24"/>
              </w:rPr>
            </w:pPr>
            <w:r>
              <w:rPr>
                <w:kern w:val="0"/>
                <w:sz w:val="24"/>
              </w:rPr>
              <w:t>本项目危废厂内运输过程中，由建设单位负责专门人员进行收集清理，放置在危废库内，对周边环境影响较小。</w:t>
            </w:r>
          </w:p>
          <w:p w14:paraId="46227BC7">
            <w:pPr>
              <w:autoSpaceDE w:val="0"/>
              <w:autoSpaceDN w:val="0"/>
              <w:adjustRightInd w:val="0"/>
              <w:spacing w:line="360" w:lineRule="auto"/>
              <w:ind w:firstLine="480" w:firstLineChars="200"/>
              <w:jc w:val="left"/>
              <w:rPr>
                <w:rFonts w:hint="eastAsia"/>
                <w:kern w:val="0"/>
                <w:sz w:val="24"/>
              </w:rPr>
            </w:pPr>
            <w:r>
              <w:rPr>
                <w:kern w:val="0"/>
                <w:sz w:val="24"/>
              </w:rPr>
              <w:t>危险废物均按要求填写危险废物转移联单和签订委托处置合同。本环评危废由危废处理公司负责运输和处理。托运过程中，车厢为密闭状态，不会对沿线环境敏感点产生影响，同时对运输路线的选择要尽量避开敏感点，减少对敏感点产生影响的风险。</w:t>
            </w:r>
          </w:p>
          <w:p w14:paraId="49B13C37">
            <w:pPr>
              <w:spacing w:line="360" w:lineRule="auto"/>
              <w:ind w:firstLine="482" w:firstLineChars="200"/>
              <w:rPr>
                <w:b/>
                <w:bCs/>
                <w:sz w:val="24"/>
              </w:rPr>
            </w:pPr>
            <w:r>
              <w:rPr>
                <w:b/>
                <w:sz w:val="24"/>
              </w:rPr>
              <w:t>（3）</w:t>
            </w:r>
            <w:r>
              <w:rPr>
                <w:b/>
                <w:bCs/>
                <w:sz w:val="24"/>
              </w:rPr>
              <w:t>污染防治措施技术经济论证</w:t>
            </w:r>
          </w:p>
          <w:p w14:paraId="0E6C7DF6">
            <w:pPr>
              <w:spacing w:line="360" w:lineRule="auto"/>
              <w:rPr>
                <w:sz w:val="24"/>
              </w:rPr>
            </w:pPr>
            <w:r>
              <w:rPr>
                <w:sz w:val="24"/>
              </w:rPr>
              <w:t xml:space="preserve">     </w:t>
            </w:r>
            <w:r>
              <w:rPr>
                <w:rFonts w:ascii="宋体" w:hAnsi="宋体"/>
                <w:bCs/>
                <w:sz w:val="24"/>
              </w:rPr>
              <w:t>①</w:t>
            </w:r>
            <w:r>
              <w:rPr>
                <w:bCs/>
                <w:sz w:val="24"/>
              </w:rPr>
              <w:t>贮存场所（设施）污染防治措施</w:t>
            </w:r>
          </w:p>
          <w:p w14:paraId="29DDB8A1">
            <w:pPr>
              <w:spacing w:line="360" w:lineRule="auto"/>
              <w:ind w:firstLine="480" w:firstLineChars="200"/>
              <w:rPr>
                <w:sz w:val="24"/>
              </w:rPr>
            </w:pPr>
            <w:r>
              <w:rPr>
                <w:sz w:val="24"/>
              </w:rPr>
              <w:t>所有纳入危险废物范畴的固体废物在企业内的存放地设置符合</w:t>
            </w:r>
            <w:r>
              <w:rPr>
                <w:rFonts w:hint="eastAsia"/>
                <w:sz w:val="24"/>
              </w:rPr>
              <w:t>《危险废物贮存污染控制标准》（</w:t>
            </w:r>
            <w:r>
              <w:rPr>
                <w:sz w:val="24"/>
              </w:rPr>
              <w:t>GB18597-2023</w:t>
            </w:r>
            <w:r>
              <w:rPr>
                <w:rFonts w:hint="eastAsia"/>
                <w:sz w:val="24"/>
              </w:rPr>
              <w:t>）中的相关规定</w:t>
            </w:r>
            <w:r>
              <w:rPr>
                <w:sz w:val="24"/>
              </w:rPr>
              <w:t>的专用标志。危险废物必须使用专用的容器贮存，除非在常温常压下不水解、不挥发的固体危险废物可在贮存设施内分别堆放。贮存容器应有明显标志，并且标明废物的特性，是否具有耐腐蚀、与所贮存的废物发生反应等特性。</w:t>
            </w:r>
          </w:p>
          <w:p w14:paraId="1B2D0FC8">
            <w:pPr>
              <w:spacing w:line="360" w:lineRule="auto"/>
              <w:ind w:firstLine="480" w:firstLineChars="200"/>
              <w:rPr>
                <w:sz w:val="24"/>
              </w:rPr>
            </w:pPr>
            <w:r>
              <w:rPr>
                <w:sz w:val="24"/>
              </w:rPr>
              <w:t>贮存场所严格按照“四防”（防风、防雨、防晒、防渗漏）要求进行设置，有集排水设施且贮存场所符合消防要求，贮存场所内采用安全照明设施，并设置观察窗口。</w:t>
            </w:r>
          </w:p>
          <w:p w14:paraId="7619A9C9">
            <w:pPr>
              <w:spacing w:line="360" w:lineRule="auto"/>
              <w:ind w:firstLine="480" w:firstLineChars="200"/>
              <w:rPr>
                <w:bCs/>
                <w:sz w:val="24"/>
              </w:rPr>
            </w:pPr>
            <w:r>
              <w:rPr>
                <w:rFonts w:ascii="宋体" w:hAnsi="宋体"/>
                <w:bCs/>
                <w:sz w:val="24"/>
              </w:rPr>
              <w:t>②</w:t>
            </w:r>
            <w:r>
              <w:rPr>
                <w:bCs/>
                <w:sz w:val="24"/>
              </w:rPr>
              <w:t>运输过程的污染防治措施</w:t>
            </w:r>
          </w:p>
          <w:p w14:paraId="3D66DE2A">
            <w:pPr>
              <w:spacing w:line="360" w:lineRule="auto"/>
              <w:ind w:firstLine="480" w:firstLineChars="200"/>
              <w:rPr>
                <w:sz w:val="24"/>
              </w:rPr>
            </w:pPr>
            <w:r>
              <w:rPr>
                <w:sz w:val="24"/>
              </w:rPr>
              <w:t>项目危险废物采用专门的车辆，密闭运输，杜绝在运输过程中造成环境的二次污染。在危险废物的运输中执行《危险废物转移联单管理办法》中有关的规定和要求。</w:t>
            </w:r>
          </w:p>
          <w:p w14:paraId="5A11007B">
            <w:pPr>
              <w:spacing w:line="360" w:lineRule="auto"/>
              <w:ind w:firstLine="480" w:firstLineChars="200"/>
              <w:rPr>
                <w:sz w:val="24"/>
              </w:rPr>
            </w:pPr>
            <w:r>
              <w:rPr>
                <w:sz w:val="24"/>
              </w:rPr>
              <w:t>危废库位于</w:t>
            </w:r>
            <w:r>
              <w:rPr>
                <w:rFonts w:hint="eastAsia"/>
                <w:bCs/>
                <w:spacing w:val="-10"/>
                <w:sz w:val="24"/>
              </w:rPr>
              <w:t>生产车间</w:t>
            </w:r>
            <w:r>
              <w:rPr>
                <w:rFonts w:hint="eastAsia"/>
                <w:bCs/>
                <w:spacing w:val="-10"/>
                <w:sz w:val="24"/>
                <w:lang w:val="en-US" w:eastAsia="zh-CN"/>
              </w:rPr>
              <w:t>北</w:t>
            </w:r>
            <w:r>
              <w:rPr>
                <w:rFonts w:hint="eastAsia"/>
                <w:bCs/>
                <w:spacing w:val="-10"/>
                <w:sz w:val="24"/>
              </w:rPr>
              <w:t>侧</w:t>
            </w:r>
            <w:r>
              <w:rPr>
                <w:sz w:val="24"/>
              </w:rPr>
              <w:t>，危险废物包装容器和包装袋应选用与装盛物相容</w:t>
            </w:r>
            <w:r>
              <w:rPr>
                <w:rFonts w:hint="eastAsia"/>
                <w:sz w:val="24"/>
                <w:lang w:eastAsia="zh-CN"/>
              </w:rPr>
              <w:t>（</w:t>
            </w:r>
            <w:r>
              <w:rPr>
                <w:sz w:val="24"/>
              </w:rPr>
              <w:t>不起反应</w:t>
            </w:r>
            <w:r>
              <w:rPr>
                <w:rFonts w:hint="eastAsia"/>
                <w:sz w:val="24"/>
                <w:lang w:eastAsia="zh-CN"/>
              </w:rPr>
              <w:t>）</w:t>
            </w:r>
            <w:r>
              <w:rPr>
                <w:sz w:val="24"/>
              </w:rPr>
              <w:t>的材料制成，包装容器必须坚固不易破碎，防渗性能良好，“危险废物”标志牌的尺寸不应小于标签面积的1/20，标签上标注有危险废物名称、编号、危险性、日期及重量。</w:t>
            </w:r>
          </w:p>
          <w:p w14:paraId="06F9A58B">
            <w:pPr>
              <w:spacing w:line="360" w:lineRule="auto"/>
              <w:ind w:firstLine="480" w:firstLineChars="200"/>
              <w:rPr>
                <w:sz w:val="24"/>
              </w:rPr>
            </w:pPr>
            <w:r>
              <w:rPr>
                <w:sz w:val="24"/>
              </w:rPr>
              <w:t>企业危险废物的堆放和贮存，应满足</w:t>
            </w:r>
            <w:r>
              <w:rPr>
                <w:rFonts w:hint="eastAsia"/>
                <w:sz w:val="24"/>
              </w:rPr>
              <w:t>《危险废物贮存污染控制标准》（</w:t>
            </w:r>
            <w:r>
              <w:rPr>
                <w:sz w:val="24"/>
              </w:rPr>
              <w:t>GB18597-2023</w:t>
            </w:r>
            <w:r>
              <w:rPr>
                <w:rFonts w:hint="eastAsia"/>
                <w:sz w:val="24"/>
              </w:rPr>
              <w:t>）中</w:t>
            </w:r>
            <w:r>
              <w:rPr>
                <w:sz w:val="24"/>
              </w:rPr>
              <w:t>要求，堆场基础已刷环氧树脂漆防渗，防渗层渗透系数≤10</w:t>
            </w:r>
            <w:r>
              <w:rPr>
                <w:sz w:val="24"/>
                <w:vertAlign w:val="superscript"/>
              </w:rPr>
              <w:t>-10</w:t>
            </w:r>
            <w:r>
              <w:rPr>
                <w:sz w:val="24"/>
              </w:rPr>
              <w:t>厘米/秒。危险废物由专门的人员进行管理，制定了危废管理制度，建立了危废管理台账，相关管理人员对危废进行入库登记、分类存放、巡查和维护，避免其对周围环境产生二次污染。</w:t>
            </w:r>
          </w:p>
          <w:p w14:paraId="3D148231">
            <w:pPr>
              <w:adjustRightInd w:val="0"/>
              <w:snapToGrid w:val="0"/>
              <w:spacing w:line="360" w:lineRule="auto"/>
              <w:ind w:firstLine="480" w:firstLineChars="200"/>
              <w:rPr>
                <w:kern w:val="0"/>
                <w:sz w:val="24"/>
              </w:rPr>
            </w:pPr>
            <w:r>
              <w:rPr>
                <w:sz w:val="24"/>
              </w:rPr>
              <w:t>综上，只要建设单位强化管理，做好危险废物、一般固废及生活垃圾的收集、贮存和清运工作，并采取安全处置方法，经处置后固体废弃物不会对周围环境产生明显的不利影响。</w:t>
            </w:r>
            <w:bookmarkEnd w:id="7"/>
            <w:bookmarkEnd w:id="8"/>
            <w:bookmarkEnd w:id="9"/>
          </w:p>
          <w:p w14:paraId="56D35490">
            <w:pPr>
              <w:autoSpaceDE w:val="0"/>
              <w:autoSpaceDN w:val="0"/>
              <w:adjustRightInd w:val="0"/>
              <w:spacing w:line="360" w:lineRule="auto"/>
              <w:ind w:firstLine="480" w:firstLineChars="200"/>
              <w:jc w:val="left"/>
              <w:rPr>
                <w:kern w:val="0"/>
                <w:sz w:val="24"/>
              </w:rPr>
            </w:pPr>
            <w:r>
              <w:rPr>
                <w:rFonts w:hint="eastAsia"/>
                <w:kern w:val="0"/>
                <w:sz w:val="24"/>
                <w:lang w:val="en-US" w:eastAsia="zh-CN"/>
              </w:rPr>
              <w:t>3、</w:t>
            </w:r>
            <w:r>
              <w:rPr>
                <w:rFonts w:hint="eastAsia"/>
                <w:kern w:val="0"/>
                <w:sz w:val="24"/>
              </w:rPr>
              <w:t>委托利用或者处置的环境影响分析</w:t>
            </w:r>
          </w:p>
          <w:p w14:paraId="045FEC16">
            <w:pPr>
              <w:autoSpaceDE w:val="0"/>
              <w:autoSpaceDN w:val="0"/>
              <w:adjustRightInd w:val="0"/>
              <w:spacing w:line="360" w:lineRule="auto"/>
              <w:ind w:firstLine="480" w:firstLineChars="200"/>
              <w:jc w:val="left"/>
              <w:rPr>
                <w:kern w:val="0"/>
                <w:sz w:val="24"/>
              </w:rPr>
            </w:pPr>
            <w:r>
              <w:rPr>
                <w:kern w:val="0"/>
                <w:sz w:val="24"/>
              </w:rPr>
              <w:t>根据安徽省生态环境厅公布的《安徽省危险废物经营许可证汇总统计表》，本次评价分析项目产生的危险废物有资质单位有能力接纳并利用、处置的部分单位如下</w:t>
            </w:r>
            <w:r>
              <w:rPr>
                <w:rFonts w:hint="eastAsia"/>
                <w:kern w:val="0"/>
                <w:sz w:val="24"/>
              </w:rPr>
              <w:t>。</w:t>
            </w:r>
          </w:p>
          <w:p w14:paraId="6EF0BE50">
            <w:pPr>
              <w:keepNext w:val="0"/>
              <w:keepLines w:val="0"/>
              <w:pageBreakBefore w:val="0"/>
              <w:widowControl w:val="0"/>
              <w:kinsoku/>
              <w:wordWrap/>
              <w:overflowPunct/>
              <w:topLinePunct w:val="0"/>
              <w:autoSpaceDE w:val="0"/>
              <w:autoSpaceDN w:val="0"/>
              <w:bidi w:val="0"/>
              <w:adjustRightInd w:val="0"/>
              <w:snapToGrid/>
              <w:spacing w:beforeAutospacing="0" w:line="360" w:lineRule="auto"/>
              <w:ind w:firstLine="482" w:firstLineChars="200"/>
              <w:jc w:val="center"/>
              <w:textAlignment w:val="auto"/>
              <w:rPr>
                <w:b/>
                <w:kern w:val="0"/>
                <w:sz w:val="24"/>
              </w:rPr>
            </w:pPr>
            <w:r>
              <w:rPr>
                <w:rFonts w:hint="eastAsia"/>
                <w:b/>
                <w:kern w:val="0"/>
                <w:sz w:val="24"/>
              </w:rPr>
              <w:t>表4</w:t>
            </w:r>
            <w:r>
              <w:rPr>
                <w:b/>
                <w:kern w:val="0"/>
                <w:sz w:val="24"/>
              </w:rPr>
              <w:t>-</w:t>
            </w:r>
            <w:r>
              <w:rPr>
                <w:rFonts w:hint="eastAsia"/>
                <w:b/>
                <w:kern w:val="0"/>
                <w:sz w:val="24"/>
                <w:lang w:val="en-US" w:eastAsia="zh-CN"/>
              </w:rPr>
              <w:t>13</w:t>
            </w:r>
            <w:r>
              <w:rPr>
                <w:b/>
                <w:kern w:val="0"/>
                <w:sz w:val="24"/>
              </w:rPr>
              <w:t xml:space="preserve"> </w:t>
            </w:r>
            <w:r>
              <w:rPr>
                <w:rFonts w:hint="eastAsia"/>
                <w:b/>
                <w:kern w:val="0"/>
                <w:sz w:val="24"/>
              </w:rPr>
              <w:t xml:space="preserve"> 本项目危险废物安徽省内资质单位情况</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749"/>
              <w:gridCol w:w="893"/>
              <w:gridCol w:w="2744"/>
              <w:gridCol w:w="1381"/>
              <w:gridCol w:w="749"/>
              <w:gridCol w:w="1060"/>
            </w:tblGrid>
            <w:tr w14:paraId="536CB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pct"/>
                  <w:tcBorders>
                    <w:tl2br w:val="nil"/>
                    <w:tr2bl w:val="nil"/>
                  </w:tcBorders>
                  <w:shd w:val="clear" w:color="auto" w:fill="auto"/>
                  <w:vAlign w:val="center"/>
                </w:tcPr>
                <w:p w14:paraId="24C1F75A">
                  <w:pPr>
                    <w:autoSpaceDE w:val="0"/>
                    <w:autoSpaceDN w:val="0"/>
                    <w:adjustRightInd w:val="0"/>
                    <w:ind w:left="-105" w:leftChars="-50" w:right="-105" w:rightChars="-50"/>
                    <w:jc w:val="center"/>
                    <w:rPr>
                      <w:b/>
                      <w:kern w:val="0"/>
                      <w:szCs w:val="21"/>
                    </w:rPr>
                  </w:pPr>
                  <w:r>
                    <w:rPr>
                      <w:rFonts w:hint="eastAsia"/>
                      <w:b/>
                      <w:kern w:val="0"/>
                      <w:szCs w:val="21"/>
                    </w:rPr>
                    <w:t>建议处置单位</w:t>
                  </w:r>
                </w:p>
              </w:tc>
              <w:tc>
                <w:tcPr>
                  <w:tcW w:w="444" w:type="pct"/>
                  <w:tcBorders>
                    <w:tl2br w:val="nil"/>
                    <w:tr2bl w:val="nil"/>
                  </w:tcBorders>
                  <w:shd w:val="clear" w:color="auto" w:fill="auto"/>
                  <w:vAlign w:val="center"/>
                </w:tcPr>
                <w:p w14:paraId="403B0DF0">
                  <w:pPr>
                    <w:autoSpaceDE w:val="0"/>
                    <w:autoSpaceDN w:val="0"/>
                    <w:adjustRightInd w:val="0"/>
                    <w:ind w:left="-105" w:leftChars="-50" w:right="-105" w:rightChars="-50"/>
                    <w:jc w:val="center"/>
                    <w:rPr>
                      <w:b/>
                      <w:kern w:val="0"/>
                      <w:szCs w:val="21"/>
                    </w:rPr>
                  </w:pPr>
                  <w:r>
                    <w:rPr>
                      <w:rFonts w:hint="eastAsia"/>
                      <w:b/>
                      <w:kern w:val="0"/>
                      <w:szCs w:val="21"/>
                    </w:rPr>
                    <w:t>建议处置单位地点</w:t>
                  </w:r>
                </w:p>
              </w:tc>
              <w:tc>
                <w:tcPr>
                  <w:tcW w:w="529" w:type="pct"/>
                  <w:tcBorders>
                    <w:tl2br w:val="nil"/>
                    <w:tr2bl w:val="nil"/>
                  </w:tcBorders>
                  <w:shd w:val="clear" w:color="auto" w:fill="auto"/>
                  <w:vAlign w:val="center"/>
                </w:tcPr>
                <w:p w14:paraId="34928CA6">
                  <w:pPr>
                    <w:autoSpaceDE w:val="0"/>
                    <w:autoSpaceDN w:val="0"/>
                    <w:adjustRightInd w:val="0"/>
                    <w:ind w:left="-105" w:leftChars="-50" w:right="-105" w:rightChars="-50"/>
                    <w:jc w:val="center"/>
                    <w:rPr>
                      <w:b/>
                      <w:kern w:val="0"/>
                      <w:szCs w:val="21"/>
                    </w:rPr>
                  </w:pPr>
                  <w:r>
                    <w:rPr>
                      <w:rFonts w:hint="eastAsia"/>
                      <w:b/>
                      <w:kern w:val="0"/>
                      <w:szCs w:val="21"/>
                    </w:rPr>
                    <w:t>设计处</w:t>
                  </w:r>
                </w:p>
                <w:p w14:paraId="752A9BAF">
                  <w:pPr>
                    <w:autoSpaceDE w:val="0"/>
                    <w:autoSpaceDN w:val="0"/>
                    <w:adjustRightInd w:val="0"/>
                    <w:ind w:left="-105" w:leftChars="-50" w:right="-105" w:rightChars="-50"/>
                    <w:jc w:val="center"/>
                    <w:rPr>
                      <w:b/>
                      <w:kern w:val="0"/>
                      <w:szCs w:val="21"/>
                    </w:rPr>
                  </w:pPr>
                  <w:r>
                    <w:rPr>
                      <w:rFonts w:hint="eastAsia"/>
                      <w:b/>
                      <w:kern w:val="0"/>
                      <w:szCs w:val="21"/>
                    </w:rPr>
                    <w:t>理规模</w:t>
                  </w:r>
                </w:p>
                <w:p w14:paraId="7EA3918A">
                  <w:pPr>
                    <w:autoSpaceDE w:val="0"/>
                    <w:autoSpaceDN w:val="0"/>
                    <w:adjustRightInd w:val="0"/>
                    <w:ind w:left="-105" w:leftChars="-50" w:right="-105" w:rightChars="-50"/>
                    <w:jc w:val="center"/>
                    <w:rPr>
                      <w:b/>
                      <w:kern w:val="0"/>
                      <w:szCs w:val="21"/>
                    </w:rPr>
                  </w:pPr>
                  <w:r>
                    <w:rPr>
                      <w:b/>
                      <w:kern w:val="0"/>
                      <w:szCs w:val="21"/>
                    </w:rPr>
                    <w:t>t/a</w:t>
                  </w:r>
                </w:p>
              </w:tc>
              <w:tc>
                <w:tcPr>
                  <w:tcW w:w="1626" w:type="pct"/>
                  <w:tcBorders>
                    <w:tl2br w:val="nil"/>
                    <w:tr2bl w:val="nil"/>
                  </w:tcBorders>
                  <w:shd w:val="clear" w:color="auto" w:fill="auto"/>
                  <w:vAlign w:val="center"/>
                </w:tcPr>
                <w:p w14:paraId="64135CD5">
                  <w:pPr>
                    <w:autoSpaceDE w:val="0"/>
                    <w:autoSpaceDN w:val="0"/>
                    <w:adjustRightInd w:val="0"/>
                    <w:ind w:left="-105" w:leftChars="-50" w:right="-105" w:rightChars="-50"/>
                    <w:jc w:val="center"/>
                    <w:rPr>
                      <w:b/>
                      <w:kern w:val="0"/>
                      <w:szCs w:val="21"/>
                    </w:rPr>
                  </w:pPr>
                  <w:r>
                    <w:rPr>
                      <w:rFonts w:hint="eastAsia"/>
                      <w:b/>
                      <w:kern w:val="0"/>
                      <w:szCs w:val="21"/>
                    </w:rPr>
                    <w:t>危废资质类别</w:t>
                  </w:r>
                </w:p>
              </w:tc>
              <w:tc>
                <w:tcPr>
                  <w:tcW w:w="818" w:type="pct"/>
                  <w:tcBorders>
                    <w:tl2br w:val="nil"/>
                    <w:tr2bl w:val="nil"/>
                  </w:tcBorders>
                  <w:shd w:val="clear" w:color="auto" w:fill="auto"/>
                  <w:vAlign w:val="center"/>
                </w:tcPr>
                <w:p w14:paraId="55DD4167">
                  <w:pPr>
                    <w:autoSpaceDE w:val="0"/>
                    <w:autoSpaceDN w:val="0"/>
                    <w:adjustRightInd w:val="0"/>
                    <w:ind w:left="-105" w:leftChars="-50" w:right="-105" w:rightChars="-50"/>
                    <w:jc w:val="center"/>
                    <w:rPr>
                      <w:b/>
                      <w:kern w:val="0"/>
                      <w:szCs w:val="21"/>
                    </w:rPr>
                  </w:pPr>
                  <w:r>
                    <w:rPr>
                      <w:rFonts w:hint="eastAsia"/>
                      <w:b/>
                      <w:kern w:val="0"/>
                      <w:szCs w:val="21"/>
                    </w:rPr>
                    <w:t>证书编号</w:t>
                  </w:r>
                </w:p>
              </w:tc>
              <w:tc>
                <w:tcPr>
                  <w:tcW w:w="444" w:type="pct"/>
                  <w:tcBorders>
                    <w:tl2br w:val="nil"/>
                    <w:tr2bl w:val="nil"/>
                  </w:tcBorders>
                  <w:shd w:val="clear" w:color="auto" w:fill="auto"/>
                  <w:vAlign w:val="center"/>
                </w:tcPr>
                <w:p w14:paraId="2422E715">
                  <w:pPr>
                    <w:autoSpaceDE w:val="0"/>
                    <w:autoSpaceDN w:val="0"/>
                    <w:adjustRightInd w:val="0"/>
                    <w:ind w:left="-105" w:leftChars="-50" w:right="-105" w:rightChars="-50"/>
                    <w:jc w:val="center"/>
                    <w:rPr>
                      <w:b/>
                      <w:kern w:val="0"/>
                      <w:szCs w:val="21"/>
                    </w:rPr>
                  </w:pPr>
                  <w:r>
                    <w:rPr>
                      <w:rFonts w:hint="eastAsia"/>
                      <w:b/>
                      <w:kern w:val="0"/>
                      <w:szCs w:val="21"/>
                    </w:rPr>
                    <w:t>是否</w:t>
                  </w:r>
                </w:p>
                <w:p w14:paraId="6A07E239">
                  <w:pPr>
                    <w:autoSpaceDE w:val="0"/>
                    <w:autoSpaceDN w:val="0"/>
                    <w:adjustRightInd w:val="0"/>
                    <w:ind w:left="-105" w:leftChars="-50" w:right="-105" w:rightChars="-50"/>
                    <w:jc w:val="center"/>
                    <w:rPr>
                      <w:b/>
                      <w:kern w:val="0"/>
                      <w:szCs w:val="21"/>
                    </w:rPr>
                  </w:pPr>
                  <w:r>
                    <w:rPr>
                      <w:rFonts w:hint="eastAsia"/>
                      <w:b/>
                      <w:kern w:val="0"/>
                      <w:szCs w:val="21"/>
                    </w:rPr>
                    <w:t>有效</w:t>
                  </w:r>
                </w:p>
              </w:tc>
              <w:tc>
                <w:tcPr>
                  <w:tcW w:w="628" w:type="pct"/>
                  <w:tcBorders>
                    <w:tl2br w:val="nil"/>
                    <w:tr2bl w:val="nil"/>
                  </w:tcBorders>
                  <w:shd w:val="clear" w:color="auto" w:fill="auto"/>
                  <w:vAlign w:val="center"/>
                </w:tcPr>
                <w:p w14:paraId="4B7E9D7E">
                  <w:pPr>
                    <w:autoSpaceDE w:val="0"/>
                    <w:autoSpaceDN w:val="0"/>
                    <w:adjustRightInd w:val="0"/>
                    <w:ind w:left="-105" w:leftChars="-50" w:right="-105" w:rightChars="-50"/>
                    <w:jc w:val="center"/>
                    <w:rPr>
                      <w:b/>
                      <w:kern w:val="0"/>
                      <w:szCs w:val="21"/>
                    </w:rPr>
                  </w:pPr>
                  <w:r>
                    <w:rPr>
                      <w:rFonts w:hint="eastAsia"/>
                      <w:b/>
                      <w:kern w:val="0"/>
                      <w:szCs w:val="21"/>
                    </w:rPr>
                    <w:t>对应项目危险废物类别</w:t>
                  </w:r>
                </w:p>
              </w:tc>
            </w:tr>
            <w:tr w14:paraId="081497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pct"/>
                  <w:tcBorders>
                    <w:tl2br w:val="nil"/>
                    <w:tr2bl w:val="nil"/>
                  </w:tcBorders>
                  <w:shd w:val="clear" w:color="auto" w:fill="auto"/>
                  <w:vAlign w:val="center"/>
                </w:tcPr>
                <w:p w14:paraId="0DA019A5">
                  <w:pPr>
                    <w:autoSpaceDE w:val="0"/>
                    <w:autoSpaceDN w:val="0"/>
                    <w:adjustRightInd w:val="0"/>
                    <w:jc w:val="center"/>
                    <w:rPr>
                      <w:kern w:val="0"/>
                      <w:szCs w:val="21"/>
                    </w:rPr>
                  </w:pPr>
                  <w:r>
                    <w:rPr>
                      <w:rFonts w:hint="eastAsia"/>
                      <w:kern w:val="0"/>
                      <w:szCs w:val="21"/>
                    </w:rPr>
                    <w:t>芜湖海创环保科技有限责任公司</w:t>
                  </w:r>
                </w:p>
              </w:tc>
              <w:tc>
                <w:tcPr>
                  <w:tcW w:w="444" w:type="pct"/>
                  <w:tcBorders>
                    <w:tl2br w:val="nil"/>
                    <w:tr2bl w:val="nil"/>
                  </w:tcBorders>
                  <w:shd w:val="clear" w:color="auto" w:fill="auto"/>
                  <w:vAlign w:val="center"/>
                </w:tcPr>
                <w:p w14:paraId="52047814">
                  <w:pPr>
                    <w:autoSpaceDE w:val="0"/>
                    <w:autoSpaceDN w:val="0"/>
                    <w:adjustRightInd w:val="0"/>
                    <w:ind w:left="-105" w:leftChars="-50" w:right="-105" w:rightChars="-50"/>
                    <w:jc w:val="center"/>
                    <w:rPr>
                      <w:kern w:val="0"/>
                      <w:szCs w:val="21"/>
                    </w:rPr>
                  </w:pPr>
                  <w:r>
                    <w:rPr>
                      <w:rFonts w:hint="eastAsia"/>
                      <w:kern w:val="0"/>
                      <w:szCs w:val="21"/>
                    </w:rPr>
                    <w:t>芜湖市繁昌区</w:t>
                  </w:r>
                </w:p>
              </w:tc>
              <w:tc>
                <w:tcPr>
                  <w:tcW w:w="529" w:type="pct"/>
                  <w:tcBorders>
                    <w:tl2br w:val="nil"/>
                    <w:tr2bl w:val="nil"/>
                  </w:tcBorders>
                  <w:shd w:val="clear" w:color="auto" w:fill="auto"/>
                  <w:vAlign w:val="center"/>
                </w:tcPr>
                <w:p w14:paraId="107F6665">
                  <w:pPr>
                    <w:autoSpaceDE w:val="0"/>
                    <w:autoSpaceDN w:val="0"/>
                    <w:adjustRightInd w:val="0"/>
                    <w:ind w:left="-105" w:leftChars="-50" w:right="-105" w:rightChars="-50"/>
                    <w:jc w:val="center"/>
                    <w:rPr>
                      <w:kern w:val="0"/>
                      <w:szCs w:val="21"/>
                    </w:rPr>
                  </w:pPr>
                  <w:r>
                    <w:rPr>
                      <w:kern w:val="0"/>
                      <w:szCs w:val="21"/>
                    </w:rPr>
                    <w:t>68000</w:t>
                  </w:r>
                </w:p>
              </w:tc>
              <w:tc>
                <w:tcPr>
                  <w:tcW w:w="1626" w:type="pct"/>
                  <w:tcBorders>
                    <w:tl2br w:val="nil"/>
                    <w:tr2bl w:val="nil"/>
                  </w:tcBorders>
                  <w:shd w:val="clear" w:color="auto" w:fill="auto"/>
                  <w:vAlign w:val="center"/>
                </w:tcPr>
                <w:p w14:paraId="0287DCFA">
                  <w:pPr>
                    <w:autoSpaceDE w:val="0"/>
                    <w:autoSpaceDN w:val="0"/>
                    <w:adjustRightInd w:val="0"/>
                    <w:jc w:val="center"/>
                    <w:rPr>
                      <w:kern w:val="0"/>
                      <w:szCs w:val="21"/>
                    </w:rPr>
                  </w:pPr>
                  <w:r>
                    <w:rPr>
                      <w:kern w:val="0"/>
                      <w:szCs w:val="21"/>
                    </w:rPr>
                    <w:t>HW02</w:t>
                  </w:r>
                  <w:r>
                    <w:rPr>
                      <w:rFonts w:hint="eastAsia"/>
                      <w:kern w:val="0"/>
                      <w:szCs w:val="21"/>
                    </w:rPr>
                    <w:t>、</w:t>
                  </w:r>
                  <w:r>
                    <w:rPr>
                      <w:kern w:val="0"/>
                      <w:szCs w:val="21"/>
                    </w:rPr>
                    <w:t>HW04</w:t>
                  </w:r>
                  <w:r>
                    <w:rPr>
                      <w:rFonts w:hint="eastAsia"/>
                      <w:kern w:val="0"/>
                      <w:szCs w:val="21"/>
                    </w:rPr>
                    <w:t>、</w:t>
                  </w:r>
                  <w:r>
                    <w:rPr>
                      <w:kern w:val="0"/>
                      <w:szCs w:val="21"/>
                    </w:rPr>
                    <w:t>HW06</w:t>
                  </w:r>
                  <w:r>
                    <w:rPr>
                      <w:rFonts w:hint="eastAsia"/>
                      <w:kern w:val="0"/>
                      <w:szCs w:val="21"/>
                    </w:rPr>
                    <w:t>、</w:t>
                  </w:r>
                  <w:r>
                    <w:rPr>
                      <w:kern w:val="0"/>
                      <w:szCs w:val="21"/>
                    </w:rPr>
                    <w:t>HW08</w:t>
                  </w:r>
                  <w:r>
                    <w:rPr>
                      <w:rFonts w:hint="eastAsia"/>
                      <w:kern w:val="0"/>
                      <w:szCs w:val="21"/>
                    </w:rPr>
                    <w:t>、</w:t>
                  </w:r>
                  <w:r>
                    <w:rPr>
                      <w:kern w:val="0"/>
                      <w:szCs w:val="21"/>
                    </w:rPr>
                    <w:t>HW09</w:t>
                  </w:r>
                  <w:r>
                    <w:rPr>
                      <w:rFonts w:hint="eastAsia"/>
                      <w:kern w:val="0"/>
                      <w:szCs w:val="21"/>
                    </w:rPr>
                    <w:t>、</w:t>
                  </w:r>
                  <w:r>
                    <w:rPr>
                      <w:kern w:val="0"/>
                      <w:szCs w:val="21"/>
                    </w:rPr>
                    <w:t>HW11</w:t>
                  </w:r>
                  <w:r>
                    <w:rPr>
                      <w:rFonts w:hint="eastAsia"/>
                      <w:kern w:val="0"/>
                      <w:szCs w:val="21"/>
                    </w:rPr>
                    <w:t>、</w:t>
                  </w:r>
                  <w:r>
                    <w:rPr>
                      <w:kern w:val="0"/>
                      <w:szCs w:val="21"/>
                    </w:rPr>
                    <w:t>HW12</w:t>
                  </w:r>
                  <w:r>
                    <w:rPr>
                      <w:rFonts w:hint="eastAsia"/>
                      <w:kern w:val="0"/>
                      <w:szCs w:val="21"/>
                    </w:rPr>
                    <w:t>、</w:t>
                  </w:r>
                  <w:r>
                    <w:rPr>
                      <w:kern w:val="0"/>
                      <w:szCs w:val="21"/>
                    </w:rPr>
                    <w:t>HW13</w:t>
                  </w:r>
                  <w:r>
                    <w:rPr>
                      <w:rFonts w:hint="eastAsia"/>
                      <w:kern w:val="0"/>
                      <w:szCs w:val="21"/>
                    </w:rPr>
                    <w:t>、</w:t>
                  </w:r>
                  <w:r>
                    <w:rPr>
                      <w:kern w:val="0"/>
                      <w:szCs w:val="21"/>
                    </w:rPr>
                    <w:t>HW17</w:t>
                  </w:r>
                  <w:r>
                    <w:rPr>
                      <w:rFonts w:hint="eastAsia"/>
                      <w:kern w:val="0"/>
                      <w:szCs w:val="21"/>
                    </w:rPr>
                    <w:t>、</w:t>
                  </w:r>
                  <w:r>
                    <w:rPr>
                      <w:kern w:val="0"/>
                      <w:szCs w:val="21"/>
                    </w:rPr>
                    <w:t>HW18</w:t>
                  </w:r>
                  <w:r>
                    <w:rPr>
                      <w:rFonts w:hint="eastAsia"/>
                      <w:kern w:val="0"/>
                      <w:szCs w:val="21"/>
                    </w:rPr>
                    <w:t>、</w:t>
                  </w:r>
                  <w:r>
                    <w:rPr>
                      <w:kern w:val="0"/>
                      <w:szCs w:val="21"/>
                    </w:rPr>
                    <w:t>HW22</w:t>
                  </w:r>
                  <w:r>
                    <w:rPr>
                      <w:rFonts w:hint="eastAsia"/>
                      <w:kern w:val="0"/>
                      <w:szCs w:val="21"/>
                    </w:rPr>
                    <w:t>、</w:t>
                  </w:r>
                  <w:r>
                    <w:rPr>
                      <w:kern w:val="0"/>
                      <w:szCs w:val="21"/>
                    </w:rPr>
                    <w:t>HW34</w:t>
                  </w:r>
                  <w:r>
                    <w:rPr>
                      <w:rFonts w:hint="eastAsia"/>
                      <w:kern w:val="0"/>
                      <w:szCs w:val="21"/>
                    </w:rPr>
                    <w:t>、</w:t>
                  </w:r>
                  <w:r>
                    <w:rPr>
                      <w:kern w:val="0"/>
                      <w:szCs w:val="21"/>
                    </w:rPr>
                    <w:t>HW39</w:t>
                  </w:r>
                  <w:r>
                    <w:rPr>
                      <w:rFonts w:hint="eastAsia"/>
                      <w:kern w:val="0"/>
                      <w:szCs w:val="21"/>
                    </w:rPr>
                    <w:t>、</w:t>
                  </w:r>
                  <w:r>
                    <w:rPr>
                      <w:kern w:val="0"/>
                      <w:szCs w:val="21"/>
                    </w:rPr>
                    <w:t>HW45</w:t>
                  </w:r>
                  <w:r>
                    <w:rPr>
                      <w:rFonts w:hint="eastAsia"/>
                      <w:kern w:val="0"/>
                      <w:szCs w:val="21"/>
                    </w:rPr>
                    <w:t>、</w:t>
                  </w:r>
                  <w:r>
                    <w:rPr>
                      <w:kern w:val="0"/>
                      <w:szCs w:val="21"/>
                    </w:rPr>
                    <w:t>HW48</w:t>
                  </w:r>
                  <w:r>
                    <w:rPr>
                      <w:rFonts w:hint="eastAsia"/>
                      <w:kern w:val="0"/>
                      <w:szCs w:val="21"/>
                    </w:rPr>
                    <w:t>、</w:t>
                  </w:r>
                  <w:r>
                    <w:rPr>
                      <w:kern w:val="0"/>
                      <w:szCs w:val="21"/>
                    </w:rPr>
                    <w:t>HW49</w:t>
                  </w:r>
                  <w:r>
                    <w:rPr>
                      <w:rFonts w:hint="eastAsia"/>
                      <w:kern w:val="0"/>
                      <w:szCs w:val="21"/>
                    </w:rPr>
                    <w:t>等</w:t>
                  </w:r>
                  <w:r>
                    <w:rPr>
                      <w:kern w:val="0"/>
                      <w:szCs w:val="21"/>
                    </w:rPr>
                    <w:t>16</w:t>
                  </w:r>
                  <w:r>
                    <w:rPr>
                      <w:rFonts w:hint="eastAsia"/>
                      <w:kern w:val="0"/>
                      <w:szCs w:val="21"/>
                    </w:rPr>
                    <w:t>大类，</w:t>
                  </w:r>
                  <w:r>
                    <w:rPr>
                      <w:kern w:val="0"/>
                      <w:szCs w:val="21"/>
                    </w:rPr>
                    <w:t>280</w:t>
                  </w:r>
                  <w:r>
                    <w:rPr>
                      <w:rFonts w:hint="eastAsia"/>
                      <w:kern w:val="0"/>
                      <w:szCs w:val="21"/>
                    </w:rPr>
                    <w:t>小类</w:t>
                  </w:r>
                </w:p>
              </w:tc>
              <w:tc>
                <w:tcPr>
                  <w:tcW w:w="818" w:type="pct"/>
                  <w:tcBorders>
                    <w:tl2br w:val="nil"/>
                    <w:tr2bl w:val="nil"/>
                  </w:tcBorders>
                  <w:shd w:val="clear" w:color="auto" w:fill="auto"/>
                  <w:vAlign w:val="center"/>
                </w:tcPr>
                <w:p w14:paraId="313523B6">
                  <w:pPr>
                    <w:autoSpaceDE w:val="0"/>
                    <w:autoSpaceDN w:val="0"/>
                    <w:adjustRightInd w:val="0"/>
                    <w:ind w:left="-105" w:leftChars="-50" w:right="-105" w:rightChars="-50"/>
                    <w:jc w:val="center"/>
                    <w:rPr>
                      <w:kern w:val="0"/>
                      <w:szCs w:val="21"/>
                    </w:rPr>
                  </w:pPr>
                  <w:r>
                    <w:rPr>
                      <w:kern w:val="0"/>
                      <w:szCs w:val="21"/>
                    </w:rPr>
                    <w:t>340222002</w:t>
                  </w:r>
                </w:p>
              </w:tc>
              <w:tc>
                <w:tcPr>
                  <w:tcW w:w="444" w:type="pct"/>
                  <w:tcBorders>
                    <w:tl2br w:val="nil"/>
                    <w:tr2bl w:val="nil"/>
                  </w:tcBorders>
                  <w:shd w:val="clear" w:color="auto" w:fill="auto"/>
                  <w:vAlign w:val="center"/>
                </w:tcPr>
                <w:p w14:paraId="5EA7BC22">
                  <w:pPr>
                    <w:autoSpaceDE w:val="0"/>
                    <w:autoSpaceDN w:val="0"/>
                    <w:adjustRightInd w:val="0"/>
                    <w:ind w:left="-105" w:leftChars="-50" w:right="-105" w:rightChars="-50"/>
                    <w:jc w:val="center"/>
                    <w:rPr>
                      <w:kern w:val="0"/>
                      <w:szCs w:val="21"/>
                    </w:rPr>
                  </w:pPr>
                  <w:r>
                    <w:rPr>
                      <w:kern w:val="0"/>
                      <w:szCs w:val="21"/>
                    </w:rPr>
                    <w:t>有效</w:t>
                  </w:r>
                </w:p>
              </w:tc>
              <w:tc>
                <w:tcPr>
                  <w:tcW w:w="628" w:type="pct"/>
                  <w:tcBorders>
                    <w:tl2br w:val="nil"/>
                    <w:tr2bl w:val="nil"/>
                  </w:tcBorders>
                  <w:shd w:val="clear" w:color="auto" w:fill="auto"/>
                  <w:vAlign w:val="center"/>
                </w:tcPr>
                <w:p w14:paraId="506DC6AA">
                  <w:pPr>
                    <w:autoSpaceDE w:val="0"/>
                    <w:autoSpaceDN w:val="0"/>
                    <w:adjustRightInd w:val="0"/>
                    <w:ind w:left="-105" w:leftChars="-50" w:right="-105" w:rightChars="-50"/>
                    <w:jc w:val="center"/>
                    <w:rPr>
                      <w:szCs w:val="21"/>
                    </w:rPr>
                  </w:pPr>
                  <w:r>
                    <w:rPr>
                      <w:szCs w:val="21"/>
                    </w:rPr>
                    <w:t>HW08</w:t>
                  </w:r>
                </w:p>
                <w:p w14:paraId="63E94BFA">
                  <w:pPr>
                    <w:autoSpaceDE w:val="0"/>
                    <w:autoSpaceDN w:val="0"/>
                    <w:adjustRightInd w:val="0"/>
                    <w:ind w:left="-105" w:leftChars="-50" w:right="-105" w:rightChars="-50"/>
                    <w:jc w:val="center"/>
                    <w:rPr>
                      <w:kern w:val="0"/>
                      <w:szCs w:val="21"/>
                    </w:rPr>
                  </w:pPr>
                  <w:r>
                    <w:rPr>
                      <w:szCs w:val="21"/>
                    </w:rPr>
                    <w:t>HW</w:t>
                  </w:r>
                  <w:r>
                    <w:rPr>
                      <w:rFonts w:hint="eastAsia"/>
                      <w:szCs w:val="21"/>
                    </w:rPr>
                    <w:t>49</w:t>
                  </w:r>
                </w:p>
              </w:tc>
            </w:tr>
            <w:tr w14:paraId="7A659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pct"/>
                  <w:tcBorders>
                    <w:tl2br w:val="nil"/>
                    <w:tr2bl w:val="nil"/>
                  </w:tcBorders>
                  <w:shd w:val="clear" w:color="auto" w:fill="auto"/>
                  <w:vAlign w:val="center"/>
                </w:tcPr>
                <w:p w14:paraId="190BAA3B">
                  <w:pPr>
                    <w:autoSpaceDE w:val="0"/>
                    <w:autoSpaceDN w:val="0"/>
                    <w:adjustRightInd w:val="0"/>
                    <w:jc w:val="center"/>
                    <w:rPr>
                      <w:kern w:val="0"/>
                      <w:szCs w:val="21"/>
                    </w:rPr>
                  </w:pPr>
                  <w:r>
                    <w:rPr>
                      <w:rFonts w:hint="eastAsia"/>
                      <w:kern w:val="0"/>
                      <w:szCs w:val="21"/>
                    </w:rPr>
                    <w:t>马鞍山澳新环保科技有限公司</w:t>
                  </w:r>
                </w:p>
              </w:tc>
              <w:tc>
                <w:tcPr>
                  <w:tcW w:w="444" w:type="pct"/>
                  <w:tcBorders>
                    <w:tl2br w:val="nil"/>
                    <w:tr2bl w:val="nil"/>
                  </w:tcBorders>
                  <w:shd w:val="clear" w:color="auto" w:fill="auto"/>
                  <w:vAlign w:val="center"/>
                </w:tcPr>
                <w:p w14:paraId="6F8E5FDD">
                  <w:pPr>
                    <w:autoSpaceDE w:val="0"/>
                    <w:autoSpaceDN w:val="0"/>
                    <w:adjustRightInd w:val="0"/>
                    <w:ind w:left="-105" w:leftChars="-50" w:right="-105" w:rightChars="-50"/>
                    <w:jc w:val="center"/>
                    <w:rPr>
                      <w:kern w:val="0"/>
                      <w:szCs w:val="21"/>
                    </w:rPr>
                  </w:pPr>
                  <w:r>
                    <w:rPr>
                      <w:rFonts w:hint="eastAsia"/>
                      <w:kern w:val="0"/>
                      <w:szCs w:val="21"/>
                    </w:rPr>
                    <w:t>马鞍山市雨山区</w:t>
                  </w:r>
                </w:p>
              </w:tc>
              <w:tc>
                <w:tcPr>
                  <w:tcW w:w="529" w:type="pct"/>
                  <w:tcBorders>
                    <w:tl2br w:val="nil"/>
                    <w:tr2bl w:val="nil"/>
                  </w:tcBorders>
                  <w:shd w:val="clear" w:color="auto" w:fill="auto"/>
                  <w:vAlign w:val="center"/>
                </w:tcPr>
                <w:p w14:paraId="44009799">
                  <w:pPr>
                    <w:autoSpaceDE w:val="0"/>
                    <w:autoSpaceDN w:val="0"/>
                    <w:adjustRightInd w:val="0"/>
                    <w:ind w:left="-105" w:leftChars="-50" w:right="-105" w:rightChars="-50"/>
                    <w:jc w:val="center"/>
                    <w:rPr>
                      <w:kern w:val="0"/>
                      <w:szCs w:val="21"/>
                    </w:rPr>
                  </w:pPr>
                  <w:r>
                    <w:rPr>
                      <w:kern w:val="0"/>
                      <w:szCs w:val="21"/>
                    </w:rPr>
                    <w:t>33100</w:t>
                  </w:r>
                </w:p>
              </w:tc>
              <w:tc>
                <w:tcPr>
                  <w:tcW w:w="1626" w:type="pct"/>
                  <w:tcBorders>
                    <w:tl2br w:val="nil"/>
                    <w:tr2bl w:val="nil"/>
                  </w:tcBorders>
                  <w:shd w:val="clear" w:color="auto" w:fill="auto"/>
                  <w:vAlign w:val="center"/>
                </w:tcPr>
                <w:p w14:paraId="65C49B3A">
                  <w:pPr>
                    <w:autoSpaceDE w:val="0"/>
                    <w:autoSpaceDN w:val="0"/>
                    <w:adjustRightInd w:val="0"/>
                    <w:jc w:val="center"/>
                    <w:rPr>
                      <w:kern w:val="0"/>
                      <w:szCs w:val="21"/>
                    </w:rPr>
                  </w:pPr>
                  <w:r>
                    <w:rPr>
                      <w:kern w:val="0"/>
                      <w:szCs w:val="21"/>
                    </w:rPr>
                    <w:t>HW01- HW06</w:t>
                  </w:r>
                  <w:r>
                    <w:rPr>
                      <w:rFonts w:hint="eastAsia"/>
                      <w:kern w:val="0"/>
                      <w:szCs w:val="21"/>
                    </w:rPr>
                    <w:t>、</w:t>
                  </w:r>
                  <w:r>
                    <w:rPr>
                      <w:kern w:val="0"/>
                      <w:szCs w:val="21"/>
                    </w:rPr>
                    <w:t>HW08</w:t>
                  </w:r>
                  <w:r>
                    <w:rPr>
                      <w:rFonts w:hint="eastAsia"/>
                      <w:kern w:val="0"/>
                      <w:szCs w:val="21"/>
                    </w:rPr>
                    <w:t>、</w:t>
                  </w:r>
                  <w:r>
                    <w:rPr>
                      <w:kern w:val="0"/>
                      <w:szCs w:val="21"/>
                    </w:rPr>
                    <w:t>HW09</w:t>
                  </w:r>
                  <w:r>
                    <w:rPr>
                      <w:rFonts w:hint="eastAsia"/>
                      <w:kern w:val="0"/>
                      <w:szCs w:val="21"/>
                    </w:rPr>
                    <w:t>、</w:t>
                  </w:r>
                  <w:r>
                    <w:rPr>
                      <w:kern w:val="0"/>
                      <w:szCs w:val="21"/>
                    </w:rPr>
                    <w:t>HW11- HW14</w:t>
                  </w:r>
                  <w:r>
                    <w:rPr>
                      <w:rFonts w:hint="eastAsia"/>
                      <w:kern w:val="0"/>
                      <w:szCs w:val="21"/>
                    </w:rPr>
                    <w:t>、</w:t>
                  </w:r>
                  <w:r>
                    <w:rPr>
                      <w:kern w:val="0"/>
                      <w:szCs w:val="21"/>
                    </w:rPr>
                    <w:t>HW14- HW18</w:t>
                  </w:r>
                  <w:r>
                    <w:rPr>
                      <w:rFonts w:hint="eastAsia"/>
                      <w:kern w:val="0"/>
                      <w:szCs w:val="21"/>
                    </w:rPr>
                    <w:t>、</w:t>
                  </w:r>
                  <w:r>
                    <w:rPr>
                      <w:kern w:val="0"/>
                      <w:szCs w:val="21"/>
                    </w:rPr>
                    <w:t>HW21- HW23</w:t>
                  </w:r>
                  <w:r>
                    <w:rPr>
                      <w:rFonts w:hint="eastAsia"/>
                      <w:kern w:val="0"/>
                      <w:szCs w:val="21"/>
                    </w:rPr>
                    <w:t>、</w:t>
                  </w:r>
                  <w:r>
                    <w:rPr>
                      <w:kern w:val="0"/>
                      <w:szCs w:val="21"/>
                    </w:rPr>
                    <w:t>HW29</w:t>
                  </w:r>
                  <w:r>
                    <w:rPr>
                      <w:rFonts w:hint="eastAsia"/>
                      <w:kern w:val="0"/>
                      <w:szCs w:val="21"/>
                    </w:rPr>
                    <w:t>、</w:t>
                  </w:r>
                  <w:r>
                    <w:rPr>
                      <w:kern w:val="0"/>
                      <w:szCs w:val="21"/>
                    </w:rPr>
                    <w:t>HW31- HW40</w:t>
                  </w:r>
                  <w:r>
                    <w:rPr>
                      <w:rFonts w:hint="eastAsia"/>
                      <w:kern w:val="0"/>
                      <w:szCs w:val="21"/>
                    </w:rPr>
                    <w:t>、</w:t>
                  </w:r>
                  <w:r>
                    <w:rPr>
                      <w:kern w:val="0"/>
                      <w:szCs w:val="21"/>
                    </w:rPr>
                    <w:t>HW45</w:t>
                  </w:r>
                  <w:r>
                    <w:rPr>
                      <w:rFonts w:hint="eastAsia"/>
                      <w:kern w:val="0"/>
                      <w:szCs w:val="21"/>
                    </w:rPr>
                    <w:t>、</w:t>
                  </w:r>
                  <w:r>
                    <w:rPr>
                      <w:kern w:val="0"/>
                      <w:szCs w:val="21"/>
                    </w:rPr>
                    <w:t>HW46</w:t>
                  </w:r>
                  <w:r>
                    <w:rPr>
                      <w:rFonts w:hint="eastAsia"/>
                      <w:kern w:val="0"/>
                      <w:szCs w:val="21"/>
                    </w:rPr>
                    <w:t>、</w:t>
                  </w:r>
                  <w:r>
                    <w:rPr>
                      <w:kern w:val="0"/>
                      <w:szCs w:val="21"/>
                    </w:rPr>
                    <w:t>HW48- HW50</w:t>
                  </w:r>
                  <w:r>
                    <w:rPr>
                      <w:rFonts w:hint="eastAsia"/>
                      <w:kern w:val="0"/>
                      <w:szCs w:val="21"/>
                    </w:rPr>
                    <w:t>焚烧</w:t>
                  </w:r>
                  <w:r>
                    <w:rPr>
                      <w:kern w:val="0"/>
                      <w:szCs w:val="21"/>
                    </w:rPr>
                    <w:t>10000</w:t>
                  </w:r>
                  <w:r>
                    <w:rPr>
                      <w:rFonts w:hint="eastAsia"/>
                      <w:kern w:val="0"/>
                      <w:szCs w:val="21"/>
                    </w:rPr>
                    <w:t>吨</w:t>
                  </w:r>
                  <w:r>
                    <w:rPr>
                      <w:kern w:val="0"/>
                      <w:szCs w:val="21"/>
                    </w:rPr>
                    <w:t>/</w:t>
                  </w:r>
                  <w:r>
                    <w:rPr>
                      <w:rFonts w:hint="eastAsia"/>
                      <w:kern w:val="0"/>
                      <w:szCs w:val="21"/>
                    </w:rPr>
                    <w:t>年（含医疗废物</w:t>
                  </w:r>
                  <w:r>
                    <w:rPr>
                      <w:kern w:val="0"/>
                      <w:szCs w:val="21"/>
                    </w:rPr>
                    <w:t>1000</w:t>
                  </w:r>
                  <w:r>
                    <w:rPr>
                      <w:rFonts w:hint="eastAsia"/>
                      <w:kern w:val="0"/>
                      <w:szCs w:val="21"/>
                    </w:rPr>
                    <w:t>吨）、物化处理</w:t>
                  </w:r>
                  <w:r>
                    <w:rPr>
                      <w:kern w:val="0"/>
                      <w:szCs w:val="21"/>
                    </w:rPr>
                    <w:t>13000</w:t>
                  </w:r>
                  <w:r>
                    <w:rPr>
                      <w:rFonts w:hint="eastAsia"/>
                      <w:kern w:val="0"/>
                      <w:szCs w:val="21"/>
                    </w:rPr>
                    <w:t>吨</w:t>
                  </w:r>
                  <w:r>
                    <w:rPr>
                      <w:kern w:val="0"/>
                      <w:szCs w:val="21"/>
                    </w:rPr>
                    <w:t>/</w:t>
                  </w:r>
                  <w:r>
                    <w:rPr>
                      <w:rFonts w:hint="eastAsia"/>
                      <w:kern w:val="0"/>
                      <w:szCs w:val="21"/>
                    </w:rPr>
                    <w:t>年、固化、稳定化及安全填埋</w:t>
                  </w:r>
                  <w:r>
                    <w:rPr>
                      <w:kern w:val="0"/>
                      <w:szCs w:val="21"/>
                    </w:rPr>
                    <w:t>10100</w:t>
                  </w:r>
                  <w:r>
                    <w:rPr>
                      <w:rFonts w:hint="eastAsia"/>
                      <w:kern w:val="0"/>
                      <w:szCs w:val="21"/>
                    </w:rPr>
                    <w:t>吨</w:t>
                  </w:r>
                  <w:r>
                    <w:rPr>
                      <w:kern w:val="0"/>
                      <w:szCs w:val="21"/>
                    </w:rPr>
                    <w:t>/</w:t>
                  </w:r>
                  <w:r>
                    <w:rPr>
                      <w:rFonts w:hint="eastAsia"/>
                      <w:kern w:val="0"/>
                      <w:szCs w:val="21"/>
                    </w:rPr>
                    <w:t>年。</w:t>
                  </w:r>
                </w:p>
              </w:tc>
              <w:tc>
                <w:tcPr>
                  <w:tcW w:w="818" w:type="pct"/>
                  <w:tcBorders>
                    <w:tl2br w:val="nil"/>
                    <w:tr2bl w:val="nil"/>
                  </w:tcBorders>
                  <w:shd w:val="clear" w:color="auto" w:fill="auto"/>
                  <w:vAlign w:val="center"/>
                </w:tcPr>
                <w:p w14:paraId="4283E752">
                  <w:pPr>
                    <w:autoSpaceDE w:val="0"/>
                    <w:autoSpaceDN w:val="0"/>
                    <w:adjustRightInd w:val="0"/>
                    <w:ind w:left="-105" w:leftChars="-50" w:right="-105" w:rightChars="-50"/>
                    <w:jc w:val="center"/>
                    <w:rPr>
                      <w:kern w:val="0"/>
                      <w:szCs w:val="21"/>
                    </w:rPr>
                  </w:pPr>
                  <w:r>
                    <w:rPr>
                      <w:kern w:val="0"/>
                      <w:szCs w:val="21"/>
                    </w:rPr>
                    <w:t>340504001</w:t>
                  </w:r>
                </w:p>
              </w:tc>
              <w:tc>
                <w:tcPr>
                  <w:tcW w:w="444" w:type="pct"/>
                  <w:tcBorders>
                    <w:tl2br w:val="nil"/>
                    <w:tr2bl w:val="nil"/>
                  </w:tcBorders>
                  <w:shd w:val="clear" w:color="auto" w:fill="auto"/>
                  <w:vAlign w:val="center"/>
                </w:tcPr>
                <w:p w14:paraId="594E1A2A">
                  <w:pPr>
                    <w:autoSpaceDE w:val="0"/>
                    <w:autoSpaceDN w:val="0"/>
                    <w:adjustRightInd w:val="0"/>
                    <w:ind w:left="-105" w:leftChars="-50" w:right="-105" w:rightChars="-50"/>
                    <w:jc w:val="center"/>
                    <w:rPr>
                      <w:kern w:val="0"/>
                      <w:szCs w:val="21"/>
                    </w:rPr>
                  </w:pPr>
                  <w:r>
                    <w:rPr>
                      <w:kern w:val="0"/>
                      <w:szCs w:val="21"/>
                    </w:rPr>
                    <w:t>有效</w:t>
                  </w:r>
                </w:p>
              </w:tc>
              <w:tc>
                <w:tcPr>
                  <w:tcW w:w="628" w:type="pct"/>
                  <w:tcBorders>
                    <w:tl2br w:val="nil"/>
                    <w:tr2bl w:val="nil"/>
                  </w:tcBorders>
                  <w:shd w:val="clear" w:color="auto" w:fill="auto"/>
                  <w:vAlign w:val="center"/>
                </w:tcPr>
                <w:p w14:paraId="16BA19FC">
                  <w:pPr>
                    <w:autoSpaceDE w:val="0"/>
                    <w:autoSpaceDN w:val="0"/>
                    <w:adjustRightInd w:val="0"/>
                    <w:ind w:left="-105" w:leftChars="-50" w:right="-105" w:rightChars="-50"/>
                    <w:jc w:val="center"/>
                    <w:rPr>
                      <w:szCs w:val="21"/>
                    </w:rPr>
                  </w:pPr>
                  <w:r>
                    <w:rPr>
                      <w:szCs w:val="21"/>
                    </w:rPr>
                    <w:t>HW08</w:t>
                  </w:r>
                </w:p>
                <w:p w14:paraId="244EB43F">
                  <w:pPr>
                    <w:autoSpaceDE w:val="0"/>
                    <w:autoSpaceDN w:val="0"/>
                    <w:adjustRightInd w:val="0"/>
                    <w:ind w:left="-105" w:leftChars="-50" w:right="-105" w:rightChars="-50"/>
                    <w:jc w:val="center"/>
                    <w:rPr>
                      <w:kern w:val="0"/>
                      <w:szCs w:val="21"/>
                    </w:rPr>
                  </w:pPr>
                  <w:r>
                    <w:rPr>
                      <w:szCs w:val="21"/>
                    </w:rPr>
                    <w:t>HW</w:t>
                  </w:r>
                  <w:r>
                    <w:rPr>
                      <w:rFonts w:hint="eastAsia"/>
                      <w:szCs w:val="21"/>
                    </w:rPr>
                    <w:t>49</w:t>
                  </w:r>
                </w:p>
              </w:tc>
            </w:tr>
          </w:tbl>
          <w:p w14:paraId="26BC8BF9">
            <w:pPr>
              <w:autoSpaceDE w:val="0"/>
              <w:autoSpaceDN w:val="0"/>
              <w:adjustRightInd w:val="0"/>
              <w:ind w:firstLine="420" w:firstLineChars="200"/>
              <w:jc w:val="left"/>
              <w:rPr>
                <w:kern w:val="0"/>
                <w:szCs w:val="21"/>
              </w:rPr>
            </w:pPr>
            <w:r>
              <w:rPr>
                <w:rFonts w:hint="eastAsia"/>
                <w:kern w:val="0"/>
                <w:szCs w:val="21"/>
              </w:rPr>
              <w:t>注：仅为安徽省内部分有资质处置企业。</w:t>
            </w:r>
          </w:p>
          <w:p w14:paraId="2A52961E">
            <w:pPr>
              <w:keepNext w:val="0"/>
              <w:keepLines w:val="0"/>
              <w:pageBreakBefore w:val="0"/>
              <w:widowControl w:val="0"/>
              <w:kinsoku/>
              <w:wordWrap/>
              <w:overflowPunct/>
              <w:topLinePunct w:val="0"/>
              <w:autoSpaceDE w:val="0"/>
              <w:autoSpaceDN w:val="0"/>
              <w:bidi w:val="0"/>
              <w:adjustRightInd w:val="0"/>
              <w:snapToGrid/>
              <w:spacing w:beforeAutospacing="0" w:line="360" w:lineRule="auto"/>
              <w:ind w:firstLine="480" w:firstLineChars="200"/>
              <w:jc w:val="left"/>
              <w:textAlignment w:val="auto"/>
              <w:rPr>
                <w:kern w:val="0"/>
                <w:sz w:val="24"/>
              </w:rPr>
            </w:pPr>
            <w:r>
              <w:rPr>
                <w:rFonts w:hint="eastAsia"/>
                <w:kern w:val="0"/>
                <w:sz w:val="24"/>
              </w:rPr>
              <w:t>从上表可以看出，本项目产生的危险固体废物在安徽省内有多家适合的资质单位进行处理处置。</w:t>
            </w:r>
          </w:p>
          <w:p w14:paraId="3D55BB64">
            <w:pPr>
              <w:widowControl/>
              <w:spacing w:line="360" w:lineRule="auto"/>
              <w:ind w:firstLine="480" w:firstLineChars="200"/>
              <w:jc w:val="left"/>
              <w:rPr>
                <w:kern w:val="0"/>
                <w:sz w:val="24"/>
              </w:rPr>
            </w:pPr>
            <w:r>
              <w:rPr>
                <w:rFonts w:hint="eastAsia"/>
                <w:kern w:val="0"/>
                <w:sz w:val="24"/>
              </w:rPr>
              <w:t>综上所述，本评价认为，在落实上述危险废物管理要求后，项目各类危废从收集、转运、运输、处理处置环节均可以得到有效的控制，能够确保妥善处置，不会对区域环境造成较大不利影响</w:t>
            </w:r>
            <w:r>
              <w:rPr>
                <w:kern w:val="0"/>
                <w:sz w:val="24"/>
              </w:rPr>
              <w:t>。</w:t>
            </w:r>
          </w:p>
          <w:p w14:paraId="1D02B18A">
            <w:pPr>
              <w:autoSpaceDE w:val="0"/>
              <w:autoSpaceDN w:val="0"/>
              <w:adjustRightInd w:val="0"/>
              <w:spacing w:line="360" w:lineRule="auto"/>
              <w:ind w:firstLine="482" w:firstLineChars="200"/>
              <w:jc w:val="left"/>
              <w:rPr>
                <w:b/>
                <w:bCs/>
                <w:sz w:val="24"/>
                <w:szCs w:val="32"/>
              </w:rPr>
            </w:pPr>
            <w:r>
              <w:rPr>
                <w:rFonts w:hint="eastAsia" w:cs="宋体"/>
                <w:b/>
                <w:bCs/>
                <w:sz w:val="24"/>
              </w:rPr>
              <w:t>五、地下水、土壤</w:t>
            </w:r>
            <w:r>
              <w:rPr>
                <w:rFonts w:hint="eastAsia"/>
                <w:b/>
                <w:bCs/>
                <w:sz w:val="24"/>
                <w:szCs w:val="32"/>
              </w:rPr>
              <w:t>环境影响和保护措施</w:t>
            </w:r>
          </w:p>
          <w:p w14:paraId="0B61B62E">
            <w:pPr>
              <w:adjustRightInd w:val="0"/>
              <w:spacing w:line="360" w:lineRule="auto"/>
              <w:ind w:firstLine="482" w:firstLineChars="200"/>
              <w:jc w:val="left"/>
              <w:textAlignment w:val="baseline"/>
              <w:rPr>
                <w:rFonts w:eastAsiaTheme="minorEastAsia"/>
                <w:b/>
                <w:sz w:val="24"/>
                <w:lang w:val="zh-CN"/>
              </w:rPr>
            </w:pPr>
            <w:r>
              <w:rPr>
                <w:rFonts w:eastAsiaTheme="minorEastAsia"/>
                <w:b/>
                <w:sz w:val="24"/>
                <w:lang w:val="zh-CN"/>
              </w:rPr>
              <w:t>1、地下水、土壤污染途径</w:t>
            </w:r>
          </w:p>
          <w:p w14:paraId="3E96BB48">
            <w:pPr>
              <w:adjustRightInd w:val="0"/>
              <w:spacing w:line="360" w:lineRule="auto"/>
              <w:ind w:firstLine="480" w:firstLineChars="200"/>
              <w:jc w:val="left"/>
              <w:textAlignment w:val="baseline"/>
              <w:rPr>
                <w:rFonts w:eastAsiaTheme="minorEastAsia"/>
                <w:sz w:val="24"/>
                <w:lang w:val="zh-CN"/>
              </w:rPr>
            </w:pPr>
            <w:r>
              <w:rPr>
                <w:rFonts w:eastAsiaTheme="minorEastAsia"/>
                <w:sz w:val="24"/>
                <w:lang w:val="zh-CN"/>
              </w:rPr>
              <w:t>根据工程分析可知，本项目施工期主要为设备安装，不涉及地下水污染影响。</w:t>
            </w:r>
          </w:p>
          <w:p w14:paraId="379B9851">
            <w:pPr>
              <w:adjustRightInd w:val="0"/>
              <w:spacing w:line="360" w:lineRule="auto"/>
              <w:ind w:firstLine="480" w:firstLineChars="200"/>
              <w:jc w:val="left"/>
              <w:textAlignment w:val="baseline"/>
              <w:rPr>
                <w:rFonts w:eastAsiaTheme="minorEastAsia"/>
                <w:sz w:val="24"/>
              </w:rPr>
            </w:pPr>
            <w:r>
              <w:rPr>
                <w:rFonts w:eastAsiaTheme="minorEastAsia"/>
                <w:sz w:val="24"/>
              </w:rPr>
              <w:t>本项目</w:t>
            </w:r>
            <w:r>
              <w:rPr>
                <w:rFonts w:eastAsiaTheme="minorEastAsia"/>
                <w:sz w:val="24"/>
                <w:lang w:val="zh-CN"/>
              </w:rPr>
              <w:t>营运期废气主要为</w:t>
            </w:r>
            <w:r>
              <w:rPr>
                <w:rFonts w:hint="eastAsia" w:eastAsiaTheme="minorEastAsia"/>
                <w:sz w:val="24"/>
                <w:lang w:val="en-US" w:eastAsia="zh-CN"/>
              </w:rPr>
              <w:t>加热成型</w:t>
            </w:r>
            <w:r>
              <w:rPr>
                <w:rFonts w:hint="eastAsia"/>
                <w:sz w:val="24"/>
              </w:rPr>
              <w:t>废气。</w:t>
            </w:r>
            <w:r>
              <w:rPr>
                <w:rFonts w:eastAsiaTheme="minorEastAsia"/>
                <w:sz w:val="24"/>
              </w:rPr>
              <w:t>对地下水环境影响途径主要为受大气沉降影响。本项目</w:t>
            </w:r>
            <w:r>
              <w:rPr>
                <w:rFonts w:eastAsiaTheme="minorEastAsia"/>
                <w:sz w:val="24"/>
                <w:szCs w:val="21"/>
              </w:rPr>
              <w:t>危废暂存库</w:t>
            </w:r>
            <w:r>
              <w:rPr>
                <w:rFonts w:eastAsiaTheme="minorEastAsia"/>
                <w:sz w:val="24"/>
              </w:rPr>
              <w:t>对地下水环境的潜在影响主要是垂直入渗透。</w:t>
            </w:r>
          </w:p>
          <w:p w14:paraId="672F2920">
            <w:pPr>
              <w:spacing w:line="360" w:lineRule="auto"/>
              <w:ind w:firstLine="480"/>
              <w:jc w:val="left"/>
              <w:rPr>
                <w:rFonts w:eastAsiaTheme="minorEastAsia"/>
                <w:b/>
                <w:sz w:val="24"/>
              </w:rPr>
            </w:pPr>
            <w:r>
              <w:rPr>
                <w:rFonts w:eastAsiaTheme="minorEastAsia"/>
                <w:b/>
                <w:sz w:val="24"/>
              </w:rPr>
              <w:t>2、污染防治措施</w:t>
            </w:r>
          </w:p>
          <w:p w14:paraId="17499854">
            <w:pPr>
              <w:keepNext/>
              <w:keepLines/>
              <w:spacing w:line="360" w:lineRule="auto"/>
              <w:ind w:firstLine="354" w:firstLineChars="147"/>
              <w:outlineLvl w:val="2"/>
              <w:rPr>
                <w:rFonts w:eastAsiaTheme="minorEastAsia"/>
                <w:b/>
                <w:bCs/>
                <w:sz w:val="24"/>
                <w:szCs w:val="32"/>
              </w:rPr>
            </w:pPr>
            <w:r>
              <w:rPr>
                <w:rFonts w:eastAsiaTheme="minorEastAsia"/>
                <w:b/>
                <w:bCs/>
                <w:sz w:val="24"/>
                <w:szCs w:val="32"/>
              </w:rPr>
              <w:t>（1）源头控制措施</w:t>
            </w:r>
          </w:p>
          <w:p w14:paraId="7D6590F9">
            <w:pPr>
              <w:spacing w:line="360" w:lineRule="auto"/>
              <w:ind w:firstLine="480"/>
              <w:jc w:val="left"/>
              <w:rPr>
                <w:rFonts w:eastAsiaTheme="minorEastAsia"/>
                <w:sz w:val="24"/>
              </w:rPr>
            </w:pPr>
            <w:r>
              <w:rPr>
                <w:rFonts w:eastAsiaTheme="minorEastAsia"/>
                <w:sz w:val="24"/>
              </w:rPr>
              <w:fldChar w:fldCharType="begin"/>
            </w:r>
            <w:r>
              <w:rPr>
                <w:rFonts w:eastAsiaTheme="minorEastAsia"/>
                <w:sz w:val="24"/>
              </w:rPr>
              <w:instrText xml:space="preserve"> = 1 \* GB3 </w:instrText>
            </w:r>
            <w:r>
              <w:rPr>
                <w:rFonts w:eastAsiaTheme="minorEastAsia"/>
                <w:sz w:val="24"/>
              </w:rPr>
              <w:fldChar w:fldCharType="separate"/>
            </w:r>
            <w:r>
              <w:rPr>
                <w:rFonts w:hint="eastAsia" w:ascii="宋体" w:hAnsi="宋体" w:cs="宋体"/>
                <w:sz w:val="24"/>
              </w:rPr>
              <w:t>①</w:t>
            </w:r>
            <w:r>
              <w:rPr>
                <w:rFonts w:eastAsiaTheme="minorEastAsia"/>
                <w:sz w:val="24"/>
              </w:rPr>
              <w:fldChar w:fldCharType="end"/>
            </w:r>
            <w:r>
              <w:rPr>
                <w:rFonts w:eastAsiaTheme="minorEastAsia"/>
                <w:sz w:val="24"/>
              </w:rPr>
              <w:t>严格按照国家相关规范要求，对</w:t>
            </w:r>
            <w:r>
              <w:rPr>
                <w:rFonts w:eastAsiaTheme="minorEastAsia"/>
                <w:sz w:val="24"/>
                <w:szCs w:val="21"/>
              </w:rPr>
              <w:t>危废暂存库</w:t>
            </w:r>
            <w:r>
              <w:rPr>
                <w:rFonts w:eastAsiaTheme="minorEastAsia"/>
                <w:sz w:val="24"/>
              </w:rPr>
              <w:t>采取相应措施，以防止和降低污染物的跑、冒、滴、漏，将污染物泄漏的环境风险事故降到最低程度。</w:t>
            </w:r>
          </w:p>
          <w:p w14:paraId="3C77A515">
            <w:pPr>
              <w:spacing w:line="360" w:lineRule="auto"/>
              <w:ind w:firstLine="480"/>
              <w:jc w:val="left"/>
              <w:rPr>
                <w:rFonts w:eastAsiaTheme="minorEastAsia"/>
                <w:sz w:val="24"/>
              </w:rPr>
            </w:pPr>
            <w:r>
              <w:rPr>
                <w:rFonts w:eastAsiaTheme="minorEastAsia"/>
                <w:sz w:val="24"/>
              </w:rPr>
              <w:fldChar w:fldCharType="begin"/>
            </w:r>
            <w:r>
              <w:rPr>
                <w:rFonts w:eastAsiaTheme="minorEastAsia"/>
                <w:sz w:val="24"/>
              </w:rPr>
              <w:instrText xml:space="preserve"> = 2 \* GB3 </w:instrText>
            </w:r>
            <w:r>
              <w:rPr>
                <w:rFonts w:eastAsiaTheme="minorEastAsia"/>
                <w:sz w:val="24"/>
              </w:rPr>
              <w:fldChar w:fldCharType="separate"/>
            </w:r>
            <w:r>
              <w:rPr>
                <w:rFonts w:hint="eastAsia" w:ascii="宋体" w:hAnsi="宋体" w:cs="宋体"/>
                <w:sz w:val="24"/>
              </w:rPr>
              <w:t>②</w:t>
            </w:r>
            <w:r>
              <w:rPr>
                <w:rFonts w:eastAsiaTheme="minorEastAsia"/>
                <w:sz w:val="24"/>
              </w:rPr>
              <w:fldChar w:fldCharType="end"/>
            </w:r>
            <w:r>
              <w:rPr>
                <w:rFonts w:eastAsiaTheme="minorEastAsia"/>
                <w:sz w:val="24"/>
              </w:rPr>
              <w:t>严格固体废物管理，不接触外界降水，使其不产生淋滤液，严防污染物泄漏到地下水中。</w:t>
            </w:r>
          </w:p>
          <w:p w14:paraId="5504DD96">
            <w:pPr>
              <w:keepNext/>
              <w:keepLines/>
              <w:spacing w:line="360" w:lineRule="auto"/>
              <w:ind w:firstLine="354" w:firstLineChars="147"/>
              <w:outlineLvl w:val="2"/>
              <w:rPr>
                <w:rFonts w:eastAsiaTheme="minorEastAsia"/>
                <w:b/>
                <w:bCs/>
                <w:sz w:val="24"/>
                <w:szCs w:val="32"/>
              </w:rPr>
            </w:pPr>
            <w:r>
              <w:rPr>
                <w:rFonts w:eastAsiaTheme="minorEastAsia"/>
                <w:b/>
                <w:bCs/>
                <w:sz w:val="24"/>
                <w:szCs w:val="32"/>
              </w:rPr>
              <w:t>（2）分区防渗措施</w:t>
            </w:r>
          </w:p>
          <w:p w14:paraId="36B59DDB">
            <w:pPr>
              <w:adjustRightInd w:val="0"/>
              <w:snapToGrid w:val="0"/>
              <w:spacing w:line="360" w:lineRule="auto"/>
              <w:ind w:firstLine="480" w:firstLineChars="200"/>
              <w:jc w:val="left"/>
              <w:rPr>
                <w:rFonts w:eastAsiaTheme="minorEastAsia"/>
                <w:kern w:val="0"/>
                <w:sz w:val="24"/>
              </w:rPr>
            </w:pPr>
            <w:r>
              <w:rPr>
                <w:rFonts w:eastAsiaTheme="minorEastAsia"/>
                <w:kern w:val="0"/>
                <w:sz w:val="24"/>
              </w:rPr>
              <w:t>企业针对可能对地下水造成影响的各环节，按照</w:t>
            </w:r>
            <w:r>
              <w:rPr>
                <w:rFonts w:eastAsiaTheme="minorEastAsia"/>
                <w:sz w:val="24"/>
              </w:rPr>
              <w:t>《一般工业固体废物贮存和填埋污染控制标准》（GB18599-2020）</w:t>
            </w:r>
            <w:r>
              <w:rPr>
                <w:rFonts w:eastAsiaTheme="minorEastAsia"/>
                <w:kern w:val="0"/>
                <w:sz w:val="24"/>
              </w:rPr>
              <w:t>、</w:t>
            </w:r>
            <w:r>
              <w:rPr>
                <w:rFonts w:hint="eastAsia"/>
                <w:sz w:val="24"/>
                <w:szCs w:val="21"/>
              </w:rPr>
              <w:t>《危险废物贮存污染控制标准》（GB 18597-2023）</w:t>
            </w:r>
            <w:r>
              <w:rPr>
                <w:rFonts w:eastAsiaTheme="minorEastAsia"/>
                <w:kern w:val="0"/>
                <w:sz w:val="24"/>
              </w:rPr>
              <w:t>和《危险废物填埋污染控制标准》（GB18598-2019）等标准，将本项目划分为重点防渗区、</w:t>
            </w:r>
            <w:r>
              <w:rPr>
                <w:rFonts w:hint="eastAsia" w:eastAsiaTheme="minorEastAsia"/>
                <w:kern w:val="0"/>
                <w:sz w:val="24"/>
              </w:rPr>
              <w:t>一般</w:t>
            </w:r>
            <w:r>
              <w:rPr>
                <w:rFonts w:eastAsiaTheme="minorEastAsia"/>
                <w:kern w:val="0"/>
                <w:sz w:val="24"/>
              </w:rPr>
              <w:t>防渗区。</w:t>
            </w:r>
            <w:r>
              <w:rPr>
                <w:rFonts w:eastAsiaTheme="minorEastAsia"/>
                <w:sz w:val="24"/>
              </w:rPr>
              <w:t>本项目地下水、土壤分区防渗措施见下表。</w:t>
            </w:r>
          </w:p>
          <w:p w14:paraId="7075B6A5">
            <w:pPr>
              <w:keepNext w:val="0"/>
              <w:keepLines w:val="0"/>
              <w:pageBreakBefore w:val="0"/>
              <w:widowControl w:val="0"/>
              <w:kinsoku/>
              <w:wordWrap/>
              <w:overflowPunct/>
              <w:topLinePunct w:val="0"/>
              <w:autoSpaceDE w:val="0"/>
              <w:autoSpaceDN w:val="0"/>
              <w:bidi w:val="0"/>
              <w:adjustRightInd w:val="0"/>
              <w:snapToGrid/>
              <w:spacing w:beforeAutospacing="0" w:line="360" w:lineRule="auto"/>
              <w:jc w:val="center"/>
              <w:textAlignment w:val="auto"/>
              <w:rPr>
                <w:rFonts w:eastAsiaTheme="minorEastAsia"/>
                <w:b/>
                <w:sz w:val="24"/>
              </w:rPr>
            </w:pPr>
            <w:r>
              <w:rPr>
                <w:rFonts w:eastAsiaTheme="minorEastAsia"/>
                <w:b/>
                <w:sz w:val="24"/>
              </w:rPr>
              <w:t>表4-</w:t>
            </w:r>
            <w:r>
              <w:rPr>
                <w:rFonts w:hint="eastAsia" w:eastAsiaTheme="minorEastAsia"/>
                <w:b/>
                <w:sz w:val="24"/>
                <w:lang w:val="en-US" w:eastAsia="zh-CN"/>
              </w:rPr>
              <w:t>14</w:t>
            </w:r>
            <w:r>
              <w:rPr>
                <w:rFonts w:eastAsiaTheme="minorEastAsia"/>
                <w:b/>
                <w:sz w:val="24"/>
              </w:rPr>
              <w:t xml:space="preserve">  分区防渗措施一览表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3839"/>
              <w:gridCol w:w="3572"/>
            </w:tblGrid>
            <w:tr w14:paraId="629DB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08" w:type="pct"/>
                  <w:tcBorders>
                    <w:tl2br w:val="nil"/>
                    <w:tr2bl w:val="nil"/>
                  </w:tcBorders>
                  <w:shd w:val="clear" w:color="auto" w:fill="auto"/>
                  <w:noWrap/>
                  <w:vAlign w:val="center"/>
                </w:tcPr>
                <w:p w14:paraId="6EECBAD8">
                  <w:pPr>
                    <w:widowControl/>
                    <w:jc w:val="center"/>
                    <w:rPr>
                      <w:rFonts w:eastAsiaTheme="minorEastAsia"/>
                      <w:b/>
                      <w:kern w:val="0"/>
                      <w:szCs w:val="21"/>
                    </w:rPr>
                  </w:pPr>
                  <w:r>
                    <w:rPr>
                      <w:rFonts w:eastAsiaTheme="minorEastAsia"/>
                      <w:b/>
                      <w:kern w:val="0"/>
                      <w:szCs w:val="21"/>
                    </w:rPr>
                    <w:t>污染区</w:t>
                  </w:r>
                </w:p>
              </w:tc>
              <w:tc>
                <w:tcPr>
                  <w:tcW w:w="2275" w:type="pct"/>
                  <w:tcBorders>
                    <w:tl2br w:val="nil"/>
                    <w:tr2bl w:val="nil"/>
                  </w:tcBorders>
                  <w:shd w:val="clear" w:color="auto" w:fill="auto"/>
                  <w:noWrap/>
                  <w:vAlign w:val="center"/>
                </w:tcPr>
                <w:p w14:paraId="0AC8E7AF">
                  <w:pPr>
                    <w:widowControl/>
                    <w:jc w:val="center"/>
                    <w:rPr>
                      <w:rFonts w:eastAsiaTheme="minorEastAsia"/>
                      <w:b/>
                      <w:kern w:val="0"/>
                      <w:szCs w:val="21"/>
                    </w:rPr>
                  </w:pPr>
                  <w:r>
                    <w:rPr>
                      <w:rFonts w:eastAsiaTheme="minorEastAsia"/>
                      <w:b/>
                      <w:kern w:val="0"/>
                      <w:szCs w:val="21"/>
                    </w:rPr>
                    <w:t>构筑物名称</w:t>
                  </w:r>
                </w:p>
              </w:tc>
              <w:tc>
                <w:tcPr>
                  <w:tcW w:w="2117" w:type="pct"/>
                  <w:tcBorders>
                    <w:tl2br w:val="nil"/>
                    <w:tr2bl w:val="nil"/>
                  </w:tcBorders>
                  <w:vAlign w:val="center"/>
                </w:tcPr>
                <w:p w14:paraId="586CD7C0">
                  <w:pPr>
                    <w:widowControl/>
                    <w:jc w:val="center"/>
                    <w:rPr>
                      <w:rFonts w:eastAsiaTheme="minorEastAsia"/>
                      <w:b/>
                      <w:kern w:val="0"/>
                      <w:szCs w:val="21"/>
                    </w:rPr>
                  </w:pPr>
                  <w:r>
                    <w:rPr>
                      <w:rFonts w:eastAsiaTheme="minorEastAsia"/>
                      <w:b/>
                      <w:kern w:val="0"/>
                      <w:szCs w:val="21"/>
                    </w:rPr>
                    <w:t>防渗技术要求</w:t>
                  </w:r>
                </w:p>
              </w:tc>
            </w:tr>
            <w:tr w14:paraId="6C6CB0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08" w:type="pct"/>
                  <w:tcBorders>
                    <w:tl2br w:val="nil"/>
                    <w:tr2bl w:val="nil"/>
                  </w:tcBorders>
                  <w:shd w:val="clear" w:color="auto" w:fill="auto"/>
                  <w:noWrap/>
                  <w:vAlign w:val="center"/>
                </w:tcPr>
                <w:p w14:paraId="58652084">
                  <w:pPr>
                    <w:widowControl/>
                    <w:jc w:val="center"/>
                    <w:rPr>
                      <w:szCs w:val="21"/>
                    </w:rPr>
                  </w:pPr>
                  <w:r>
                    <w:rPr>
                      <w:rFonts w:hint="eastAsia"/>
                      <w:szCs w:val="21"/>
                    </w:rPr>
                    <w:t>一般</w:t>
                  </w:r>
                </w:p>
                <w:p w14:paraId="3A9D5B0B">
                  <w:pPr>
                    <w:widowControl/>
                    <w:jc w:val="center"/>
                    <w:rPr>
                      <w:rFonts w:eastAsiaTheme="minorEastAsia"/>
                      <w:b/>
                      <w:kern w:val="0"/>
                      <w:szCs w:val="21"/>
                    </w:rPr>
                  </w:pPr>
                  <w:r>
                    <w:rPr>
                      <w:rFonts w:hint="eastAsia"/>
                      <w:szCs w:val="21"/>
                    </w:rPr>
                    <w:t>防渗区</w:t>
                  </w:r>
                </w:p>
              </w:tc>
              <w:tc>
                <w:tcPr>
                  <w:tcW w:w="2275" w:type="pct"/>
                  <w:tcBorders>
                    <w:tl2br w:val="nil"/>
                    <w:tr2bl w:val="nil"/>
                  </w:tcBorders>
                  <w:shd w:val="clear" w:color="auto" w:fill="auto"/>
                  <w:noWrap/>
                  <w:vAlign w:val="center"/>
                </w:tcPr>
                <w:p w14:paraId="41BA8ED6">
                  <w:pPr>
                    <w:widowControl/>
                    <w:jc w:val="center"/>
                    <w:rPr>
                      <w:rFonts w:eastAsiaTheme="minorEastAsia"/>
                      <w:b/>
                      <w:kern w:val="0"/>
                      <w:szCs w:val="21"/>
                    </w:rPr>
                  </w:pPr>
                  <w:r>
                    <w:rPr>
                      <w:rFonts w:hint="eastAsia" w:eastAsiaTheme="minorEastAsia"/>
                      <w:szCs w:val="21"/>
                    </w:rPr>
                    <w:t>生产区、其他仓库区域</w:t>
                  </w:r>
                </w:p>
              </w:tc>
              <w:tc>
                <w:tcPr>
                  <w:tcW w:w="2117" w:type="pct"/>
                  <w:tcBorders>
                    <w:tl2br w:val="nil"/>
                    <w:tr2bl w:val="nil"/>
                  </w:tcBorders>
                  <w:vAlign w:val="center"/>
                </w:tcPr>
                <w:p w14:paraId="2D06796A">
                  <w:pPr>
                    <w:widowControl/>
                    <w:jc w:val="center"/>
                    <w:rPr>
                      <w:rFonts w:eastAsiaTheme="minorEastAsia"/>
                      <w:b/>
                      <w:kern w:val="0"/>
                      <w:szCs w:val="21"/>
                    </w:rPr>
                  </w:pPr>
                  <w:r>
                    <w:rPr>
                      <w:rFonts w:eastAsiaTheme="minorEastAsia"/>
                      <w:kern w:val="0"/>
                      <w:szCs w:val="21"/>
                    </w:rPr>
                    <w:t>等效黏土防渗层Mb≥1.5m，K≤10</w:t>
                  </w:r>
                  <w:r>
                    <w:rPr>
                      <w:rFonts w:eastAsiaTheme="minorEastAsia"/>
                      <w:kern w:val="0"/>
                      <w:szCs w:val="21"/>
                      <w:vertAlign w:val="superscript"/>
                    </w:rPr>
                    <w:t>-7</w:t>
                  </w:r>
                  <w:r>
                    <w:rPr>
                      <w:rFonts w:eastAsiaTheme="minorEastAsia"/>
                      <w:kern w:val="0"/>
                      <w:szCs w:val="21"/>
                    </w:rPr>
                    <w:t>cm/s；或参照GB16889执行</w:t>
                  </w:r>
                </w:p>
              </w:tc>
            </w:tr>
            <w:tr w14:paraId="0151E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08" w:type="pct"/>
                  <w:tcBorders>
                    <w:tl2br w:val="nil"/>
                    <w:tr2bl w:val="nil"/>
                  </w:tcBorders>
                  <w:shd w:val="clear" w:color="auto" w:fill="auto"/>
                  <w:noWrap/>
                  <w:vAlign w:val="center"/>
                </w:tcPr>
                <w:p w14:paraId="20CB35C8">
                  <w:pPr>
                    <w:jc w:val="center"/>
                    <w:rPr>
                      <w:rFonts w:eastAsiaTheme="minorEastAsia"/>
                      <w:szCs w:val="21"/>
                    </w:rPr>
                  </w:pPr>
                  <w:r>
                    <w:rPr>
                      <w:rFonts w:eastAsiaTheme="minorEastAsia"/>
                      <w:szCs w:val="21"/>
                    </w:rPr>
                    <w:t>重点</w:t>
                  </w:r>
                </w:p>
                <w:p w14:paraId="2EDB0569">
                  <w:pPr>
                    <w:jc w:val="center"/>
                    <w:rPr>
                      <w:rFonts w:eastAsiaTheme="minorEastAsia"/>
                      <w:kern w:val="0"/>
                      <w:szCs w:val="21"/>
                    </w:rPr>
                  </w:pPr>
                  <w:r>
                    <w:rPr>
                      <w:rFonts w:eastAsiaTheme="minorEastAsia"/>
                      <w:szCs w:val="21"/>
                    </w:rPr>
                    <w:t>防渗区</w:t>
                  </w:r>
                </w:p>
              </w:tc>
              <w:tc>
                <w:tcPr>
                  <w:tcW w:w="2275" w:type="pct"/>
                  <w:tcBorders>
                    <w:tl2br w:val="nil"/>
                    <w:tr2bl w:val="nil"/>
                  </w:tcBorders>
                  <w:shd w:val="clear" w:color="auto" w:fill="auto"/>
                  <w:noWrap/>
                  <w:vAlign w:val="center"/>
                </w:tcPr>
                <w:p w14:paraId="236B5920">
                  <w:pPr>
                    <w:adjustRightInd w:val="0"/>
                    <w:jc w:val="center"/>
                    <w:rPr>
                      <w:rFonts w:hint="default" w:eastAsiaTheme="minorEastAsia"/>
                      <w:szCs w:val="21"/>
                      <w:lang w:val="en-US" w:eastAsia="zh-CN"/>
                    </w:rPr>
                  </w:pPr>
                  <w:r>
                    <w:rPr>
                      <w:rFonts w:hint="eastAsia" w:eastAsiaTheme="minorEastAsia"/>
                      <w:szCs w:val="21"/>
                    </w:rPr>
                    <w:t>危废暂存库、</w:t>
                  </w:r>
                  <w:r>
                    <w:rPr>
                      <w:rFonts w:hint="eastAsia" w:eastAsiaTheme="minorEastAsia"/>
                      <w:szCs w:val="21"/>
                      <w:lang w:val="en-US" w:eastAsia="zh-CN"/>
                    </w:rPr>
                    <w:t>原料区</w:t>
                  </w:r>
                </w:p>
              </w:tc>
              <w:tc>
                <w:tcPr>
                  <w:tcW w:w="2117" w:type="pct"/>
                  <w:tcBorders>
                    <w:tl2br w:val="nil"/>
                    <w:tr2bl w:val="nil"/>
                  </w:tcBorders>
                  <w:vAlign w:val="center"/>
                </w:tcPr>
                <w:p w14:paraId="6846DB24">
                  <w:pPr>
                    <w:jc w:val="center"/>
                    <w:rPr>
                      <w:rFonts w:eastAsiaTheme="minorEastAsia"/>
                      <w:kern w:val="0"/>
                      <w:szCs w:val="21"/>
                    </w:rPr>
                  </w:pPr>
                  <w:r>
                    <w:rPr>
                      <w:rFonts w:eastAsiaTheme="minorEastAsia"/>
                      <w:kern w:val="0"/>
                      <w:szCs w:val="21"/>
                    </w:rPr>
                    <w:t>等效黏土防渗层Mb≥6.0m，K≤10</w:t>
                  </w:r>
                  <w:r>
                    <w:rPr>
                      <w:rFonts w:eastAsiaTheme="minorEastAsia"/>
                      <w:kern w:val="0"/>
                      <w:szCs w:val="21"/>
                      <w:vertAlign w:val="superscript"/>
                    </w:rPr>
                    <w:t>-7</w:t>
                  </w:r>
                  <w:r>
                    <w:rPr>
                      <w:rFonts w:eastAsiaTheme="minorEastAsia"/>
                      <w:kern w:val="0"/>
                      <w:szCs w:val="21"/>
                    </w:rPr>
                    <w:t>cm/s；或参照GB18598执行</w:t>
                  </w:r>
                </w:p>
              </w:tc>
            </w:tr>
          </w:tbl>
          <w:p w14:paraId="3F492903">
            <w:pPr>
              <w:keepNext w:val="0"/>
              <w:keepLines w:val="0"/>
              <w:pageBreakBefore w:val="0"/>
              <w:widowControl/>
              <w:kinsoku/>
              <w:wordWrap/>
              <w:overflowPunct/>
              <w:topLinePunct w:val="0"/>
              <w:autoSpaceDE/>
              <w:autoSpaceDN/>
              <w:bidi w:val="0"/>
              <w:adjustRightInd/>
              <w:snapToGrid/>
              <w:spacing w:beforeAutospacing="0" w:line="360" w:lineRule="auto"/>
              <w:ind w:firstLine="480" w:firstLineChars="200"/>
              <w:textAlignment w:val="auto"/>
              <w:rPr>
                <w:rFonts w:eastAsiaTheme="minorEastAsia"/>
                <w:sz w:val="24"/>
              </w:rPr>
            </w:pPr>
            <w:r>
              <w:rPr>
                <w:rFonts w:eastAsiaTheme="minorEastAsia"/>
                <w:sz w:val="24"/>
              </w:rPr>
              <w:t>在采取以上分区防渗措施后，可有效预防项目对地下水和土壤污染的发生。</w:t>
            </w:r>
          </w:p>
          <w:p w14:paraId="74B7232B">
            <w:pPr>
              <w:widowControl/>
              <w:spacing w:line="360" w:lineRule="auto"/>
              <w:ind w:firstLine="482" w:firstLineChars="200"/>
              <w:rPr>
                <w:b/>
                <w:kern w:val="0"/>
                <w:sz w:val="24"/>
              </w:rPr>
            </w:pPr>
            <w:r>
              <w:rPr>
                <w:rFonts w:hint="eastAsia" w:cs="宋体"/>
                <w:b/>
                <w:bCs/>
                <w:sz w:val="24"/>
              </w:rPr>
              <w:t>六、</w:t>
            </w:r>
            <w:r>
              <w:rPr>
                <w:rFonts w:hint="eastAsia"/>
                <w:b/>
                <w:kern w:val="0"/>
                <w:sz w:val="24"/>
              </w:rPr>
              <w:t>环境风险分析</w:t>
            </w:r>
          </w:p>
          <w:p w14:paraId="30CD0E13">
            <w:pPr>
              <w:keepNext/>
              <w:keepLines/>
              <w:spacing w:line="360" w:lineRule="auto"/>
              <w:ind w:firstLine="590" w:firstLineChars="245"/>
              <w:outlineLvl w:val="2"/>
              <w:rPr>
                <w:b/>
                <w:bCs/>
                <w:sz w:val="24"/>
                <w:szCs w:val="32"/>
              </w:rPr>
            </w:pPr>
            <w:r>
              <w:rPr>
                <w:rFonts w:hint="eastAsia"/>
                <w:b/>
                <w:bCs/>
                <w:sz w:val="24"/>
                <w:szCs w:val="32"/>
              </w:rPr>
              <w:t>1、</w:t>
            </w:r>
            <w:r>
              <w:rPr>
                <w:b/>
                <w:bCs/>
                <w:sz w:val="24"/>
                <w:szCs w:val="32"/>
              </w:rPr>
              <w:t>风险</w:t>
            </w:r>
            <w:r>
              <w:rPr>
                <w:rFonts w:hint="eastAsia"/>
                <w:b/>
                <w:bCs/>
                <w:sz w:val="24"/>
                <w:szCs w:val="32"/>
              </w:rPr>
              <w:t>源调查</w:t>
            </w:r>
          </w:p>
          <w:p w14:paraId="45A1C6A5">
            <w:pPr>
              <w:autoSpaceDE w:val="0"/>
              <w:autoSpaceDN w:val="0"/>
              <w:spacing w:line="360" w:lineRule="auto"/>
              <w:ind w:firstLine="480" w:firstLineChars="200"/>
              <w:jc w:val="left"/>
              <w:rPr>
                <w:rFonts w:eastAsiaTheme="minorEastAsia"/>
                <w:sz w:val="24"/>
              </w:rPr>
            </w:pPr>
            <w:r>
              <w:rPr>
                <w:rFonts w:eastAsiaTheme="minorEastAsia"/>
                <w:sz w:val="24"/>
              </w:rPr>
              <w:t>本次评价将针对本项目涉及的原辅材料、三废、产品等进行物质危险性识别，根据《建设项目环境风险评价技术导则》（HJ/T169-2018）附录B，本项目存在危险性的主要物质为</w:t>
            </w:r>
            <w:r>
              <w:rPr>
                <w:sz w:val="24"/>
              </w:rPr>
              <w:t>润滑油和</w:t>
            </w:r>
            <w:r>
              <w:rPr>
                <w:rFonts w:hint="eastAsia"/>
                <w:sz w:val="24"/>
                <w:lang w:val="en-US" w:eastAsia="zh-CN"/>
              </w:rPr>
              <w:t>危险废物等</w:t>
            </w:r>
            <w:r>
              <w:rPr>
                <w:rFonts w:eastAsiaTheme="minorEastAsia"/>
                <w:sz w:val="24"/>
              </w:rPr>
              <w:t>。</w:t>
            </w:r>
          </w:p>
          <w:p w14:paraId="6A4E7650">
            <w:pPr>
              <w:keepNext/>
              <w:spacing w:line="360" w:lineRule="auto"/>
              <w:ind w:firstLine="475" w:firstLineChars="197"/>
              <w:outlineLvl w:val="1"/>
              <w:rPr>
                <w:b/>
                <w:bCs/>
                <w:sz w:val="24"/>
              </w:rPr>
            </w:pPr>
            <w:bookmarkStart w:id="10" w:name="_Toc60652801"/>
            <w:bookmarkStart w:id="11" w:name="_Toc63415121"/>
            <w:r>
              <w:rPr>
                <w:rFonts w:hint="eastAsia"/>
                <w:b/>
                <w:bCs/>
                <w:sz w:val="24"/>
              </w:rPr>
              <w:t>2、</w:t>
            </w:r>
            <w:r>
              <w:rPr>
                <w:b/>
                <w:bCs/>
                <w:sz w:val="24"/>
              </w:rPr>
              <w:t>风险潜势初判</w:t>
            </w:r>
            <w:bookmarkEnd w:id="10"/>
            <w:bookmarkEnd w:id="11"/>
          </w:p>
          <w:p w14:paraId="5F1DDB1D">
            <w:pPr>
              <w:autoSpaceDE w:val="0"/>
              <w:autoSpaceDN w:val="0"/>
              <w:spacing w:line="360" w:lineRule="auto"/>
              <w:ind w:firstLine="480" w:firstLineChars="200"/>
              <w:jc w:val="left"/>
              <w:rPr>
                <w:sz w:val="24"/>
              </w:rPr>
            </w:pPr>
            <w:r>
              <w:rPr>
                <w:sz w:val="24"/>
              </w:rPr>
              <w:t>（1）危险物质数量与临界量比值（Q）</w:t>
            </w:r>
          </w:p>
          <w:p w14:paraId="176BD1A3">
            <w:pPr>
              <w:autoSpaceDE w:val="0"/>
              <w:autoSpaceDN w:val="0"/>
              <w:spacing w:line="360" w:lineRule="auto"/>
              <w:ind w:firstLine="480" w:firstLineChars="200"/>
              <w:jc w:val="left"/>
              <w:rPr>
                <w:sz w:val="24"/>
              </w:rPr>
            </w:pPr>
            <w:r>
              <w:rPr>
                <w:sz w:val="24"/>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1E56157C">
            <w:pPr>
              <w:autoSpaceDE w:val="0"/>
              <w:autoSpaceDN w:val="0"/>
              <w:spacing w:line="360" w:lineRule="auto"/>
              <w:ind w:firstLine="480" w:firstLineChars="200"/>
              <w:jc w:val="left"/>
              <w:rPr>
                <w:sz w:val="24"/>
              </w:rPr>
            </w:pPr>
            <w:r>
              <w:rPr>
                <w:sz w:val="24"/>
              </w:rPr>
              <w:t>当只涉及一种危险物质时，计算该物质的总量与其临界量比值，即为Q；</w:t>
            </w:r>
          </w:p>
          <w:p w14:paraId="67830385">
            <w:pPr>
              <w:autoSpaceDE w:val="0"/>
              <w:autoSpaceDN w:val="0"/>
              <w:spacing w:line="360" w:lineRule="auto"/>
              <w:ind w:firstLine="480" w:firstLineChars="200"/>
              <w:jc w:val="left"/>
              <w:rPr>
                <w:kern w:val="0"/>
                <w:sz w:val="24"/>
              </w:rPr>
            </w:pPr>
            <w:r>
              <w:rPr>
                <w:kern w:val="0"/>
                <w:sz w:val="24"/>
              </w:rPr>
              <w:pict>
                <v:shape id="_x0000_s1037" o:spid="_x0000_s1037" o:spt="75" type="#_x0000_t75" style="position:absolute;left:0pt;margin-left:145.65pt;margin-top:25.7pt;height:39.7pt;width:141.25pt;mso-wrap-distance-bottom:0pt;mso-wrap-distance-top:0pt;z-index:251660288;mso-width-relative:page;mso-height-relative:page;" o:ole="t" filled="f" o:preferrelative="t" stroked="f" coordsize="21600,21600">
                  <v:path/>
                  <v:fill on="f" focussize="0,0"/>
                  <v:stroke on="f" joinstyle="miter"/>
                  <v:imagedata r:id="rId19" o:title=""/>
                  <o:lock v:ext="edit" aspectratio="t"/>
                  <w10:wrap type="topAndBottom"/>
                </v:shape>
                <o:OLEObject Type="Embed" ProgID="Equation.DSMT4" ShapeID="_x0000_s1037" DrawAspect="Content" ObjectID="_1468075727" r:id="rId18">
                  <o:LockedField>false</o:LockedField>
                </o:OLEObject>
              </w:pict>
            </w:r>
            <w:r>
              <w:rPr>
                <w:sz w:val="24"/>
              </w:rPr>
              <w:t>当存在多种危险物质时，则按式下式计算物质总量与其临界量比值</w:t>
            </w:r>
            <w:r>
              <w:rPr>
                <w:rFonts w:hint="eastAsia"/>
                <w:sz w:val="24"/>
                <w:lang w:eastAsia="zh-CN"/>
              </w:rPr>
              <w:t>（</w:t>
            </w:r>
            <w:r>
              <w:rPr>
                <w:sz w:val="24"/>
              </w:rPr>
              <w:t>Q</w:t>
            </w:r>
            <w:r>
              <w:rPr>
                <w:rFonts w:hint="eastAsia"/>
                <w:sz w:val="24"/>
                <w:lang w:eastAsia="zh-CN"/>
              </w:rPr>
              <w:t>）</w:t>
            </w:r>
            <w:r>
              <w:rPr>
                <w:sz w:val="24"/>
              </w:rPr>
              <w:t>：</w:t>
            </w:r>
          </w:p>
          <w:p w14:paraId="282AFE7A">
            <w:pPr>
              <w:spacing w:before="120" w:beforeLines="50" w:line="360" w:lineRule="auto"/>
              <w:ind w:firstLine="482"/>
              <w:rPr>
                <w:sz w:val="24"/>
              </w:rPr>
            </w:pPr>
            <w:r>
              <w:rPr>
                <w:sz w:val="24"/>
              </w:rPr>
              <w:t>式中：q</w:t>
            </w:r>
            <w:r>
              <w:rPr>
                <w:sz w:val="24"/>
                <w:vertAlign w:val="subscript"/>
              </w:rPr>
              <w:t>1</w:t>
            </w:r>
            <w:r>
              <w:rPr>
                <w:sz w:val="24"/>
              </w:rPr>
              <w:t>，q</w:t>
            </w:r>
            <w:r>
              <w:rPr>
                <w:sz w:val="24"/>
                <w:vertAlign w:val="subscript"/>
              </w:rPr>
              <w:t>2</w:t>
            </w:r>
            <w:r>
              <w:rPr>
                <w:sz w:val="24"/>
              </w:rPr>
              <w:t>…，q</w:t>
            </w:r>
            <w:r>
              <w:rPr>
                <w:sz w:val="24"/>
                <w:vertAlign w:val="subscript"/>
              </w:rPr>
              <w:t>n</w:t>
            </w:r>
            <w:r>
              <w:rPr>
                <w:sz w:val="24"/>
              </w:rPr>
              <w:t>为每种危险物质的最大存在总量，t。</w:t>
            </w:r>
          </w:p>
          <w:p w14:paraId="14715D26">
            <w:pPr>
              <w:spacing w:line="360" w:lineRule="auto"/>
              <w:ind w:firstLine="1200" w:firstLineChars="500"/>
              <w:rPr>
                <w:sz w:val="24"/>
              </w:rPr>
            </w:pPr>
            <w:r>
              <w:rPr>
                <w:sz w:val="24"/>
              </w:rPr>
              <w:t>Q</w:t>
            </w:r>
            <w:r>
              <w:rPr>
                <w:sz w:val="24"/>
                <w:vertAlign w:val="subscript"/>
              </w:rPr>
              <w:t>1</w:t>
            </w:r>
            <w:r>
              <w:rPr>
                <w:sz w:val="24"/>
              </w:rPr>
              <w:t>，Q</w:t>
            </w:r>
            <w:r>
              <w:rPr>
                <w:sz w:val="24"/>
                <w:vertAlign w:val="subscript"/>
              </w:rPr>
              <w:t>2</w:t>
            </w:r>
            <w:r>
              <w:rPr>
                <w:sz w:val="24"/>
              </w:rPr>
              <w:t>…Q</w:t>
            </w:r>
            <w:r>
              <w:rPr>
                <w:sz w:val="24"/>
                <w:vertAlign w:val="subscript"/>
              </w:rPr>
              <w:t>n</w:t>
            </w:r>
            <w:r>
              <w:rPr>
                <w:sz w:val="24"/>
              </w:rPr>
              <w:t>为每种危险物质的临界量，t。</w:t>
            </w:r>
          </w:p>
          <w:p w14:paraId="5C0F3193">
            <w:pPr>
              <w:spacing w:line="360" w:lineRule="auto"/>
              <w:ind w:firstLine="482"/>
              <w:rPr>
                <w:sz w:val="24"/>
              </w:rPr>
            </w:pPr>
            <w:r>
              <w:rPr>
                <w:sz w:val="24"/>
              </w:rPr>
              <w:t>当Q＜1时，该项目环境风险潜势为</w:t>
            </w:r>
            <w:r>
              <w:rPr>
                <w:sz w:val="24"/>
              </w:rPr>
              <w:fldChar w:fldCharType="begin"/>
            </w:r>
            <w:r>
              <w:rPr>
                <w:sz w:val="24"/>
              </w:rPr>
              <w:instrText xml:space="preserve"> = 1 \* ROMAN </w:instrText>
            </w:r>
            <w:r>
              <w:rPr>
                <w:sz w:val="24"/>
              </w:rPr>
              <w:fldChar w:fldCharType="separate"/>
            </w:r>
            <w:r>
              <w:rPr>
                <w:sz w:val="24"/>
              </w:rPr>
              <w:t>I</w:t>
            </w:r>
            <w:r>
              <w:rPr>
                <w:sz w:val="24"/>
              </w:rPr>
              <w:fldChar w:fldCharType="end"/>
            </w:r>
            <w:r>
              <w:rPr>
                <w:sz w:val="24"/>
              </w:rPr>
              <w:t>。</w:t>
            </w:r>
          </w:p>
          <w:p w14:paraId="4DEDCC23">
            <w:pPr>
              <w:autoSpaceDE w:val="0"/>
              <w:autoSpaceDN w:val="0"/>
              <w:adjustRightInd w:val="0"/>
              <w:spacing w:line="360" w:lineRule="auto"/>
              <w:ind w:firstLine="480" w:firstLineChars="200"/>
              <w:jc w:val="left"/>
              <w:rPr>
                <w:sz w:val="24"/>
              </w:rPr>
            </w:pPr>
            <w:r>
              <w:rPr>
                <w:sz w:val="24"/>
              </w:rPr>
              <w:t>当Q≥1时，将Q值划分为（1）1≤Q＜10；（2）10≤Q＜100；（3）Q≥100。</w:t>
            </w:r>
          </w:p>
          <w:p w14:paraId="36BD3E98">
            <w:pPr>
              <w:autoSpaceDE w:val="0"/>
              <w:autoSpaceDN w:val="0"/>
              <w:adjustRightInd w:val="0"/>
              <w:spacing w:line="360" w:lineRule="auto"/>
              <w:ind w:firstLine="480" w:firstLineChars="200"/>
              <w:jc w:val="left"/>
              <w:rPr>
                <w:sz w:val="24"/>
              </w:rPr>
            </w:pPr>
            <w:r>
              <w:rPr>
                <w:rFonts w:hint="eastAsia"/>
                <w:sz w:val="24"/>
              </w:rPr>
              <w:t>根据《建设项目环境风险评价技术导则》相关要求，结合本项目涉及的突发环境事件风险物质及临界量，其中</w:t>
            </w:r>
            <w:r>
              <w:rPr>
                <w:sz w:val="24"/>
              </w:rPr>
              <w:t xml:space="preserve"> Qi </w:t>
            </w:r>
            <w:r>
              <w:rPr>
                <w:rFonts w:hint="eastAsia"/>
                <w:sz w:val="24"/>
              </w:rPr>
              <w:t>值取值来源《建设项目环境风险评价技术导则》（</w:t>
            </w:r>
            <w:r>
              <w:rPr>
                <w:sz w:val="24"/>
              </w:rPr>
              <w:t>HJ/T169-2018</w:t>
            </w:r>
            <w:r>
              <w:rPr>
                <w:rFonts w:hint="eastAsia"/>
                <w:sz w:val="24"/>
              </w:rPr>
              <w:t>）附录</w:t>
            </w:r>
            <w:r>
              <w:rPr>
                <w:sz w:val="24"/>
              </w:rPr>
              <w:t>B</w:t>
            </w:r>
            <w:r>
              <w:rPr>
                <w:rFonts w:hint="eastAsia"/>
                <w:sz w:val="24"/>
              </w:rPr>
              <w:t>，表</w:t>
            </w:r>
            <w:r>
              <w:rPr>
                <w:sz w:val="24"/>
              </w:rPr>
              <w:t xml:space="preserve">B.1 </w:t>
            </w:r>
            <w:r>
              <w:rPr>
                <w:rFonts w:hint="eastAsia"/>
                <w:sz w:val="24"/>
              </w:rPr>
              <w:t>突发环境风险物质及临界量。拟建项目生产过程中所需各种物料的贮存量、临界量及危险识别结果见下表所示。</w:t>
            </w:r>
          </w:p>
          <w:p w14:paraId="15172BEE">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15</w:t>
            </w:r>
            <w:r>
              <w:rPr>
                <w:b/>
                <w:kern w:val="0"/>
                <w:sz w:val="24"/>
              </w:rPr>
              <w:t xml:space="preserve"> </w:t>
            </w:r>
            <w:r>
              <w:rPr>
                <w:rFonts w:hint="eastAsia"/>
                <w:b/>
                <w:kern w:val="0"/>
                <w:sz w:val="24"/>
              </w:rPr>
              <w:t xml:space="preserve"> 本项目Q值确定</w:t>
            </w:r>
            <w:r>
              <w:rPr>
                <w:b/>
                <w:kern w:val="0"/>
                <w:sz w:val="24"/>
              </w:rPr>
              <w:t>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423"/>
              <w:gridCol w:w="919"/>
              <w:gridCol w:w="1350"/>
              <w:gridCol w:w="970"/>
              <w:gridCol w:w="1273"/>
              <w:gridCol w:w="876"/>
              <w:gridCol w:w="1111"/>
            </w:tblGrid>
            <w:tr w14:paraId="6CBD3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4" w:type="dxa"/>
                  <w:tcBorders>
                    <w:tl2br w:val="nil"/>
                    <w:tr2bl w:val="nil"/>
                  </w:tcBorders>
                  <w:shd w:val="clear" w:color="auto" w:fill="auto"/>
                  <w:vAlign w:val="center"/>
                </w:tcPr>
                <w:p w14:paraId="34FD13B7">
                  <w:pPr>
                    <w:pStyle w:val="176"/>
                    <w:spacing w:line="240" w:lineRule="auto"/>
                    <w:rPr>
                      <w:b/>
                      <w:lang w:val="zh-CN"/>
                    </w:rPr>
                  </w:pPr>
                  <w:r>
                    <w:rPr>
                      <w:b/>
                      <w:lang w:val="zh-CN"/>
                    </w:rPr>
                    <w:t>序号</w:t>
                  </w:r>
                </w:p>
              </w:tc>
              <w:tc>
                <w:tcPr>
                  <w:tcW w:w="1421" w:type="dxa"/>
                  <w:tcBorders>
                    <w:tl2br w:val="nil"/>
                    <w:tr2bl w:val="nil"/>
                  </w:tcBorders>
                  <w:shd w:val="clear" w:color="auto" w:fill="auto"/>
                  <w:vAlign w:val="center"/>
                </w:tcPr>
                <w:p w14:paraId="6BEA2D8B">
                  <w:pPr>
                    <w:pStyle w:val="176"/>
                    <w:spacing w:line="240" w:lineRule="auto"/>
                    <w:rPr>
                      <w:b/>
                      <w:lang w:val="zh-CN"/>
                    </w:rPr>
                  </w:pPr>
                  <w:r>
                    <w:rPr>
                      <w:b/>
                      <w:lang w:val="zh-CN"/>
                    </w:rPr>
                    <w:t>危险物质名称</w:t>
                  </w:r>
                </w:p>
              </w:tc>
              <w:tc>
                <w:tcPr>
                  <w:tcW w:w="918" w:type="dxa"/>
                  <w:tcBorders>
                    <w:tl2br w:val="nil"/>
                    <w:tr2bl w:val="nil"/>
                  </w:tcBorders>
                  <w:shd w:val="clear" w:color="auto" w:fill="auto"/>
                  <w:vAlign w:val="center"/>
                </w:tcPr>
                <w:p w14:paraId="11E21413">
                  <w:pPr>
                    <w:pStyle w:val="176"/>
                    <w:spacing w:line="240" w:lineRule="auto"/>
                    <w:rPr>
                      <w:b/>
                      <w:lang w:val="zh-CN"/>
                    </w:rPr>
                  </w:pPr>
                  <w:r>
                    <w:rPr>
                      <w:b/>
                      <w:lang w:val="zh-CN"/>
                    </w:rPr>
                    <w:t>CAS号</w:t>
                  </w:r>
                </w:p>
              </w:tc>
              <w:tc>
                <w:tcPr>
                  <w:tcW w:w="1348" w:type="dxa"/>
                  <w:tcBorders>
                    <w:tl2br w:val="nil"/>
                    <w:tr2bl w:val="nil"/>
                  </w:tcBorders>
                  <w:shd w:val="clear" w:color="auto" w:fill="auto"/>
                  <w:vAlign w:val="center"/>
                </w:tcPr>
                <w:p w14:paraId="2928EA01">
                  <w:pPr>
                    <w:pStyle w:val="176"/>
                    <w:spacing w:line="240" w:lineRule="auto"/>
                    <w:rPr>
                      <w:b/>
                      <w:lang w:val="zh-CN"/>
                    </w:rPr>
                  </w:pPr>
                  <w:r>
                    <w:rPr>
                      <w:b/>
                      <w:lang w:val="zh-CN"/>
                    </w:rPr>
                    <w:t>贮存区最大暂存总量t</w:t>
                  </w:r>
                </w:p>
              </w:tc>
              <w:tc>
                <w:tcPr>
                  <w:tcW w:w="969" w:type="dxa"/>
                  <w:tcBorders>
                    <w:tl2br w:val="nil"/>
                    <w:tr2bl w:val="nil"/>
                  </w:tcBorders>
                  <w:shd w:val="clear" w:color="auto" w:fill="auto"/>
                  <w:vAlign w:val="center"/>
                </w:tcPr>
                <w:p w14:paraId="21A5FEAF">
                  <w:pPr>
                    <w:pStyle w:val="176"/>
                    <w:spacing w:line="240" w:lineRule="auto"/>
                    <w:rPr>
                      <w:b/>
                      <w:lang w:val="zh-CN"/>
                    </w:rPr>
                  </w:pPr>
                  <w:r>
                    <w:rPr>
                      <w:b/>
                      <w:lang w:val="zh-CN"/>
                    </w:rPr>
                    <w:t>最大在线量t</w:t>
                  </w:r>
                </w:p>
              </w:tc>
              <w:tc>
                <w:tcPr>
                  <w:tcW w:w="1271" w:type="dxa"/>
                  <w:tcBorders>
                    <w:tl2br w:val="nil"/>
                    <w:tr2bl w:val="nil"/>
                  </w:tcBorders>
                  <w:shd w:val="clear" w:color="auto" w:fill="auto"/>
                  <w:vAlign w:val="center"/>
                </w:tcPr>
                <w:p w14:paraId="78283CA3">
                  <w:pPr>
                    <w:pStyle w:val="176"/>
                    <w:spacing w:line="240" w:lineRule="auto"/>
                    <w:rPr>
                      <w:b/>
                    </w:rPr>
                  </w:pPr>
                  <w:r>
                    <w:rPr>
                      <w:b/>
                      <w:lang w:val="zh-CN"/>
                    </w:rPr>
                    <w:t>厂区最大存在量qn/t</w:t>
                  </w:r>
                </w:p>
              </w:tc>
              <w:tc>
                <w:tcPr>
                  <w:tcW w:w="875" w:type="dxa"/>
                  <w:tcBorders>
                    <w:tl2br w:val="nil"/>
                    <w:tr2bl w:val="nil"/>
                  </w:tcBorders>
                  <w:shd w:val="clear" w:color="auto" w:fill="auto"/>
                  <w:vAlign w:val="center"/>
                </w:tcPr>
                <w:p w14:paraId="3AAB3AD7">
                  <w:pPr>
                    <w:pStyle w:val="176"/>
                    <w:spacing w:line="240" w:lineRule="auto"/>
                    <w:rPr>
                      <w:b/>
                    </w:rPr>
                  </w:pPr>
                  <w:r>
                    <w:rPr>
                      <w:b/>
                    </w:rPr>
                    <w:t>临界量Qn/t</w:t>
                  </w:r>
                </w:p>
              </w:tc>
              <w:tc>
                <w:tcPr>
                  <w:tcW w:w="1109" w:type="dxa"/>
                  <w:tcBorders>
                    <w:tl2br w:val="nil"/>
                    <w:tr2bl w:val="nil"/>
                  </w:tcBorders>
                  <w:shd w:val="clear" w:color="auto" w:fill="auto"/>
                  <w:vAlign w:val="center"/>
                </w:tcPr>
                <w:p w14:paraId="55FD2D3C">
                  <w:pPr>
                    <w:pStyle w:val="176"/>
                    <w:spacing w:line="240" w:lineRule="auto"/>
                    <w:rPr>
                      <w:rFonts w:eastAsia="等线"/>
                      <w:b/>
                    </w:rPr>
                  </w:pPr>
                  <w:r>
                    <w:rPr>
                      <w:rFonts w:eastAsia="等线"/>
                      <w:b/>
                    </w:rPr>
                    <w:t>Q</w:t>
                  </w:r>
                  <w:r>
                    <w:rPr>
                      <w:b/>
                    </w:rPr>
                    <w:t>值</w:t>
                  </w:r>
                </w:p>
              </w:tc>
            </w:tr>
            <w:tr w14:paraId="4C22C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14" w:type="dxa"/>
                  <w:tcBorders>
                    <w:tl2br w:val="nil"/>
                    <w:tr2bl w:val="nil"/>
                  </w:tcBorders>
                  <w:shd w:val="clear" w:color="auto" w:fill="auto"/>
                  <w:vAlign w:val="center"/>
                </w:tcPr>
                <w:p w14:paraId="538E38A4">
                  <w:pPr>
                    <w:pStyle w:val="176"/>
                    <w:spacing w:line="240" w:lineRule="auto"/>
                    <w:rPr>
                      <w:rFonts w:hint="eastAsia" w:eastAsia="宋体"/>
                      <w:lang w:val="zh-CN" w:eastAsia="zh-CN"/>
                    </w:rPr>
                  </w:pPr>
                  <w:r>
                    <w:rPr>
                      <w:rFonts w:hint="eastAsia"/>
                      <w:lang w:val="en-US" w:eastAsia="zh-CN"/>
                    </w:rPr>
                    <w:t>1</w:t>
                  </w:r>
                </w:p>
              </w:tc>
              <w:tc>
                <w:tcPr>
                  <w:tcW w:w="1421" w:type="dxa"/>
                  <w:tcBorders>
                    <w:tl2br w:val="nil"/>
                    <w:tr2bl w:val="nil"/>
                  </w:tcBorders>
                  <w:shd w:val="clear" w:color="auto" w:fill="auto"/>
                  <w:vAlign w:val="center"/>
                </w:tcPr>
                <w:p w14:paraId="121FD741">
                  <w:pPr>
                    <w:pStyle w:val="176"/>
                    <w:spacing w:line="240" w:lineRule="auto"/>
                    <w:rPr>
                      <w:bCs/>
                    </w:rPr>
                  </w:pPr>
                  <w:r>
                    <w:rPr>
                      <w:bCs/>
                    </w:rPr>
                    <w:t>润滑油</w:t>
                  </w:r>
                </w:p>
              </w:tc>
              <w:tc>
                <w:tcPr>
                  <w:tcW w:w="918" w:type="dxa"/>
                  <w:tcBorders>
                    <w:tl2br w:val="nil"/>
                    <w:tr2bl w:val="nil"/>
                  </w:tcBorders>
                  <w:shd w:val="clear" w:color="auto" w:fill="auto"/>
                  <w:vAlign w:val="center"/>
                </w:tcPr>
                <w:p w14:paraId="6A918CC3">
                  <w:pPr>
                    <w:pStyle w:val="176"/>
                    <w:spacing w:line="240" w:lineRule="auto"/>
                    <w:rPr>
                      <w:lang w:val="zh-CN"/>
                    </w:rPr>
                  </w:pPr>
                  <w:r>
                    <w:rPr>
                      <w:rFonts w:hint="eastAsia"/>
                      <w:lang w:val="zh-CN"/>
                    </w:rPr>
                    <w:t>/</w:t>
                  </w:r>
                </w:p>
              </w:tc>
              <w:tc>
                <w:tcPr>
                  <w:tcW w:w="1348" w:type="dxa"/>
                  <w:tcBorders>
                    <w:tl2br w:val="nil"/>
                    <w:tr2bl w:val="nil"/>
                  </w:tcBorders>
                  <w:shd w:val="clear" w:color="auto" w:fill="auto"/>
                  <w:vAlign w:val="center"/>
                </w:tcPr>
                <w:p w14:paraId="6CD1FEDC">
                  <w:pPr>
                    <w:pStyle w:val="176"/>
                    <w:spacing w:line="240" w:lineRule="auto"/>
                    <w:rPr>
                      <w:rFonts w:hint="eastAsia" w:eastAsia="宋体"/>
                      <w:lang w:val="zh-CN" w:eastAsia="zh-CN"/>
                    </w:rPr>
                  </w:pPr>
                  <w:r>
                    <w:rPr>
                      <w:rFonts w:hint="eastAsia"/>
                      <w:lang w:val="zh-CN"/>
                    </w:rPr>
                    <w:t>0</w:t>
                  </w:r>
                  <w:r>
                    <w:rPr>
                      <w:lang w:val="zh-CN"/>
                    </w:rPr>
                    <w:t>.</w:t>
                  </w:r>
                  <w:r>
                    <w:rPr>
                      <w:rFonts w:hint="eastAsia"/>
                      <w:lang w:val="en-US" w:eastAsia="zh-CN"/>
                    </w:rPr>
                    <w:t>1</w:t>
                  </w:r>
                </w:p>
              </w:tc>
              <w:tc>
                <w:tcPr>
                  <w:tcW w:w="969" w:type="dxa"/>
                  <w:tcBorders>
                    <w:tl2br w:val="nil"/>
                    <w:tr2bl w:val="nil"/>
                  </w:tcBorders>
                  <w:shd w:val="clear" w:color="auto" w:fill="auto"/>
                  <w:vAlign w:val="center"/>
                </w:tcPr>
                <w:p w14:paraId="4F2B3EF3">
                  <w:pPr>
                    <w:widowControl/>
                    <w:jc w:val="center"/>
                    <w:rPr>
                      <w:szCs w:val="21"/>
                    </w:rPr>
                  </w:pPr>
                  <w:r>
                    <w:rPr>
                      <w:rFonts w:hint="eastAsia"/>
                      <w:szCs w:val="21"/>
                    </w:rPr>
                    <w:t>/</w:t>
                  </w:r>
                </w:p>
              </w:tc>
              <w:tc>
                <w:tcPr>
                  <w:tcW w:w="1271" w:type="dxa"/>
                  <w:tcBorders>
                    <w:tl2br w:val="nil"/>
                    <w:tr2bl w:val="nil"/>
                  </w:tcBorders>
                  <w:shd w:val="clear" w:color="auto" w:fill="auto"/>
                  <w:vAlign w:val="center"/>
                </w:tcPr>
                <w:p w14:paraId="491AC206">
                  <w:pPr>
                    <w:widowControl/>
                    <w:jc w:val="center"/>
                    <w:rPr>
                      <w:rFonts w:hint="default" w:eastAsia="宋体"/>
                      <w:szCs w:val="21"/>
                      <w:lang w:val="en-US" w:eastAsia="zh-CN"/>
                    </w:rPr>
                  </w:pPr>
                  <w:r>
                    <w:rPr>
                      <w:rFonts w:hint="eastAsia"/>
                      <w:lang w:val="en-US" w:eastAsia="zh-CN"/>
                    </w:rPr>
                    <w:t>0.1</w:t>
                  </w:r>
                </w:p>
              </w:tc>
              <w:tc>
                <w:tcPr>
                  <w:tcW w:w="875" w:type="dxa"/>
                  <w:tcBorders>
                    <w:tl2br w:val="nil"/>
                    <w:tr2bl w:val="nil"/>
                  </w:tcBorders>
                  <w:shd w:val="clear" w:color="auto" w:fill="auto"/>
                  <w:vAlign w:val="center"/>
                </w:tcPr>
                <w:p w14:paraId="2292408A">
                  <w:pPr>
                    <w:pStyle w:val="176"/>
                    <w:spacing w:line="240" w:lineRule="auto"/>
                    <w:rPr>
                      <w:lang w:val="zh-CN"/>
                    </w:rPr>
                  </w:pPr>
                  <w:r>
                    <w:rPr>
                      <w:rFonts w:hint="eastAsia"/>
                      <w:lang w:val="zh-CN"/>
                    </w:rPr>
                    <w:t>2</w:t>
                  </w:r>
                  <w:r>
                    <w:rPr>
                      <w:lang w:val="zh-CN"/>
                    </w:rPr>
                    <w:t>500</w:t>
                  </w:r>
                </w:p>
              </w:tc>
              <w:tc>
                <w:tcPr>
                  <w:tcW w:w="1109" w:type="dxa"/>
                  <w:tcBorders>
                    <w:tl2br w:val="nil"/>
                    <w:tr2bl w:val="nil"/>
                  </w:tcBorders>
                  <w:shd w:val="clear" w:color="auto" w:fill="auto"/>
                  <w:vAlign w:val="center"/>
                </w:tcPr>
                <w:p w14:paraId="5FC2B83C">
                  <w:pPr>
                    <w:keepNext w:val="0"/>
                    <w:keepLines w:val="0"/>
                    <w:widowControl/>
                    <w:suppressLineNumbers w:val="0"/>
                    <w:jc w:val="center"/>
                    <w:textAlignment w:val="center"/>
                    <w:rPr>
                      <w:rFonts w:ascii="Times New Roman" w:hAnsi="Times New Roman" w:eastAsia="宋体" w:cs="Times New Roman"/>
                      <w:kern w:val="2"/>
                      <w:sz w:val="21"/>
                      <w:szCs w:val="20"/>
                      <w:lang w:val="zh-CN" w:eastAsia="zh-CN" w:bidi="ar-SA"/>
                    </w:rPr>
                  </w:pPr>
                  <w:r>
                    <w:rPr>
                      <w:rFonts w:hint="eastAsia" w:ascii="Times New Roman" w:hAnsi="Times New Roman" w:eastAsia="宋体" w:cs="Times New Roman"/>
                      <w:kern w:val="2"/>
                      <w:sz w:val="21"/>
                      <w:szCs w:val="20"/>
                      <w:lang w:val="en-US" w:eastAsia="zh-CN" w:bidi="ar-SA"/>
                    </w:rPr>
                    <w:t>0.00004</w:t>
                  </w:r>
                </w:p>
              </w:tc>
            </w:tr>
            <w:tr w14:paraId="3B28F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14" w:type="dxa"/>
                  <w:tcBorders>
                    <w:tl2br w:val="nil"/>
                    <w:tr2bl w:val="nil"/>
                  </w:tcBorders>
                  <w:shd w:val="clear" w:color="auto" w:fill="auto"/>
                  <w:vAlign w:val="center"/>
                </w:tcPr>
                <w:p w14:paraId="0C095739">
                  <w:pPr>
                    <w:pStyle w:val="176"/>
                    <w:spacing w:line="240" w:lineRule="auto"/>
                    <w:rPr>
                      <w:rFonts w:hint="eastAsia" w:eastAsia="宋体"/>
                      <w:lang w:val="zh-CN" w:eastAsia="zh-CN"/>
                    </w:rPr>
                  </w:pPr>
                  <w:r>
                    <w:rPr>
                      <w:rFonts w:hint="eastAsia"/>
                      <w:lang w:val="en-US" w:eastAsia="zh-CN"/>
                    </w:rPr>
                    <w:t>2</w:t>
                  </w:r>
                </w:p>
              </w:tc>
              <w:tc>
                <w:tcPr>
                  <w:tcW w:w="1421" w:type="dxa"/>
                  <w:tcBorders>
                    <w:tl2br w:val="nil"/>
                    <w:tr2bl w:val="nil"/>
                  </w:tcBorders>
                  <w:shd w:val="clear" w:color="auto" w:fill="auto"/>
                  <w:vAlign w:val="center"/>
                </w:tcPr>
                <w:p w14:paraId="5D63D4E9">
                  <w:pPr>
                    <w:pStyle w:val="176"/>
                    <w:spacing w:line="240" w:lineRule="auto"/>
                    <w:rPr>
                      <w:rFonts w:hint="eastAsia" w:eastAsia="宋体"/>
                      <w:bCs/>
                      <w:lang w:eastAsia="zh-CN"/>
                    </w:rPr>
                  </w:pPr>
                  <w:r>
                    <w:rPr>
                      <w:rFonts w:hint="eastAsia"/>
                      <w:bCs/>
                      <w:lang w:val="en-US" w:eastAsia="zh-CN"/>
                    </w:rPr>
                    <w:t>危险废物</w:t>
                  </w:r>
                </w:p>
              </w:tc>
              <w:tc>
                <w:tcPr>
                  <w:tcW w:w="918" w:type="dxa"/>
                  <w:tcBorders>
                    <w:tl2br w:val="nil"/>
                    <w:tr2bl w:val="nil"/>
                  </w:tcBorders>
                  <w:shd w:val="clear" w:color="auto" w:fill="auto"/>
                  <w:vAlign w:val="center"/>
                </w:tcPr>
                <w:p w14:paraId="59EBD91E">
                  <w:pPr>
                    <w:pStyle w:val="176"/>
                    <w:spacing w:line="240" w:lineRule="auto"/>
                    <w:rPr>
                      <w:lang w:val="zh-CN"/>
                    </w:rPr>
                  </w:pPr>
                  <w:r>
                    <w:rPr>
                      <w:rFonts w:hint="eastAsia"/>
                      <w:lang w:val="zh-CN"/>
                    </w:rPr>
                    <w:t>/</w:t>
                  </w:r>
                </w:p>
              </w:tc>
              <w:tc>
                <w:tcPr>
                  <w:tcW w:w="1348" w:type="dxa"/>
                  <w:tcBorders>
                    <w:tl2br w:val="nil"/>
                    <w:tr2bl w:val="nil"/>
                  </w:tcBorders>
                  <w:shd w:val="clear" w:color="auto" w:fill="auto"/>
                  <w:vAlign w:val="center"/>
                </w:tcPr>
                <w:p w14:paraId="47F53202">
                  <w:pPr>
                    <w:pStyle w:val="176"/>
                    <w:spacing w:line="240" w:lineRule="auto"/>
                    <w:rPr>
                      <w:lang w:val="zh-CN"/>
                    </w:rPr>
                  </w:pPr>
                  <w:r>
                    <w:rPr>
                      <w:rFonts w:hint="eastAsia"/>
                      <w:lang w:val="zh-CN"/>
                    </w:rPr>
                    <w:t>6.275</w:t>
                  </w:r>
                </w:p>
              </w:tc>
              <w:tc>
                <w:tcPr>
                  <w:tcW w:w="969" w:type="dxa"/>
                  <w:tcBorders>
                    <w:tl2br w:val="nil"/>
                    <w:tr2bl w:val="nil"/>
                  </w:tcBorders>
                  <w:shd w:val="clear" w:color="auto" w:fill="auto"/>
                  <w:vAlign w:val="center"/>
                </w:tcPr>
                <w:p w14:paraId="248C55F6">
                  <w:pPr>
                    <w:widowControl/>
                    <w:jc w:val="center"/>
                    <w:rPr>
                      <w:szCs w:val="21"/>
                    </w:rPr>
                  </w:pPr>
                  <w:r>
                    <w:rPr>
                      <w:rFonts w:hint="eastAsia"/>
                      <w:szCs w:val="21"/>
                    </w:rPr>
                    <w:t>/</w:t>
                  </w:r>
                </w:p>
              </w:tc>
              <w:tc>
                <w:tcPr>
                  <w:tcW w:w="1271" w:type="dxa"/>
                  <w:tcBorders>
                    <w:tl2br w:val="nil"/>
                    <w:tr2bl w:val="nil"/>
                  </w:tcBorders>
                  <w:shd w:val="clear" w:color="auto" w:fill="auto"/>
                  <w:vAlign w:val="center"/>
                </w:tcPr>
                <w:p w14:paraId="36CA9309">
                  <w:pPr>
                    <w:widowControl/>
                    <w:jc w:val="center"/>
                    <w:rPr>
                      <w:szCs w:val="21"/>
                    </w:rPr>
                  </w:pPr>
                  <w:r>
                    <w:rPr>
                      <w:rFonts w:hint="eastAsia"/>
                      <w:lang w:val="zh-CN"/>
                    </w:rPr>
                    <w:t>6.275</w:t>
                  </w:r>
                </w:p>
              </w:tc>
              <w:tc>
                <w:tcPr>
                  <w:tcW w:w="875" w:type="dxa"/>
                  <w:tcBorders>
                    <w:tl2br w:val="nil"/>
                    <w:tr2bl w:val="nil"/>
                  </w:tcBorders>
                  <w:shd w:val="clear" w:color="auto" w:fill="auto"/>
                  <w:vAlign w:val="center"/>
                </w:tcPr>
                <w:p w14:paraId="1477A3DA">
                  <w:pPr>
                    <w:pStyle w:val="176"/>
                    <w:spacing w:line="240" w:lineRule="auto"/>
                    <w:rPr>
                      <w:rFonts w:hint="default" w:eastAsia="宋体"/>
                      <w:lang w:val="en-US" w:eastAsia="zh-CN"/>
                    </w:rPr>
                  </w:pPr>
                  <w:r>
                    <w:rPr>
                      <w:rFonts w:hint="eastAsia"/>
                      <w:lang w:val="en-US" w:eastAsia="zh-CN"/>
                    </w:rPr>
                    <w:t>50</w:t>
                  </w:r>
                </w:p>
              </w:tc>
              <w:tc>
                <w:tcPr>
                  <w:tcW w:w="1109" w:type="dxa"/>
                  <w:tcBorders>
                    <w:tl2br w:val="nil"/>
                    <w:tr2bl w:val="nil"/>
                  </w:tcBorders>
                  <w:shd w:val="clear" w:color="auto" w:fill="auto"/>
                  <w:vAlign w:val="center"/>
                </w:tcPr>
                <w:p w14:paraId="4CD5A508">
                  <w:pPr>
                    <w:keepNext w:val="0"/>
                    <w:keepLines w:val="0"/>
                    <w:widowControl/>
                    <w:suppressLineNumbers w:val="0"/>
                    <w:jc w:val="center"/>
                    <w:textAlignment w:val="center"/>
                    <w:rPr>
                      <w:rFonts w:ascii="Times New Roman" w:hAnsi="Times New Roman" w:eastAsia="宋体" w:cs="Times New Roman"/>
                      <w:kern w:val="2"/>
                      <w:sz w:val="21"/>
                      <w:szCs w:val="20"/>
                      <w:lang w:val="zh-CN" w:eastAsia="zh-CN" w:bidi="ar-SA"/>
                    </w:rPr>
                  </w:pPr>
                  <w:r>
                    <w:rPr>
                      <w:rFonts w:hint="eastAsia" w:ascii="Times New Roman" w:hAnsi="Times New Roman" w:eastAsia="宋体" w:cs="Times New Roman"/>
                      <w:kern w:val="2"/>
                      <w:sz w:val="21"/>
                      <w:szCs w:val="20"/>
                      <w:lang w:val="en-US" w:eastAsia="zh-CN" w:bidi="ar-SA"/>
                    </w:rPr>
                    <w:t>0.1255</w:t>
                  </w:r>
                </w:p>
              </w:tc>
            </w:tr>
            <w:tr w14:paraId="252DA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7316" w:type="dxa"/>
                  <w:gridSpan w:val="7"/>
                  <w:tcBorders>
                    <w:tl2br w:val="nil"/>
                    <w:tr2bl w:val="nil"/>
                  </w:tcBorders>
                  <w:shd w:val="clear" w:color="auto" w:fill="auto"/>
                  <w:vAlign w:val="center"/>
                </w:tcPr>
                <w:p w14:paraId="5502A9F5">
                  <w:pPr>
                    <w:pStyle w:val="176"/>
                    <w:spacing w:line="240" w:lineRule="auto"/>
                    <w:rPr>
                      <w:lang w:val="zh-CN"/>
                    </w:rPr>
                  </w:pPr>
                  <w:r>
                    <w:rPr>
                      <w:i/>
                      <w:szCs w:val="22"/>
                    </w:rPr>
                    <w:t>Q</w:t>
                  </w:r>
                  <w:r>
                    <w:rPr>
                      <w:szCs w:val="22"/>
                    </w:rPr>
                    <w:t>值合计</w:t>
                  </w:r>
                </w:p>
              </w:tc>
              <w:tc>
                <w:tcPr>
                  <w:tcW w:w="1109" w:type="dxa"/>
                  <w:tcBorders>
                    <w:tl2br w:val="nil"/>
                    <w:tr2bl w:val="nil"/>
                  </w:tcBorders>
                  <w:shd w:val="clear" w:color="auto" w:fill="auto"/>
                  <w:vAlign w:val="center"/>
                </w:tcPr>
                <w:p w14:paraId="623EFAF0">
                  <w:pPr>
                    <w:widowControl/>
                    <w:jc w:val="center"/>
                    <w:rPr>
                      <w:rFonts w:hint="default" w:eastAsia="宋体"/>
                      <w:lang w:val="en-US" w:eastAsia="zh-CN"/>
                    </w:rPr>
                  </w:pPr>
                  <w:r>
                    <w:rPr>
                      <w:rFonts w:hint="eastAsia"/>
                      <w:sz w:val="22"/>
                      <w:szCs w:val="22"/>
                      <w:lang w:val="en-US" w:eastAsia="zh-CN"/>
                    </w:rPr>
                    <w:t>0.12554</w:t>
                  </w:r>
                </w:p>
              </w:tc>
            </w:tr>
          </w:tbl>
          <w:p w14:paraId="63A02C08">
            <w:pPr>
              <w:spacing w:before="100" w:beforeAutospacing="1" w:line="360" w:lineRule="auto"/>
              <w:ind w:firstLine="480" w:firstLineChars="200"/>
              <w:jc w:val="left"/>
              <w:rPr>
                <w:sz w:val="24"/>
              </w:rPr>
            </w:pPr>
            <w:r>
              <w:rPr>
                <w:rFonts w:hint="eastAsia"/>
                <w:sz w:val="24"/>
              </w:rPr>
              <w:t>根据上表内容，本项目涉及各种物料的存储量均不超过相应的临界量，对照《建设项目环境风险评价技术导则》（</w:t>
            </w:r>
            <w:r>
              <w:rPr>
                <w:sz w:val="24"/>
              </w:rPr>
              <w:t>HJ/T169-2018</w:t>
            </w:r>
            <w:r>
              <w:rPr>
                <w:rFonts w:hint="eastAsia"/>
                <w:sz w:val="24"/>
              </w:rPr>
              <w:t>）中相关要求，</w:t>
            </w:r>
            <w:r>
              <w:rPr>
                <w:sz w:val="24"/>
              </w:rPr>
              <w:t>q1/Q1+q2/Q2</w:t>
            </w:r>
            <w:r>
              <w:rPr>
                <w:rFonts w:hint="eastAsia"/>
                <w:sz w:val="24"/>
              </w:rPr>
              <w:t>……</w:t>
            </w:r>
            <w:r>
              <w:rPr>
                <w:sz w:val="24"/>
              </w:rPr>
              <w:t>+ qn/Qn=</w:t>
            </w:r>
            <w:r>
              <w:rPr>
                <w:rFonts w:hint="eastAsia"/>
                <w:sz w:val="24"/>
                <w:lang w:val="en-US" w:eastAsia="zh-CN"/>
              </w:rPr>
              <w:t>0.12554</w:t>
            </w:r>
            <w:r>
              <w:rPr>
                <w:rFonts w:hint="eastAsia"/>
                <w:sz w:val="24"/>
              </w:rPr>
              <w:t>，</w:t>
            </w:r>
            <w:r>
              <w:rPr>
                <w:sz w:val="24"/>
              </w:rPr>
              <w:t>Q</w:t>
            </w:r>
            <w:r>
              <w:rPr>
                <w:rFonts w:hint="eastAsia"/>
                <w:sz w:val="24"/>
              </w:rPr>
              <w:t>＜</w:t>
            </w:r>
            <w:r>
              <w:rPr>
                <w:sz w:val="24"/>
              </w:rPr>
              <w:t>1</w:t>
            </w:r>
            <w:r>
              <w:rPr>
                <w:rFonts w:hint="eastAsia"/>
                <w:sz w:val="24"/>
              </w:rPr>
              <w:t>，项目环境风险潜势为</w:t>
            </w:r>
            <w:r>
              <w:rPr>
                <w:sz w:val="24"/>
              </w:rPr>
              <w:t>Ⅰ。</w:t>
            </w:r>
          </w:p>
          <w:p w14:paraId="12C6169C">
            <w:pPr>
              <w:keepNext/>
              <w:keepLines/>
              <w:spacing w:line="360" w:lineRule="auto"/>
              <w:ind w:firstLine="352" w:firstLineChars="147"/>
              <w:outlineLvl w:val="2"/>
              <w:rPr>
                <w:bCs/>
                <w:sz w:val="24"/>
                <w:szCs w:val="32"/>
              </w:rPr>
            </w:pPr>
            <w:bookmarkStart w:id="12" w:name="_Toc55981026"/>
            <w:r>
              <w:rPr>
                <w:rFonts w:hint="eastAsia"/>
                <w:bCs/>
                <w:sz w:val="24"/>
                <w:szCs w:val="32"/>
              </w:rPr>
              <w:t>（2）</w:t>
            </w:r>
            <w:r>
              <w:rPr>
                <w:bCs/>
                <w:sz w:val="24"/>
                <w:szCs w:val="32"/>
              </w:rPr>
              <w:t>评价工作等级</w:t>
            </w:r>
            <w:bookmarkEnd w:id="12"/>
          </w:p>
          <w:p w14:paraId="545E2122">
            <w:pPr>
              <w:autoSpaceDE w:val="0"/>
              <w:autoSpaceDN w:val="0"/>
              <w:spacing w:line="360" w:lineRule="auto"/>
              <w:ind w:firstLine="480" w:firstLineChars="200"/>
              <w:jc w:val="left"/>
              <w:rPr>
                <w:sz w:val="24"/>
              </w:rPr>
            </w:pPr>
            <w:r>
              <w:rPr>
                <w:sz w:val="24"/>
              </w:rPr>
              <w:t>根据《建设项目环境风险评价技术导则》（HJ/T169-2018），环境风险评价工作等级划分为一级、二级、三级。根据建设项目涉及的物质及工艺系统危险性和所在地的环境敏感性确定环境风险潜势，确定评价工作等级。风险潜势为IV及以上，进行一级评价；风险潜势为II，进行二级评价；风险潜势为II，进行三级评价；风险潜势为I，可开展简单分析。</w:t>
            </w:r>
          </w:p>
          <w:p w14:paraId="3A29F39D">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16</w:t>
            </w:r>
            <w:r>
              <w:rPr>
                <w:b/>
                <w:kern w:val="0"/>
                <w:sz w:val="24"/>
              </w:rPr>
              <w:t xml:space="preserve">  环境风险评价工作等级</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05"/>
              <w:gridCol w:w="1605"/>
              <w:gridCol w:w="1605"/>
              <w:gridCol w:w="1605"/>
            </w:tblGrid>
            <w:tr w14:paraId="1A863C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tcBorders>
                    <w:tl2br w:val="nil"/>
                    <w:tr2bl w:val="nil"/>
                  </w:tcBorders>
                  <w:vAlign w:val="center"/>
                </w:tcPr>
                <w:p w14:paraId="767394D7">
                  <w:pPr>
                    <w:widowControl/>
                    <w:adjustRightInd w:val="0"/>
                    <w:snapToGrid w:val="0"/>
                    <w:jc w:val="center"/>
                    <w:rPr>
                      <w:b/>
                      <w:kern w:val="0"/>
                    </w:rPr>
                  </w:pPr>
                  <w:r>
                    <w:rPr>
                      <w:b/>
                      <w:kern w:val="0"/>
                    </w:rPr>
                    <w:t>环境风险潜势</w:t>
                  </w:r>
                </w:p>
              </w:tc>
              <w:tc>
                <w:tcPr>
                  <w:tcW w:w="951" w:type="pct"/>
                  <w:tcBorders>
                    <w:tl2br w:val="nil"/>
                    <w:tr2bl w:val="nil"/>
                  </w:tcBorders>
                  <w:vAlign w:val="center"/>
                </w:tcPr>
                <w:p w14:paraId="4B21EEE5">
                  <w:pPr>
                    <w:widowControl/>
                    <w:adjustRightInd w:val="0"/>
                    <w:snapToGrid w:val="0"/>
                    <w:jc w:val="center"/>
                    <w:rPr>
                      <w:kern w:val="0"/>
                    </w:rPr>
                  </w:pPr>
                  <w:r>
                    <w:rPr>
                      <w:kern w:val="0"/>
                    </w:rPr>
                    <w:fldChar w:fldCharType="begin"/>
                  </w:r>
                  <w:r>
                    <w:rPr>
                      <w:kern w:val="0"/>
                    </w:rPr>
                    <w:instrText xml:space="preserve"> = 4 \* ROMAN </w:instrText>
                  </w:r>
                  <w:r>
                    <w:rPr>
                      <w:kern w:val="0"/>
                    </w:rPr>
                    <w:fldChar w:fldCharType="separate"/>
                  </w:r>
                  <w:r>
                    <w:rPr>
                      <w:kern w:val="0"/>
                    </w:rPr>
                    <w:t>IV</w:t>
                  </w:r>
                  <w:r>
                    <w:rPr>
                      <w:kern w:val="0"/>
                    </w:rPr>
                    <w:fldChar w:fldCharType="end"/>
                  </w:r>
                  <w:r>
                    <w:rPr>
                      <w:kern w:val="0"/>
                    </w:rPr>
                    <w:t>、</w:t>
                  </w:r>
                  <w:r>
                    <w:rPr>
                      <w:kern w:val="0"/>
                    </w:rPr>
                    <w:fldChar w:fldCharType="begin"/>
                  </w:r>
                  <w:r>
                    <w:rPr>
                      <w:kern w:val="0"/>
                    </w:rPr>
                    <w:instrText xml:space="preserve"> = 4 \* ROMAN </w:instrText>
                  </w:r>
                  <w:r>
                    <w:rPr>
                      <w:kern w:val="0"/>
                    </w:rPr>
                    <w:fldChar w:fldCharType="separate"/>
                  </w:r>
                  <w:r>
                    <w:rPr>
                      <w:kern w:val="0"/>
                    </w:rPr>
                    <w:t>IV</w:t>
                  </w:r>
                  <w:r>
                    <w:rPr>
                      <w:kern w:val="0"/>
                    </w:rPr>
                    <w:fldChar w:fldCharType="end"/>
                  </w:r>
                  <w:r>
                    <w:rPr>
                      <w:kern w:val="0"/>
                      <w:vertAlign w:val="superscript"/>
                    </w:rPr>
                    <w:t>+</w:t>
                  </w:r>
                </w:p>
              </w:tc>
              <w:tc>
                <w:tcPr>
                  <w:tcW w:w="951" w:type="pct"/>
                  <w:tcBorders>
                    <w:tl2br w:val="nil"/>
                    <w:tr2bl w:val="nil"/>
                  </w:tcBorders>
                  <w:vAlign w:val="center"/>
                </w:tcPr>
                <w:p w14:paraId="6FD6AB85">
                  <w:pPr>
                    <w:widowControl/>
                    <w:adjustRightInd w:val="0"/>
                    <w:snapToGrid w:val="0"/>
                    <w:jc w:val="center"/>
                    <w:rPr>
                      <w:kern w:val="0"/>
                    </w:rPr>
                  </w:pPr>
                  <w:r>
                    <w:rPr>
                      <w:kern w:val="0"/>
                    </w:rPr>
                    <w:fldChar w:fldCharType="begin"/>
                  </w:r>
                  <w:r>
                    <w:rPr>
                      <w:kern w:val="0"/>
                    </w:rPr>
                    <w:instrText xml:space="preserve"> = 3 \* ROMAN </w:instrText>
                  </w:r>
                  <w:r>
                    <w:rPr>
                      <w:kern w:val="0"/>
                    </w:rPr>
                    <w:fldChar w:fldCharType="separate"/>
                  </w:r>
                  <w:r>
                    <w:rPr>
                      <w:kern w:val="0"/>
                    </w:rPr>
                    <w:t>III</w:t>
                  </w:r>
                  <w:r>
                    <w:rPr>
                      <w:kern w:val="0"/>
                    </w:rPr>
                    <w:fldChar w:fldCharType="end"/>
                  </w:r>
                </w:p>
              </w:tc>
              <w:tc>
                <w:tcPr>
                  <w:tcW w:w="951" w:type="pct"/>
                  <w:tcBorders>
                    <w:tl2br w:val="nil"/>
                    <w:tr2bl w:val="nil"/>
                  </w:tcBorders>
                  <w:vAlign w:val="center"/>
                </w:tcPr>
                <w:p w14:paraId="197EEF7A">
                  <w:pPr>
                    <w:widowControl/>
                    <w:adjustRightInd w:val="0"/>
                    <w:snapToGrid w:val="0"/>
                    <w:jc w:val="center"/>
                    <w:rPr>
                      <w:kern w:val="0"/>
                    </w:rPr>
                  </w:pPr>
                  <w:r>
                    <w:rPr>
                      <w:kern w:val="0"/>
                    </w:rPr>
                    <w:fldChar w:fldCharType="begin"/>
                  </w:r>
                  <w:r>
                    <w:rPr>
                      <w:kern w:val="0"/>
                    </w:rPr>
                    <w:instrText xml:space="preserve"> = 2 \* ROMAN </w:instrText>
                  </w:r>
                  <w:r>
                    <w:rPr>
                      <w:kern w:val="0"/>
                    </w:rPr>
                    <w:fldChar w:fldCharType="separate"/>
                  </w:r>
                  <w:r>
                    <w:rPr>
                      <w:kern w:val="0"/>
                    </w:rPr>
                    <w:t>II</w:t>
                  </w:r>
                  <w:r>
                    <w:rPr>
                      <w:kern w:val="0"/>
                    </w:rPr>
                    <w:fldChar w:fldCharType="end"/>
                  </w:r>
                </w:p>
              </w:tc>
              <w:tc>
                <w:tcPr>
                  <w:tcW w:w="951" w:type="pct"/>
                  <w:tcBorders>
                    <w:tl2br w:val="nil"/>
                    <w:tr2bl w:val="nil"/>
                  </w:tcBorders>
                  <w:shd w:val="clear" w:color="auto" w:fill="BFBFBF"/>
                  <w:vAlign w:val="center"/>
                </w:tcPr>
                <w:p w14:paraId="35B5CD00">
                  <w:pPr>
                    <w:widowControl/>
                    <w:adjustRightInd w:val="0"/>
                    <w:snapToGrid w:val="0"/>
                    <w:jc w:val="center"/>
                    <w:rPr>
                      <w:kern w:val="0"/>
                    </w:rPr>
                  </w:pPr>
                  <w:r>
                    <w:rPr>
                      <w:kern w:val="0"/>
                    </w:rPr>
                    <w:fldChar w:fldCharType="begin"/>
                  </w:r>
                  <w:r>
                    <w:rPr>
                      <w:kern w:val="0"/>
                    </w:rPr>
                    <w:instrText xml:space="preserve"> = 1 \* ROMAN </w:instrText>
                  </w:r>
                  <w:r>
                    <w:rPr>
                      <w:kern w:val="0"/>
                    </w:rPr>
                    <w:fldChar w:fldCharType="separate"/>
                  </w:r>
                  <w:r>
                    <w:rPr>
                      <w:kern w:val="0"/>
                    </w:rPr>
                    <w:t>I</w:t>
                  </w:r>
                  <w:r>
                    <w:rPr>
                      <w:kern w:val="0"/>
                    </w:rPr>
                    <w:fldChar w:fldCharType="end"/>
                  </w:r>
                </w:p>
              </w:tc>
            </w:tr>
            <w:tr w14:paraId="6532E1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tcBorders>
                    <w:tl2br w:val="nil"/>
                    <w:tr2bl w:val="nil"/>
                  </w:tcBorders>
                  <w:vAlign w:val="center"/>
                </w:tcPr>
                <w:p w14:paraId="2ADA99AC">
                  <w:pPr>
                    <w:widowControl/>
                    <w:adjustRightInd w:val="0"/>
                    <w:snapToGrid w:val="0"/>
                    <w:jc w:val="center"/>
                    <w:rPr>
                      <w:b/>
                      <w:kern w:val="0"/>
                    </w:rPr>
                  </w:pPr>
                  <w:r>
                    <w:rPr>
                      <w:b/>
                      <w:kern w:val="0"/>
                    </w:rPr>
                    <w:t>评价工作等级</w:t>
                  </w:r>
                </w:p>
              </w:tc>
              <w:tc>
                <w:tcPr>
                  <w:tcW w:w="951" w:type="pct"/>
                  <w:tcBorders>
                    <w:tl2br w:val="nil"/>
                    <w:tr2bl w:val="nil"/>
                  </w:tcBorders>
                  <w:vAlign w:val="center"/>
                </w:tcPr>
                <w:p w14:paraId="1F4620B8">
                  <w:pPr>
                    <w:widowControl/>
                    <w:adjustRightInd w:val="0"/>
                    <w:snapToGrid w:val="0"/>
                    <w:jc w:val="center"/>
                    <w:rPr>
                      <w:kern w:val="0"/>
                    </w:rPr>
                  </w:pPr>
                  <w:r>
                    <w:rPr>
                      <w:kern w:val="0"/>
                    </w:rPr>
                    <w:t>一</w:t>
                  </w:r>
                </w:p>
              </w:tc>
              <w:tc>
                <w:tcPr>
                  <w:tcW w:w="951" w:type="pct"/>
                  <w:tcBorders>
                    <w:tl2br w:val="nil"/>
                    <w:tr2bl w:val="nil"/>
                  </w:tcBorders>
                  <w:vAlign w:val="center"/>
                </w:tcPr>
                <w:p w14:paraId="60620663">
                  <w:pPr>
                    <w:widowControl/>
                    <w:adjustRightInd w:val="0"/>
                    <w:snapToGrid w:val="0"/>
                    <w:jc w:val="center"/>
                    <w:rPr>
                      <w:kern w:val="0"/>
                    </w:rPr>
                  </w:pPr>
                  <w:r>
                    <w:rPr>
                      <w:kern w:val="0"/>
                    </w:rPr>
                    <w:t>二</w:t>
                  </w:r>
                </w:p>
              </w:tc>
              <w:tc>
                <w:tcPr>
                  <w:tcW w:w="951" w:type="pct"/>
                  <w:tcBorders>
                    <w:tl2br w:val="nil"/>
                    <w:tr2bl w:val="nil"/>
                  </w:tcBorders>
                  <w:vAlign w:val="center"/>
                </w:tcPr>
                <w:p w14:paraId="2B9BF21C">
                  <w:pPr>
                    <w:widowControl/>
                    <w:adjustRightInd w:val="0"/>
                    <w:snapToGrid w:val="0"/>
                    <w:jc w:val="center"/>
                    <w:rPr>
                      <w:kern w:val="0"/>
                    </w:rPr>
                  </w:pPr>
                  <w:r>
                    <w:rPr>
                      <w:kern w:val="0"/>
                    </w:rPr>
                    <w:t>三</w:t>
                  </w:r>
                </w:p>
              </w:tc>
              <w:tc>
                <w:tcPr>
                  <w:tcW w:w="951" w:type="pct"/>
                  <w:tcBorders>
                    <w:tl2br w:val="nil"/>
                    <w:tr2bl w:val="nil"/>
                  </w:tcBorders>
                  <w:shd w:val="clear" w:color="auto" w:fill="BFBFBF"/>
                  <w:vAlign w:val="center"/>
                </w:tcPr>
                <w:p w14:paraId="18A3F677">
                  <w:pPr>
                    <w:widowControl/>
                    <w:adjustRightInd w:val="0"/>
                    <w:snapToGrid w:val="0"/>
                    <w:jc w:val="center"/>
                    <w:rPr>
                      <w:kern w:val="0"/>
                    </w:rPr>
                  </w:pPr>
                  <w:r>
                    <w:rPr>
                      <w:kern w:val="0"/>
                    </w:rPr>
                    <w:t>简单分析</w:t>
                  </w:r>
                </w:p>
              </w:tc>
            </w:tr>
          </w:tbl>
          <w:p w14:paraId="6C146792">
            <w:pPr>
              <w:spacing w:before="120" w:beforeLines="50" w:line="360" w:lineRule="auto"/>
              <w:ind w:firstLine="480" w:firstLineChars="200"/>
              <w:rPr>
                <w:sz w:val="24"/>
              </w:rPr>
            </w:pPr>
            <w:r>
              <w:rPr>
                <w:sz w:val="24"/>
              </w:rPr>
              <w:t>因此，项目风险评价等级定为简单分析，根据导则要求，环境风险评价作简单分析，在描述危险物质、环境影响途径、环境危害后果、风险防范措施等方面给出定性的说明。</w:t>
            </w:r>
          </w:p>
          <w:p w14:paraId="65D642E0">
            <w:pPr>
              <w:keepNext/>
              <w:spacing w:line="360" w:lineRule="auto"/>
              <w:ind w:firstLine="482" w:firstLineChars="200"/>
              <w:outlineLvl w:val="1"/>
              <w:rPr>
                <w:b/>
                <w:bCs/>
                <w:sz w:val="24"/>
              </w:rPr>
            </w:pPr>
            <w:bookmarkStart w:id="13" w:name="_Toc474855796"/>
            <w:bookmarkStart w:id="14" w:name="_Toc481505277"/>
            <w:bookmarkStart w:id="15" w:name="_Toc63415122"/>
            <w:bookmarkStart w:id="16" w:name="_Toc60652802"/>
            <w:r>
              <w:rPr>
                <w:rFonts w:hint="eastAsia"/>
                <w:b/>
                <w:bCs/>
                <w:sz w:val="24"/>
              </w:rPr>
              <w:t>3、</w:t>
            </w:r>
            <w:r>
              <w:rPr>
                <w:b/>
                <w:bCs/>
                <w:sz w:val="24"/>
              </w:rPr>
              <w:t>环境风险</w:t>
            </w:r>
            <w:bookmarkEnd w:id="13"/>
            <w:bookmarkEnd w:id="14"/>
            <w:r>
              <w:rPr>
                <w:b/>
                <w:bCs/>
                <w:sz w:val="24"/>
              </w:rPr>
              <w:t>识别</w:t>
            </w:r>
            <w:bookmarkEnd w:id="15"/>
            <w:bookmarkEnd w:id="16"/>
          </w:p>
          <w:p w14:paraId="67D06882">
            <w:pPr>
              <w:snapToGrid w:val="0"/>
              <w:spacing w:line="360" w:lineRule="auto"/>
              <w:ind w:firstLine="480"/>
              <w:rPr>
                <w:sz w:val="24"/>
              </w:rPr>
            </w:pPr>
            <w:r>
              <w:rPr>
                <w:rFonts w:hint="eastAsia"/>
                <w:sz w:val="24"/>
              </w:rPr>
              <w:t>根据</w:t>
            </w:r>
            <w:r>
              <w:rPr>
                <w:rFonts w:hint="eastAsia"/>
                <w:kern w:val="0"/>
                <w:sz w:val="24"/>
              </w:rPr>
              <w:t>《建设项目环境风险评价技术导则》（</w:t>
            </w:r>
            <w:r>
              <w:rPr>
                <w:kern w:val="0"/>
                <w:sz w:val="24"/>
              </w:rPr>
              <w:t>HJ169-2018</w:t>
            </w:r>
            <w:r>
              <w:rPr>
                <w:rFonts w:hint="eastAsia"/>
                <w:kern w:val="0"/>
                <w:sz w:val="24"/>
              </w:rPr>
              <w:t>）</w:t>
            </w:r>
            <w:r>
              <w:rPr>
                <w:rFonts w:hint="eastAsia"/>
                <w:sz w:val="24"/>
              </w:rPr>
              <w:t>，风险识别内容主要包括物质危险性识别、生产系统危险性识别和危险物质向环境转移的途径识别。</w:t>
            </w:r>
          </w:p>
          <w:p w14:paraId="41463AF6">
            <w:pPr>
              <w:snapToGrid w:val="0"/>
              <w:spacing w:line="360" w:lineRule="auto"/>
              <w:ind w:firstLine="480"/>
              <w:rPr>
                <w:sz w:val="24"/>
              </w:rPr>
            </w:pPr>
            <w:r>
              <w:rPr>
                <w:rFonts w:hint="eastAsia"/>
                <w:sz w:val="24"/>
              </w:rPr>
              <w:t>物质危险性识别：包括主要原辅材料、燃料、中间产品、副产品、最终产品、污染物、火灾和爆炸伴生</w:t>
            </w:r>
            <w:r>
              <w:rPr>
                <w:sz w:val="24"/>
              </w:rPr>
              <w:t>/</w:t>
            </w:r>
            <w:r>
              <w:rPr>
                <w:rFonts w:hint="eastAsia"/>
                <w:sz w:val="24"/>
              </w:rPr>
              <w:t>次生物等。</w:t>
            </w:r>
          </w:p>
          <w:p w14:paraId="3E50D33F">
            <w:pPr>
              <w:snapToGrid w:val="0"/>
              <w:spacing w:line="360" w:lineRule="auto"/>
              <w:ind w:firstLine="480"/>
              <w:rPr>
                <w:sz w:val="24"/>
              </w:rPr>
            </w:pPr>
            <w:r>
              <w:rPr>
                <w:rFonts w:hint="eastAsia"/>
                <w:sz w:val="24"/>
              </w:rPr>
              <w:t>生产系统危险性识别：包括主要生产装置、储运设施、公用工程和辅助生产设施，以及环境保护设施。</w:t>
            </w:r>
          </w:p>
          <w:p w14:paraId="3DC4F699">
            <w:pPr>
              <w:snapToGrid w:val="0"/>
              <w:spacing w:line="360" w:lineRule="auto"/>
              <w:ind w:firstLine="480"/>
              <w:rPr>
                <w:sz w:val="24"/>
              </w:rPr>
            </w:pPr>
            <w:r>
              <w:rPr>
                <w:rFonts w:hint="eastAsia"/>
                <w:sz w:val="24"/>
              </w:rPr>
              <w:t>危险物质向环境转移的途径识别：包括分析危险物质特性及可能的环境风险类型，识别危险物质影响环境的途径，分析可能影响的环境敏感目标。</w:t>
            </w:r>
          </w:p>
          <w:p w14:paraId="483515D6">
            <w:pPr>
              <w:keepNext/>
              <w:keepLines/>
              <w:spacing w:line="360" w:lineRule="auto"/>
              <w:ind w:firstLine="352" w:firstLineChars="147"/>
              <w:outlineLvl w:val="2"/>
              <w:rPr>
                <w:bCs/>
                <w:sz w:val="24"/>
                <w:szCs w:val="32"/>
              </w:rPr>
            </w:pPr>
            <w:r>
              <w:rPr>
                <w:rFonts w:hint="eastAsia"/>
                <w:bCs/>
                <w:sz w:val="24"/>
                <w:szCs w:val="32"/>
              </w:rPr>
              <w:t>（1）物质危险性识别</w:t>
            </w:r>
          </w:p>
          <w:p w14:paraId="328DA16A">
            <w:pPr>
              <w:autoSpaceDE w:val="0"/>
              <w:autoSpaceDN w:val="0"/>
              <w:adjustRightInd w:val="0"/>
              <w:spacing w:line="360" w:lineRule="auto"/>
              <w:ind w:firstLine="480" w:firstLineChars="200"/>
              <w:jc w:val="left"/>
              <w:rPr>
                <w:kern w:val="0"/>
                <w:sz w:val="24"/>
              </w:rPr>
            </w:pPr>
            <w:r>
              <w:rPr>
                <w:rFonts w:hint="eastAsia"/>
                <w:kern w:val="0"/>
                <w:sz w:val="24"/>
              </w:rPr>
              <w:t>参考《建设项目环境风险评价技术导则》（</w:t>
            </w:r>
            <w:r>
              <w:rPr>
                <w:kern w:val="0"/>
                <w:sz w:val="24"/>
              </w:rPr>
              <w:t>HJ169-2018</w:t>
            </w:r>
            <w:r>
              <w:rPr>
                <w:rFonts w:hint="eastAsia"/>
                <w:kern w:val="0"/>
                <w:sz w:val="24"/>
              </w:rPr>
              <w:t>）、《环境风险评价实用技术和方法》（胡二邦主编）、《国家安全监管总局办公厅关于印发首批重点监管的危险化学品安全措施和应急处置原则的通知》（安监总厅管三〔</w:t>
            </w:r>
            <w:r>
              <w:rPr>
                <w:kern w:val="0"/>
                <w:sz w:val="24"/>
              </w:rPr>
              <w:t>2011</w:t>
            </w:r>
            <w:r>
              <w:rPr>
                <w:rFonts w:hint="eastAsia"/>
                <w:kern w:val="0"/>
                <w:sz w:val="24"/>
              </w:rPr>
              <w:t>〕</w:t>
            </w:r>
            <w:r>
              <w:rPr>
                <w:kern w:val="0"/>
                <w:sz w:val="24"/>
              </w:rPr>
              <w:t>142</w:t>
            </w:r>
            <w:r>
              <w:rPr>
                <w:rFonts w:hint="eastAsia"/>
                <w:kern w:val="0"/>
                <w:sz w:val="24"/>
              </w:rPr>
              <w:t>号）、《危险化学品安全技术全书》（化学工业出版社）、《职业性接触毒物危害程度分级》（</w:t>
            </w:r>
            <w:r>
              <w:rPr>
                <w:kern w:val="0"/>
                <w:sz w:val="24"/>
              </w:rPr>
              <w:t>GBZ230-2010</w:t>
            </w:r>
            <w:r>
              <w:rPr>
                <w:rFonts w:hint="eastAsia"/>
                <w:kern w:val="0"/>
                <w:sz w:val="24"/>
              </w:rPr>
              <w:t>）等技术资料，对拟建项目涉及危险物质的特性进行分析</w:t>
            </w:r>
            <w:r>
              <w:rPr>
                <w:kern w:val="0"/>
                <w:sz w:val="24"/>
              </w:rPr>
              <w:t>。</w:t>
            </w:r>
            <w:r>
              <w:rPr>
                <w:rFonts w:hint="eastAsia"/>
                <w:kern w:val="0"/>
                <w:sz w:val="24"/>
              </w:rPr>
              <w:t>项目主要危险物质理化性质及毒理学特性参数见下表。</w:t>
            </w:r>
          </w:p>
          <w:p w14:paraId="49CF95F7">
            <w:pPr>
              <w:widowControl/>
              <w:ind w:firstLine="482" w:firstLineChars="200"/>
              <w:jc w:val="cente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表4-</w:t>
            </w:r>
            <w:r>
              <w:rPr>
                <w:rFonts w:hint="eastAsia" w:cs="Times New Roman"/>
                <w:b/>
                <w:caps w:val="0"/>
                <w:color w:val="000000" w:themeColor="text1"/>
                <w:kern w:val="0"/>
                <w:sz w:val="24"/>
                <w:szCs w:val="20"/>
                <w:highlight w:val="none"/>
                <w:lang w:val="en-US" w:eastAsia="zh-CN"/>
                <w14:textFill>
                  <w14:solidFill>
                    <w14:schemeClr w14:val="tx1"/>
                  </w14:solidFill>
                </w14:textFill>
              </w:rPr>
              <w:t>17</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kern w:val="0"/>
                <w:sz w:val="24"/>
                <w:szCs w:val="20"/>
                <w:highlight w:val="none"/>
                <w:lang w:val="en-US" w:eastAsia="zh-CN"/>
                <w14:textFill>
                  <w14:solidFill>
                    <w14:schemeClr w14:val="tx1"/>
                  </w14:solidFill>
                </w14:textFill>
              </w:rPr>
              <w:t>厂区</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环境风险识别表</w:t>
            </w:r>
          </w:p>
          <w:tbl>
            <w:tblPr>
              <w:tblStyle w:val="58"/>
              <w:tblW w:w="843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424"/>
              <w:gridCol w:w="829"/>
              <w:gridCol w:w="1628"/>
              <w:gridCol w:w="1729"/>
              <w:gridCol w:w="1584"/>
              <w:gridCol w:w="2243"/>
            </w:tblGrid>
            <w:tr w14:paraId="556EB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18" w:hRule="atLeast"/>
                <w:tblHeader/>
              </w:trPr>
              <w:tc>
                <w:tcPr>
                  <w:tcW w:w="251" w:type="pct"/>
                  <w:tcBorders>
                    <w:tl2br w:val="nil"/>
                    <w:tr2bl w:val="nil"/>
                  </w:tcBorders>
                  <w:vAlign w:val="center"/>
                </w:tcPr>
                <w:p w14:paraId="18CE23D6">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序号</w:t>
                  </w:r>
                </w:p>
              </w:tc>
              <w:tc>
                <w:tcPr>
                  <w:tcW w:w="491" w:type="pct"/>
                  <w:tcBorders>
                    <w:tl2br w:val="nil"/>
                    <w:tr2bl w:val="nil"/>
                  </w:tcBorders>
                  <w:vAlign w:val="center"/>
                </w:tcPr>
                <w:p w14:paraId="4537B3F1">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风险单元</w:t>
                  </w:r>
                </w:p>
              </w:tc>
              <w:tc>
                <w:tcPr>
                  <w:tcW w:w="964" w:type="pct"/>
                  <w:tcBorders>
                    <w:tl2br w:val="nil"/>
                    <w:tr2bl w:val="nil"/>
                  </w:tcBorders>
                  <w:vAlign w:val="center"/>
                </w:tcPr>
                <w:p w14:paraId="4B6C29BD">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主要危险物质</w:t>
                  </w:r>
                </w:p>
              </w:tc>
              <w:tc>
                <w:tcPr>
                  <w:tcW w:w="1024" w:type="pct"/>
                  <w:tcBorders>
                    <w:tl2br w:val="nil"/>
                    <w:tr2bl w:val="nil"/>
                  </w:tcBorders>
                  <w:vAlign w:val="center"/>
                </w:tcPr>
                <w:p w14:paraId="59348A1C">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环境风险类型</w:t>
                  </w:r>
                </w:p>
              </w:tc>
              <w:tc>
                <w:tcPr>
                  <w:tcW w:w="938" w:type="pct"/>
                  <w:tcBorders>
                    <w:tl2br w:val="nil"/>
                    <w:tr2bl w:val="nil"/>
                  </w:tcBorders>
                  <w:vAlign w:val="center"/>
                </w:tcPr>
                <w:p w14:paraId="00D9F8E7">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环境影响途径</w:t>
                  </w:r>
                </w:p>
              </w:tc>
              <w:tc>
                <w:tcPr>
                  <w:tcW w:w="1328" w:type="pct"/>
                  <w:tcBorders>
                    <w:tl2br w:val="nil"/>
                    <w:tr2bl w:val="nil"/>
                  </w:tcBorders>
                  <w:vAlign w:val="center"/>
                </w:tcPr>
                <w:p w14:paraId="5EE31D53">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可能受影响的环境敏感</w:t>
                  </w:r>
                </w:p>
              </w:tc>
            </w:tr>
            <w:tr w14:paraId="4B93E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96" w:hRule="atLeast"/>
              </w:trPr>
              <w:tc>
                <w:tcPr>
                  <w:tcW w:w="251" w:type="pct"/>
                  <w:tcBorders>
                    <w:tl2br w:val="nil"/>
                    <w:tr2bl w:val="nil"/>
                  </w:tcBorders>
                  <w:vAlign w:val="center"/>
                </w:tcPr>
                <w:p w14:paraId="3339F015">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1</w:t>
                  </w:r>
                </w:p>
              </w:tc>
              <w:tc>
                <w:tcPr>
                  <w:tcW w:w="491" w:type="pct"/>
                  <w:tcBorders>
                    <w:tl2br w:val="nil"/>
                    <w:tr2bl w:val="nil"/>
                  </w:tcBorders>
                  <w:vAlign w:val="center"/>
                </w:tcPr>
                <w:p w14:paraId="2E2E7B2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cs="Times New Roman"/>
                      <w:caps w:val="0"/>
                      <w:color w:val="000000" w:themeColor="text1"/>
                      <w:kern w:val="0"/>
                      <w:szCs w:val="21"/>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库</w:t>
                  </w:r>
                </w:p>
              </w:tc>
              <w:tc>
                <w:tcPr>
                  <w:tcW w:w="964" w:type="pct"/>
                  <w:tcBorders>
                    <w:tl2br w:val="nil"/>
                    <w:tr2bl w:val="nil"/>
                  </w:tcBorders>
                  <w:vAlign w:val="center"/>
                </w:tcPr>
                <w:p w14:paraId="4D205148">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1024" w:type="pct"/>
                  <w:tcBorders>
                    <w:tl2br w:val="nil"/>
                    <w:tr2bl w:val="nil"/>
                  </w:tcBorders>
                  <w:vAlign w:val="center"/>
                </w:tcPr>
                <w:p w14:paraId="7CDA833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8" w:type="pct"/>
                  <w:tcBorders>
                    <w:tl2br w:val="nil"/>
                    <w:tr2bl w:val="nil"/>
                  </w:tcBorders>
                  <w:vAlign w:val="center"/>
                </w:tcPr>
                <w:p w14:paraId="402AFC88">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8" w:type="pct"/>
                  <w:tcBorders>
                    <w:tl2br w:val="nil"/>
                    <w:tr2bl w:val="nil"/>
                  </w:tcBorders>
                  <w:vAlign w:val="center"/>
                </w:tcPr>
                <w:p w14:paraId="7803360A">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r w14:paraId="5DA43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251" w:type="pct"/>
                  <w:tcBorders>
                    <w:tl2br w:val="nil"/>
                    <w:tr2bl w:val="nil"/>
                  </w:tcBorders>
                  <w:vAlign w:val="center"/>
                </w:tcPr>
                <w:p w14:paraId="6CB92806">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2</w:t>
                  </w:r>
                </w:p>
              </w:tc>
              <w:tc>
                <w:tcPr>
                  <w:tcW w:w="491" w:type="pct"/>
                  <w:tcBorders>
                    <w:tl2br w:val="nil"/>
                    <w:tr2bl w:val="nil"/>
                  </w:tcBorders>
                  <w:vAlign w:val="center"/>
                </w:tcPr>
                <w:p w14:paraId="4F848399">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危废暂存库</w:t>
                  </w:r>
                </w:p>
              </w:tc>
              <w:tc>
                <w:tcPr>
                  <w:tcW w:w="964" w:type="pct"/>
                  <w:tcBorders>
                    <w:tl2br w:val="nil"/>
                    <w:tr2bl w:val="nil"/>
                  </w:tcBorders>
                  <w:vAlign w:val="center"/>
                </w:tcPr>
                <w:p w14:paraId="5F4BD580">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危险废物</w:t>
                  </w:r>
                </w:p>
              </w:tc>
              <w:tc>
                <w:tcPr>
                  <w:tcW w:w="1024" w:type="pct"/>
                  <w:tcBorders>
                    <w:tl2br w:val="nil"/>
                    <w:tr2bl w:val="nil"/>
                  </w:tcBorders>
                  <w:vAlign w:val="center"/>
                </w:tcPr>
                <w:p w14:paraId="2FC373D2">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8" w:type="pct"/>
                  <w:tcBorders>
                    <w:tl2br w:val="nil"/>
                    <w:tr2bl w:val="nil"/>
                  </w:tcBorders>
                  <w:vAlign w:val="center"/>
                </w:tcPr>
                <w:p w14:paraId="0263219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8" w:type="pct"/>
                  <w:tcBorders>
                    <w:tl2br w:val="nil"/>
                    <w:tr2bl w:val="nil"/>
                  </w:tcBorders>
                  <w:vAlign w:val="center"/>
                </w:tcPr>
                <w:p w14:paraId="732BA37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bl>
          <w:p w14:paraId="3EA78041">
            <w:pPr>
              <w:keepNext/>
              <w:keepLines/>
              <w:spacing w:before="100" w:beforeAutospacing="1" w:line="360" w:lineRule="auto"/>
              <w:ind w:firstLine="470" w:firstLineChars="196"/>
              <w:outlineLvl w:val="2"/>
              <w:rPr>
                <w:bCs/>
                <w:sz w:val="24"/>
                <w:szCs w:val="32"/>
              </w:rPr>
            </w:pPr>
            <w:r>
              <w:rPr>
                <w:rFonts w:hint="eastAsia"/>
                <w:bCs/>
                <w:sz w:val="24"/>
                <w:szCs w:val="32"/>
              </w:rPr>
              <w:t>（2）</w:t>
            </w:r>
            <w:r>
              <w:rPr>
                <w:bCs/>
                <w:sz w:val="24"/>
                <w:szCs w:val="32"/>
              </w:rPr>
              <w:t>生产系统风险性识别</w:t>
            </w:r>
          </w:p>
          <w:p w14:paraId="3AF00193">
            <w:pPr>
              <w:autoSpaceDE w:val="0"/>
              <w:autoSpaceDN w:val="0"/>
              <w:adjustRightInd w:val="0"/>
              <w:spacing w:line="360" w:lineRule="auto"/>
              <w:ind w:firstLine="480" w:firstLineChars="200"/>
              <w:jc w:val="left"/>
              <w:rPr>
                <w:sz w:val="24"/>
              </w:rPr>
            </w:pPr>
            <w:r>
              <w:rPr>
                <w:sz w:val="24"/>
              </w:rPr>
              <w:t>本次评价主要针对拟建项目生产系统风险进行识别主要包括拟建项目生产装置、全厂储运系统、公用工程和环保工程。</w:t>
            </w:r>
          </w:p>
          <w:p w14:paraId="24793494">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18</w:t>
            </w:r>
            <w:r>
              <w:rPr>
                <w:b/>
                <w:kern w:val="0"/>
                <w:sz w:val="24"/>
              </w:rPr>
              <w:t xml:space="preserve">  生产系统风险性识别情况一览表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219"/>
              <w:gridCol w:w="1134"/>
              <w:gridCol w:w="2014"/>
              <w:gridCol w:w="1301"/>
              <w:gridCol w:w="2109"/>
            </w:tblGrid>
            <w:tr w14:paraId="7C314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58E2D2E1">
                  <w:pPr>
                    <w:snapToGrid w:val="0"/>
                    <w:jc w:val="center"/>
                    <w:rPr>
                      <w:b/>
                      <w:kern w:val="0"/>
                      <w:szCs w:val="21"/>
                    </w:rPr>
                  </w:pPr>
                  <w:r>
                    <w:rPr>
                      <w:b/>
                      <w:kern w:val="0"/>
                      <w:szCs w:val="21"/>
                    </w:rPr>
                    <w:t>序号</w:t>
                  </w:r>
                </w:p>
              </w:tc>
              <w:tc>
                <w:tcPr>
                  <w:tcW w:w="722" w:type="pct"/>
                  <w:tcBorders>
                    <w:tl2br w:val="nil"/>
                    <w:tr2bl w:val="nil"/>
                  </w:tcBorders>
                  <w:vAlign w:val="center"/>
                </w:tcPr>
                <w:p w14:paraId="10C0D5A9">
                  <w:pPr>
                    <w:snapToGrid w:val="0"/>
                    <w:jc w:val="center"/>
                    <w:rPr>
                      <w:b/>
                      <w:kern w:val="0"/>
                      <w:szCs w:val="21"/>
                    </w:rPr>
                  </w:pPr>
                  <w:r>
                    <w:rPr>
                      <w:b/>
                      <w:kern w:val="0"/>
                      <w:szCs w:val="21"/>
                    </w:rPr>
                    <w:t>设施</w:t>
                  </w:r>
                </w:p>
              </w:tc>
              <w:tc>
                <w:tcPr>
                  <w:tcW w:w="672" w:type="pct"/>
                  <w:tcBorders>
                    <w:tl2br w:val="nil"/>
                    <w:tr2bl w:val="nil"/>
                  </w:tcBorders>
                  <w:vAlign w:val="center"/>
                </w:tcPr>
                <w:p w14:paraId="50D178A7">
                  <w:pPr>
                    <w:snapToGrid w:val="0"/>
                    <w:jc w:val="center"/>
                    <w:rPr>
                      <w:b/>
                      <w:kern w:val="0"/>
                      <w:szCs w:val="21"/>
                    </w:rPr>
                  </w:pPr>
                  <w:r>
                    <w:rPr>
                      <w:b/>
                      <w:kern w:val="0"/>
                      <w:szCs w:val="21"/>
                    </w:rPr>
                    <w:t>危险单元</w:t>
                  </w:r>
                </w:p>
              </w:tc>
              <w:tc>
                <w:tcPr>
                  <w:tcW w:w="1193" w:type="pct"/>
                  <w:tcBorders>
                    <w:tl2br w:val="nil"/>
                    <w:tr2bl w:val="nil"/>
                  </w:tcBorders>
                  <w:vAlign w:val="center"/>
                </w:tcPr>
                <w:p w14:paraId="0F0E8AB8">
                  <w:pPr>
                    <w:snapToGrid w:val="0"/>
                    <w:jc w:val="center"/>
                    <w:rPr>
                      <w:b/>
                      <w:kern w:val="0"/>
                      <w:szCs w:val="21"/>
                    </w:rPr>
                  </w:pPr>
                  <w:r>
                    <w:rPr>
                      <w:b/>
                      <w:kern w:val="0"/>
                      <w:szCs w:val="21"/>
                    </w:rPr>
                    <w:t>主要危险物质</w:t>
                  </w:r>
                </w:p>
              </w:tc>
              <w:tc>
                <w:tcPr>
                  <w:tcW w:w="771" w:type="pct"/>
                  <w:tcBorders>
                    <w:tl2br w:val="nil"/>
                    <w:tr2bl w:val="nil"/>
                  </w:tcBorders>
                  <w:vAlign w:val="center"/>
                </w:tcPr>
                <w:p w14:paraId="3BEC6579">
                  <w:pPr>
                    <w:snapToGrid w:val="0"/>
                    <w:jc w:val="center"/>
                    <w:rPr>
                      <w:b/>
                      <w:kern w:val="0"/>
                      <w:szCs w:val="21"/>
                    </w:rPr>
                  </w:pPr>
                  <w:r>
                    <w:rPr>
                      <w:b/>
                      <w:kern w:val="0"/>
                      <w:szCs w:val="21"/>
                    </w:rPr>
                    <w:t>事故类型</w:t>
                  </w:r>
                </w:p>
              </w:tc>
              <w:tc>
                <w:tcPr>
                  <w:tcW w:w="1249" w:type="pct"/>
                  <w:tcBorders>
                    <w:tl2br w:val="nil"/>
                    <w:tr2bl w:val="nil"/>
                  </w:tcBorders>
                  <w:vAlign w:val="center"/>
                </w:tcPr>
                <w:p w14:paraId="76FDA85F">
                  <w:pPr>
                    <w:snapToGrid w:val="0"/>
                    <w:jc w:val="center"/>
                    <w:rPr>
                      <w:b/>
                      <w:kern w:val="0"/>
                      <w:szCs w:val="21"/>
                    </w:rPr>
                  </w:pPr>
                  <w:r>
                    <w:rPr>
                      <w:b/>
                      <w:kern w:val="0"/>
                      <w:szCs w:val="21"/>
                    </w:rPr>
                    <w:t>原因</w:t>
                  </w:r>
                </w:p>
              </w:tc>
            </w:tr>
            <w:tr w14:paraId="3A5E9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098D6D93">
                  <w:pPr>
                    <w:snapToGrid w:val="0"/>
                    <w:jc w:val="center"/>
                    <w:rPr>
                      <w:kern w:val="0"/>
                      <w:szCs w:val="21"/>
                    </w:rPr>
                  </w:pPr>
                  <w:r>
                    <w:rPr>
                      <w:kern w:val="0"/>
                      <w:szCs w:val="21"/>
                    </w:rPr>
                    <w:t>1</w:t>
                  </w:r>
                </w:p>
              </w:tc>
              <w:tc>
                <w:tcPr>
                  <w:tcW w:w="722" w:type="pct"/>
                  <w:tcBorders>
                    <w:tl2br w:val="nil"/>
                    <w:tr2bl w:val="nil"/>
                  </w:tcBorders>
                  <w:vAlign w:val="center"/>
                </w:tcPr>
                <w:p w14:paraId="11B15F92">
                  <w:pPr>
                    <w:snapToGrid w:val="0"/>
                    <w:jc w:val="center"/>
                    <w:rPr>
                      <w:kern w:val="0"/>
                      <w:szCs w:val="21"/>
                    </w:rPr>
                  </w:pPr>
                  <w:r>
                    <w:rPr>
                      <w:kern w:val="0"/>
                      <w:szCs w:val="21"/>
                    </w:rPr>
                    <w:t>环保系统</w:t>
                  </w:r>
                </w:p>
              </w:tc>
              <w:tc>
                <w:tcPr>
                  <w:tcW w:w="672" w:type="pct"/>
                  <w:tcBorders>
                    <w:tl2br w:val="nil"/>
                    <w:tr2bl w:val="nil"/>
                  </w:tcBorders>
                  <w:vAlign w:val="center"/>
                </w:tcPr>
                <w:p w14:paraId="5CAC1C3C">
                  <w:pPr>
                    <w:snapToGrid w:val="0"/>
                    <w:jc w:val="center"/>
                    <w:rPr>
                      <w:kern w:val="0"/>
                      <w:szCs w:val="21"/>
                    </w:rPr>
                  </w:pPr>
                  <w:r>
                    <w:rPr>
                      <w:kern w:val="0"/>
                      <w:szCs w:val="21"/>
                    </w:rPr>
                    <w:t>废气处理</w:t>
                  </w:r>
                </w:p>
              </w:tc>
              <w:tc>
                <w:tcPr>
                  <w:tcW w:w="1193" w:type="pct"/>
                  <w:tcBorders>
                    <w:tl2br w:val="nil"/>
                    <w:tr2bl w:val="nil"/>
                  </w:tcBorders>
                  <w:vAlign w:val="center"/>
                </w:tcPr>
                <w:p w14:paraId="51C40C7A">
                  <w:pPr>
                    <w:snapToGrid w:val="0"/>
                    <w:jc w:val="center"/>
                    <w:rPr>
                      <w:kern w:val="0"/>
                      <w:szCs w:val="21"/>
                    </w:rPr>
                  </w:pPr>
                  <w:r>
                    <w:rPr>
                      <w:rFonts w:hint="eastAsia"/>
                      <w:caps w:val="0"/>
                      <w:color w:val="000000" w:themeColor="text1"/>
                      <w:szCs w:val="21"/>
                      <w:highlight w:val="none"/>
                      <w:lang w:val="en-US" w:eastAsia="zh-CN"/>
                      <w14:textFill>
                        <w14:solidFill>
                          <w14:schemeClr w14:val="tx1"/>
                        </w14:solidFill>
                      </w14:textFill>
                    </w:rPr>
                    <w:t>非甲烷总烃</w:t>
                  </w:r>
                  <w:r>
                    <w:rPr>
                      <w:rFonts w:hint="eastAsia"/>
                      <w:szCs w:val="21"/>
                    </w:rPr>
                    <w:t>、酚类、氯苯类、甲苯、乙苯、苯乙烯、</w:t>
                  </w:r>
                  <w:r>
                    <w:rPr>
                      <w:rFonts w:hint="eastAsia"/>
                      <w:szCs w:val="21"/>
                      <w:lang w:val="en-US" w:eastAsia="zh-CN"/>
                    </w:rPr>
                    <w:t>二氯甲烷、</w:t>
                  </w:r>
                  <w:r>
                    <w:rPr>
                      <w:rFonts w:hint="eastAsia"/>
                      <w:szCs w:val="21"/>
                    </w:rPr>
                    <w:t>臭气浓度</w:t>
                  </w:r>
                </w:p>
              </w:tc>
              <w:tc>
                <w:tcPr>
                  <w:tcW w:w="771" w:type="pct"/>
                  <w:tcBorders>
                    <w:tl2br w:val="nil"/>
                    <w:tr2bl w:val="nil"/>
                  </w:tcBorders>
                  <w:vAlign w:val="center"/>
                </w:tcPr>
                <w:p w14:paraId="691F86A0">
                  <w:pPr>
                    <w:snapToGrid w:val="0"/>
                    <w:jc w:val="center"/>
                    <w:rPr>
                      <w:kern w:val="0"/>
                      <w:szCs w:val="21"/>
                    </w:rPr>
                  </w:pPr>
                  <w:r>
                    <w:rPr>
                      <w:kern w:val="0"/>
                      <w:szCs w:val="21"/>
                    </w:rPr>
                    <w:t>超标排放</w:t>
                  </w:r>
                </w:p>
              </w:tc>
              <w:tc>
                <w:tcPr>
                  <w:tcW w:w="1249" w:type="pct"/>
                  <w:tcBorders>
                    <w:tl2br w:val="nil"/>
                    <w:tr2bl w:val="nil"/>
                  </w:tcBorders>
                  <w:vAlign w:val="center"/>
                </w:tcPr>
                <w:p w14:paraId="797C8DF3">
                  <w:pPr>
                    <w:snapToGrid w:val="0"/>
                    <w:ind w:left="-105" w:leftChars="-50" w:right="-105" w:rightChars="-50"/>
                    <w:jc w:val="center"/>
                    <w:rPr>
                      <w:kern w:val="0"/>
                      <w:szCs w:val="21"/>
                    </w:rPr>
                  </w:pPr>
                  <w:r>
                    <w:rPr>
                      <w:kern w:val="0"/>
                      <w:szCs w:val="21"/>
                    </w:rPr>
                    <w:t>事故性排放、误操作等</w:t>
                  </w:r>
                </w:p>
              </w:tc>
            </w:tr>
            <w:tr w14:paraId="716F0B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619B2046">
                  <w:pPr>
                    <w:snapToGrid w:val="0"/>
                    <w:jc w:val="center"/>
                    <w:rPr>
                      <w:rFonts w:hint="eastAsia" w:eastAsia="宋体"/>
                      <w:kern w:val="0"/>
                      <w:szCs w:val="21"/>
                      <w:lang w:eastAsia="zh-CN"/>
                    </w:rPr>
                  </w:pPr>
                  <w:r>
                    <w:rPr>
                      <w:rFonts w:hint="eastAsia"/>
                      <w:kern w:val="0"/>
                      <w:szCs w:val="21"/>
                      <w:lang w:val="en-US" w:eastAsia="zh-CN"/>
                    </w:rPr>
                    <w:t>2</w:t>
                  </w:r>
                </w:p>
              </w:tc>
              <w:tc>
                <w:tcPr>
                  <w:tcW w:w="722" w:type="pct"/>
                  <w:tcBorders>
                    <w:tl2br w:val="nil"/>
                    <w:tr2bl w:val="nil"/>
                  </w:tcBorders>
                  <w:vAlign w:val="center"/>
                </w:tcPr>
                <w:p w14:paraId="1731FA0B">
                  <w:pPr>
                    <w:snapToGrid w:val="0"/>
                    <w:jc w:val="center"/>
                    <w:rPr>
                      <w:kern w:val="0"/>
                      <w:szCs w:val="21"/>
                    </w:rPr>
                  </w:pPr>
                  <w:r>
                    <w:rPr>
                      <w:kern w:val="0"/>
                      <w:szCs w:val="21"/>
                    </w:rPr>
                    <w:t>原料区</w:t>
                  </w:r>
                </w:p>
              </w:tc>
              <w:tc>
                <w:tcPr>
                  <w:tcW w:w="672" w:type="pct"/>
                  <w:tcBorders>
                    <w:tl2br w:val="nil"/>
                    <w:tr2bl w:val="nil"/>
                  </w:tcBorders>
                  <w:vAlign w:val="center"/>
                </w:tcPr>
                <w:p w14:paraId="73523EF3">
                  <w:pPr>
                    <w:snapToGrid w:val="0"/>
                    <w:jc w:val="center"/>
                    <w:rPr>
                      <w:kern w:val="0"/>
                      <w:szCs w:val="21"/>
                    </w:rPr>
                  </w:pPr>
                  <w:r>
                    <w:rPr>
                      <w:kern w:val="0"/>
                      <w:szCs w:val="21"/>
                    </w:rPr>
                    <w:t>润滑油暂存处</w:t>
                  </w:r>
                </w:p>
              </w:tc>
              <w:tc>
                <w:tcPr>
                  <w:tcW w:w="1193" w:type="pct"/>
                  <w:tcBorders>
                    <w:tl2br w:val="nil"/>
                    <w:tr2bl w:val="nil"/>
                  </w:tcBorders>
                  <w:vAlign w:val="center"/>
                </w:tcPr>
                <w:p w14:paraId="3545F101">
                  <w:pPr>
                    <w:snapToGrid w:val="0"/>
                    <w:jc w:val="center"/>
                    <w:rPr>
                      <w:kern w:val="0"/>
                      <w:szCs w:val="21"/>
                    </w:rPr>
                  </w:pPr>
                  <w:r>
                    <w:rPr>
                      <w:kern w:val="0"/>
                      <w:szCs w:val="21"/>
                    </w:rPr>
                    <w:t>润滑油</w:t>
                  </w:r>
                </w:p>
              </w:tc>
              <w:tc>
                <w:tcPr>
                  <w:tcW w:w="771" w:type="pct"/>
                  <w:tcBorders>
                    <w:tl2br w:val="nil"/>
                    <w:tr2bl w:val="nil"/>
                  </w:tcBorders>
                  <w:vAlign w:val="center"/>
                </w:tcPr>
                <w:p w14:paraId="573B8F99">
                  <w:pPr>
                    <w:snapToGrid w:val="0"/>
                    <w:jc w:val="center"/>
                    <w:rPr>
                      <w:kern w:val="0"/>
                      <w:szCs w:val="21"/>
                    </w:rPr>
                  </w:pPr>
                  <w:r>
                    <w:rPr>
                      <w:kern w:val="0"/>
                      <w:szCs w:val="21"/>
                    </w:rPr>
                    <w:t>泄露</w:t>
                  </w:r>
                </w:p>
              </w:tc>
              <w:tc>
                <w:tcPr>
                  <w:tcW w:w="1249" w:type="pct"/>
                  <w:tcBorders>
                    <w:tl2br w:val="nil"/>
                    <w:tr2bl w:val="nil"/>
                  </w:tcBorders>
                  <w:vAlign w:val="center"/>
                </w:tcPr>
                <w:p w14:paraId="2300D16D">
                  <w:pPr>
                    <w:snapToGrid w:val="0"/>
                    <w:jc w:val="center"/>
                    <w:rPr>
                      <w:kern w:val="0"/>
                      <w:szCs w:val="21"/>
                    </w:rPr>
                  </w:pPr>
                  <w:r>
                    <w:rPr>
                      <w:kern w:val="0"/>
                      <w:szCs w:val="21"/>
                    </w:rPr>
                    <w:t>包装桶损坏</w:t>
                  </w:r>
                </w:p>
              </w:tc>
            </w:tr>
            <w:tr w14:paraId="13E9C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66897ADE">
                  <w:pPr>
                    <w:snapToGrid w:val="0"/>
                    <w:jc w:val="center"/>
                    <w:rPr>
                      <w:rFonts w:hint="eastAsia" w:eastAsia="宋体"/>
                      <w:kern w:val="0"/>
                      <w:szCs w:val="21"/>
                      <w:lang w:eastAsia="zh-CN"/>
                    </w:rPr>
                  </w:pPr>
                  <w:r>
                    <w:rPr>
                      <w:rFonts w:hint="eastAsia"/>
                      <w:kern w:val="0"/>
                      <w:szCs w:val="21"/>
                      <w:lang w:val="en-US" w:eastAsia="zh-CN"/>
                    </w:rPr>
                    <w:t>3</w:t>
                  </w:r>
                </w:p>
              </w:tc>
              <w:tc>
                <w:tcPr>
                  <w:tcW w:w="722" w:type="pct"/>
                  <w:tcBorders>
                    <w:tl2br w:val="nil"/>
                    <w:tr2bl w:val="nil"/>
                  </w:tcBorders>
                  <w:vAlign w:val="center"/>
                </w:tcPr>
                <w:p w14:paraId="433B767B">
                  <w:pPr>
                    <w:snapToGrid w:val="0"/>
                    <w:jc w:val="center"/>
                    <w:rPr>
                      <w:kern w:val="0"/>
                      <w:szCs w:val="21"/>
                    </w:rPr>
                  </w:pPr>
                  <w:r>
                    <w:rPr>
                      <w:kern w:val="0"/>
                      <w:szCs w:val="21"/>
                    </w:rPr>
                    <w:t>危废暂存库</w:t>
                  </w:r>
                </w:p>
              </w:tc>
              <w:tc>
                <w:tcPr>
                  <w:tcW w:w="672" w:type="pct"/>
                  <w:tcBorders>
                    <w:tl2br w:val="nil"/>
                    <w:tr2bl w:val="nil"/>
                  </w:tcBorders>
                  <w:vAlign w:val="center"/>
                </w:tcPr>
                <w:p w14:paraId="5B3D32BC">
                  <w:pPr>
                    <w:snapToGrid w:val="0"/>
                    <w:jc w:val="center"/>
                    <w:rPr>
                      <w:kern w:val="0"/>
                      <w:szCs w:val="21"/>
                    </w:rPr>
                  </w:pPr>
                  <w:r>
                    <w:rPr>
                      <w:kern w:val="0"/>
                      <w:szCs w:val="21"/>
                    </w:rPr>
                    <w:t>危废暂存库</w:t>
                  </w:r>
                </w:p>
              </w:tc>
              <w:tc>
                <w:tcPr>
                  <w:tcW w:w="1193" w:type="pct"/>
                  <w:tcBorders>
                    <w:tl2br w:val="nil"/>
                    <w:tr2bl w:val="nil"/>
                  </w:tcBorders>
                  <w:vAlign w:val="center"/>
                </w:tcPr>
                <w:p w14:paraId="55D03F45">
                  <w:pPr>
                    <w:snapToGrid w:val="0"/>
                    <w:jc w:val="center"/>
                    <w:rPr>
                      <w:rFonts w:hint="eastAsia" w:eastAsia="宋体"/>
                      <w:kern w:val="0"/>
                      <w:szCs w:val="21"/>
                      <w:lang w:eastAsia="zh-CN"/>
                    </w:rPr>
                  </w:pPr>
                  <w:r>
                    <w:rPr>
                      <w:rFonts w:hint="eastAsia"/>
                      <w:kern w:val="0"/>
                      <w:szCs w:val="21"/>
                      <w:lang w:val="en-US" w:eastAsia="zh-CN"/>
                    </w:rPr>
                    <w:t>危险废物</w:t>
                  </w:r>
                </w:p>
              </w:tc>
              <w:tc>
                <w:tcPr>
                  <w:tcW w:w="771" w:type="pct"/>
                  <w:tcBorders>
                    <w:tl2br w:val="nil"/>
                    <w:tr2bl w:val="nil"/>
                  </w:tcBorders>
                  <w:vAlign w:val="center"/>
                </w:tcPr>
                <w:p w14:paraId="31182644">
                  <w:pPr>
                    <w:snapToGrid w:val="0"/>
                    <w:jc w:val="center"/>
                    <w:rPr>
                      <w:kern w:val="0"/>
                      <w:szCs w:val="21"/>
                    </w:rPr>
                  </w:pPr>
                  <w:r>
                    <w:rPr>
                      <w:kern w:val="0"/>
                      <w:szCs w:val="21"/>
                    </w:rPr>
                    <w:t>泄露</w:t>
                  </w:r>
                </w:p>
              </w:tc>
              <w:tc>
                <w:tcPr>
                  <w:tcW w:w="1249" w:type="pct"/>
                  <w:tcBorders>
                    <w:tl2br w:val="nil"/>
                    <w:tr2bl w:val="nil"/>
                  </w:tcBorders>
                  <w:vAlign w:val="center"/>
                </w:tcPr>
                <w:p w14:paraId="0680BD46">
                  <w:pPr>
                    <w:snapToGrid w:val="0"/>
                    <w:jc w:val="center"/>
                    <w:rPr>
                      <w:kern w:val="0"/>
                      <w:szCs w:val="21"/>
                    </w:rPr>
                  </w:pPr>
                  <w:r>
                    <w:rPr>
                      <w:kern w:val="0"/>
                      <w:szCs w:val="21"/>
                    </w:rPr>
                    <w:t>包装损坏</w:t>
                  </w:r>
                </w:p>
              </w:tc>
            </w:tr>
          </w:tbl>
          <w:p w14:paraId="7A709831">
            <w:pPr>
              <w:keepNext/>
              <w:keepLines/>
              <w:spacing w:before="100" w:beforeAutospacing="1" w:line="360" w:lineRule="auto"/>
              <w:ind w:firstLine="480" w:firstLineChars="200"/>
              <w:outlineLvl w:val="2"/>
              <w:rPr>
                <w:bCs/>
                <w:sz w:val="24"/>
                <w:szCs w:val="32"/>
              </w:rPr>
            </w:pPr>
            <w:r>
              <w:rPr>
                <w:rFonts w:hint="eastAsia"/>
                <w:bCs/>
                <w:sz w:val="24"/>
                <w:szCs w:val="32"/>
              </w:rPr>
              <w:t>（3）</w:t>
            </w:r>
            <w:r>
              <w:rPr>
                <w:bCs/>
                <w:sz w:val="24"/>
                <w:szCs w:val="32"/>
              </w:rPr>
              <w:t>环境风险类型及危害分析</w:t>
            </w:r>
          </w:p>
          <w:p w14:paraId="4C8B7AB9">
            <w:pPr>
              <w:spacing w:line="360" w:lineRule="auto"/>
              <w:ind w:firstLine="480" w:firstLineChars="200"/>
              <w:rPr>
                <w:kern w:val="0"/>
                <w:sz w:val="24"/>
              </w:rPr>
            </w:pPr>
            <w:r>
              <w:rPr>
                <w:kern w:val="0"/>
                <w:sz w:val="24"/>
              </w:rPr>
              <w:t>本项目在生产及贮运过程中存在发生泄漏、火灾等风险事故的可能性，主要环境风险事故类型及可能产生的后果见下表。</w:t>
            </w:r>
          </w:p>
          <w:p w14:paraId="1DEFECD7">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19</w:t>
            </w:r>
            <w:r>
              <w:rPr>
                <w:b/>
                <w:kern w:val="0"/>
                <w:sz w:val="24"/>
              </w:rPr>
              <w:t xml:space="preserve">  本项目环境风险类型及危害分析一览表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1809"/>
              <w:gridCol w:w="4993"/>
            </w:tblGrid>
            <w:tr w14:paraId="0F2D9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9" w:type="pct"/>
                  <w:tcBorders>
                    <w:tl2br w:val="nil"/>
                    <w:tr2bl w:val="nil"/>
                  </w:tcBorders>
                  <w:vAlign w:val="center"/>
                </w:tcPr>
                <w:p w14:paraId="185DC196">
                  <w:pPr>
                    <w:autoSpaceDE w:val="0"/>
                    <w:autoSpaceDN w:val="0"/>
                    <w:adjustRightInd w:val="0"/>
                    <w:jc w:val="center"/>
                    <w:rPr>
                      <w:b/>
                      <w:kern w:val="0"/>
                      <w:szCs w:val="21"/>
                    </w:rPr>
                  </w:pPr>
                  <w:r>
                    <w:rPr>
                      <w:b/>
                      <w:kern w:val="0"/>
                      <w:szCs w:val="21"/>
                    </w:rPr>
                    <w:t>风险类型</w:t>
                  </w:r>
                </w:p>
              </w:tc>
              <w:tc>
                <w:tcPr>
                  <w:tcW w:w="1072" w:type="pct"/>
                  <w:tcBorders>
                    <w:tl2br w:val="nil"/>
                    <w:tr2bl w:val="nil"/>
                  </w:tcBorders>
                  <w:vAlign w:val="center"/>
                </w:tcPr>
                <w:p w14:paraId="5FD843EC">
                  <w:pPr>
                    <w:autoSpaceDE w:val="0"/>
                    <w:autoSpaceDN w:val="0"/>
                    <w:adjustRightInd w:val="0"/>
                    <w:jc w:val="center"/>
                    <w:rPr>
                      <w:b/>
                      <w:kern w:val="0"/>
                      <w:szCs w:val="21"/>
                    </w:rPr>
                  </w:pPr>
                  <w:r>
                    <w:rPr>
                      <w:b/>
                      <w:kern w:val="0"/>
                      <w:szCs w:val="21"/>
                    </w:rPr>
                    <w:t>产生原因</w:t>
                  </w:r>
                </w:p>
              </w:tc>
              <w:tc>
                <w:tcPr>
                  <w:tcW w:w="2959" w:type="pct"/>
                  <w:tcBorders>
                    <w:tl2br w:val="nil"/>
                    <w:tr2bl w:val="nil"/>
                  </w:tcBorders>
                  <w:vAlign w:val="center"/>
                </w:tcPr>
                <w:p w14:paraId="06B2A9ED">
                  <w:pPr>
                    <w:autoSpaceDE w:val="0"/>
                    <w:autoSpaceDN w:val="0"/>
                    <w:adjustRightInd w:val="0"/>
                    <w:jc w:val="center"/>
                    <w:rPr>
                      <w:b/>
                      <w:kern w:val="0"/>
                      <w:szCs w:val="21"/>
                    </w:rPr>
                  </w:pPr>
                  <w:r>
                    <w:rPr>
                      <w:b/>
                      <w:kern w:val="0"/>
                      <w:szCs w:val="21"/>
                    </w:rPr>
                    <w:t>可能产生的后果</w:t>
                  </w:r>
                </w:p>
              </w:tc>
            </w:tr>
            <w:tr w14:paraId="26154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69" w:type="pct"/>
                  <w:tcBorders>
                    <w:tl2br w:val="nil"/>
                    <w:tr2bl w:val="nil"/>
                  </w:tcBorders>
                  <w:vAlign w:val="center"/>
                </w:tcPr>
                <w:p w14:paraId="645AFF62">
                  <w:pPr>
                    <w:autoSpaceDE w:val="0"/>
                    <w:autoSpaceDN w:val="0"/>
                    <w:adjustRightInd w:val="0"/>
                    <w:jc w:val="center"/>
                    <w:rPr>
                      <w:kern w:val="0"/>
                      <w:szCs w:val="21"/>
                    </w:rPr>
                  </w:pPr>
                  <w:r>
                    <w:rPr>
                      <w:kern w:val="0"/>
                      <w:szCs w:val="21"/>
                    </w:rPr>
                    <w:t>火灾等引发的伴生/次生污染物排放</w:t>
                  </w:r>
                </w:p>
              </w:tc>
              <w:tc>
                <w:tcPr>
                  <w:tcW w:w="1072" w:type="pct"/>
                  <w:tcBorders>
                    <w:tl2br w:val="nil"/>
                    <w:tr2bl w:val="nil"/>
                  </w:tcBorders>
                  <w:vAlign w:val="center"/>
                </w:tcPr>
                <w:p w14:paraId="1204367C">
                  <w:pPr>
                    <w:autoSpaceDE w:val="0"/>
                    <w:autoSpaceDN w:val="0"/>
                    <w:adjustRightInd w:val="0"/>
                    <w:jc w:val="center"/>
                    <w:rPr>
                      <w:kern w:val="0"/>
                      <w:szCs w:val="21"/>
                    </w:rPr>
                  </w:pPr>
                  <w:r>
                    <w:rPr>
                      <w:kern w:val="0"/>
                      <w:szCs w:val="21"/>
                    </w:rPr>
                    <w:t>遇高温或明火</w:t>
                  </w:r>
                </w:p>
              </w:tc>
              <w:tc>
                <w:tcPr>
                  <w:tcW w:w="2959" w:type="pct"/>
                  <w:tcBorders>
                    <w:tl2br w:val="nil"/>
                    <w:tr2bl w:val="nil"/>
                  </w:tcBorders>
                  <w:vAlign w:val="center"/>
                </w:tcPr>
                <w:p w14:paraId="46AAEB65">
                  <w:pPr>
                    <w:autoSpaceDE w:val="0"/>
                    <w:autoSpaceDN w:val="0"/>
                    <w:adjustRightInd w:val="0"/>
                    <w:jc w:val="center"/>
                    <w:rPr>
                      <w:kern w:val="0"/>
                      <w:szCs w:val="21"/>
                    </w:rPr>
                  </w:pPr>
                  <w:r>
                    <w:rPr>
                      <w:kern w:val="0"/>
                      <w:szCs w:val="21"/>
                    </w:rPr>
                    <w:t>火灾会产生大量的消防废水，消防废水不能及时处理或应急措施不当时，事故废水如不及时进行收集，可能通过雨水管网，进入厂界外环境，将对周边水体造成影响</w:t>
                  </w:r>
                </w:p>
              </w:tc>
            </w:tr>
            <w:tr w14:paraId="4EC6A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69" w:type="pct"/>
                  <w:tcBorders>
                    <w:tl2br w:val="nil"/>
                    <w:tr2bl w:val="nil"/>
                  </w:tcBorders>
                  <w:vAlign w:val="center"/>
                </w:tcPr>
                <w:p w14:paraId="7F668520">
                  <w:pPr>
                    <w:autoSpaceDE w:val="0"/>
                    <w:autoSpaceDN w:val="0"/>
                    <w:adjustRightInd w:val="0"/>
                    <w:jc w:val="center"/>
                    <w:rPr>
                      <w:kern w:val="0"/>
                      <w:szCs w:val="21"/>
                    </w:rPr>
                  </w:pPr>
                  <w:r>
                    <w:rPr>
                      <w:kern w:val="0"/>
                      <w:szCs w:val="21"/>
                    </w:rPr>
                    <w:t>危险物质泄漏</w:t>
                  </w:r>
                </w:p>
              </w:tc>
              <w:tc>
                <w:tcPr>
                  <w:tcW w:w="1072" w:type="pct"/>
                  <w:tcBorders>
                    <w:tl2br w:val="nil"/>
                    <w:tr2bl w:val="nil"/>
                  </w:tcBorders>
                  <w:vAlign w:val="center"/>
                </w:tcPr>
                <w:p w14:paraId="1B0E1B08">
                  <w:pPr>
                    <w:autoSpaceDE w:val="0"/>
                    <w:autoSpaceDN w:val="0"/>
                    <w:adjustRightInd w:val="0"/>
                    <w:jc w:val="center"/>
                    <w:rPr>
                      <w:kern w:val="0"/>
                      <w:szCs w:val="21"/>
                    </w:rPr>
                  </w:pPr>
                  <w:r>
                    <w:rPr>
                      <w:kern w:val="0"/>
                      <w:szCs w:val="21"/>
                    </w:rPr>
                    <w:t>人为操作不当；设备缺陷或故障；系统故障等</w:t>
                  </w:r>
                </w:p>
              </w:tc>
              <w:tc>
                <w:tcPr>
                  <w:tcW w:w="2959" w:type="pct"/>
                  <w:tcBorders>
                    <w:tl2br w:val="nil"/>
                    <w:tr2bl w:val="nil"/>
                  </w:tcBorders>
                  <w:vAlign w:val="center"/>
                </w:tcPr>
                <w:p w14:paraId="072FC5DF">
                  <w:pPr>
                    <w:autoSpaceDE w:val="0"/>
                    <w:autoSpaceDN w:val="0"/>
                    <w:adjustRightInd w:val="0"/>
                    <w:jc w:val="center"/>
                    <w:rPr>
                      <w:kern w:val="0"/>
                      <w:szCs w:val="21"/>
                    </w:rPr>
                  </w:pPr>
                  <w:r>
                    <w:rPr>
                      <w:kern w:val="0"/>
                      <w:szCs w:val="21"/>
                    </w:rPr>
                    <w:t>泄</w:t>
                  </w:r>
                  <w:r>
                    <w:rPr>
                      <w:rFonts w:hint="eastAsia"/>
                      <w:kern w:val="0"/>
                      <w:szCs w:val="21"/>
                      <w:lang w:val="en-US" w:eastAsia="zh-CN"/>
                    </w:rPr>
                    <w:t>漏</w:t>
                  </w:r>
                  <w:r>
                    <w:rPr>
                      <w:kern w:val="0"/>
                      <w:szCs w:val="21"/>
                    </w:rPr>
                    <w:t>出来的</w:t>
                  </w:r>
                  <w:r>
                    <w:rPr>
                      <w:szCs w:val="21"/>
                    </w:rPr>
                    <w:t>润滑油</w:t>
                  </w:r>
                  <w:r>
                    <w:rPr>
                      <w:kern w:val="0"/>
                      <w:szCs w:val="21"/>
                    </w:rPr>
                    <w:t>等污染物事故性排放，对地表水及土壤环境不利影响将增加。</w:t>
                  </w:r>
                </w:p>
              </w:tc>
            </w:tr>
          </w:tbl>
          <w:p w14:paraId="1A0F5CFB">
            <w:pPr>
              <w:keepNext/>
              <w:spacing w:before="100" w:beforeAutospacing="1" w:line="360" w:lineRule="auto"/>
              <w:ind w:firstLine="482" w:firstLineChars="200"/>
              <w:outlineLvl w:val="1"/>
              <w:rPr>
                <w:b/>
                <w:bCs/>
                <w:sz w:val="24"/>
              </w:rPr>
            </w:pPr>
            <w:bookmarkStart w:id="17" w:name="_Toc474855797"/>
            <w:bookmarkStart w:id="18" w:name="_Toc63415124"/>
            <w:bookmarkStart w:id="19" w:name="_Toc60652804"/>
            <w:r>
              <w:rPr>
                <w:rFonts w:hint="eastAsia"/>
                <w:b/>
                <w:bCs/>
                <w:sz w:val="24"/>
              </w:rPr>
              <w:t>4、</w:t>
            </w:r>
            <w:r>
              <w:rPr>
                <w:b/>
                <w:bCs/>
                <w:sz w:val="24"/>
              </w:rPr>
              <w:t>环境风险</w:t>
            </w:r>
            <w:bookmarkEnd w:id="17"/>
            <w:r>
              <w:rPr>
                <w:b/>
                <w:bCs/>
                <w:sz w:val="24"/>
              </w:rPr>
              <w:t>防范</w:t>
            </w:r>
            <w:bookmarkEnd w:id="18"/>
            <w:bookmarkEnd w:id="19"/>
          </w:p>
          <w:p w14:paraId="5A6EC965">
            <w:pPr>
              <w:widowControl/>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rFonts w:hint="eastAsia"/>
                <w:kern w:val="0"/>
                <w:sz w:val="24"/>
              </w:rPr>
              <w:t>火灾事故的防范措施</w:t>
            </w:r>
          </w:p>
          <w:p w14:paraId="67311B14">
            <w:pPr>
              <w:widowControl/>
              <w:spacing w:line="360" w:lineRule="auto"/>
              <w:ind w:firstLine="480" w:firstLineChars="200"/>
              <w:jc w:val="left"/>
              <w:rPr>
                <w:kern w:val="0"/>
                <w:sz w:val="24"/>
              </w:rPr>
            </w:pPr>
            <w:r>
              <w:rPr>
                <w:rFonts w:hint="eastAsia"/>
                <w:kern w:val="0"/>
                <w:sz w:val="24"/>
              </w:rPr>
              <w:t>生产过程必须严格按照相关防火设计要求进行，并配备相应的保护工程；加强工艺系统的自动控制的应用，同时应加强对系统设备的维护保养；加强对全厂员工教育，使员工了解防火知识；配备足够的救灾防毒器具、消防器及防护用品。</w:t>
            </w:r>
          </w:p>
          <w:p w14:paraId="61E8C3FA">
            <w:pPr>
              <w:spacing w:line="360" w:lineRule="auto"/>
              <w:ind w:firstLine="470" w:firstLineChars="196"/>
              <w:outlineLvl w:val="3"/>
              <w:rPr>
                <w:kern w:val="0"/>
                <w:sz w:val="24"/>
              </w:rPr>
            </w:pPr>
            <w:r>
              <w:rPr>
                <w:kern w:val="0"/>
                <w:sz w:val="24"/>
              </w:rPr>
              <w:fldChar w:fldCharType="begin"/>
            </w:r>
            <w:r>
              <w:rPr>
                <w:kern w:val="0"/>
                <w:sz w:val="24"/>
              </w:rPr>
              <w:instrText xml:space="preserve"> </w:instrText>
            </w:r>
            <w:r>
              <w:rPr>
                <w:rFonts w:hint="eastAsia"/>
                <w:kern w:val="0"/>
                <w:sz w:val="24"/>
              </w:rPr>
              <w:instrText xml:space="preserve">= 2 \* GB3</w:instrText>
            </w:r>
            <w:r>
              <w:rPr>
                <w:kern w:val="0"/>
                <w:sz w:val="24"/>
              </w:rPr>
              <w:instrText xml:space="preserve"> </w:instrText>
            </w:r>
            <w:r>
              <w:rPr>
                <w:kern w:val="0"/>
                <w:sz w:val="24"/>
              </w:rPr>
              <w:fldChar w:fldCharType="separate"/>
            </w:r>
            <w:r>
              <w:rPr>
                <w:rFonts w:hint="eastAsia"/>
                <w:kern w:val="0"/>
                <w:sz w:val="24"/>
              </w:rPr>
              <w:t>②</w:t>
            </w:r>
            <w:r>
              <w:rPr>
                <w:kern w:val="0"/>
                <w:sz w:val="24"/>
              </w:rPr>
              <w:fldChar w:fldCharType="end"/>
            </w:r>
            <w:r>
              <w:rPr>
                <w:rFonts w:hint="eastAsia"/>
                <w:kern w:val="0"/>
                <w:sz w:val="24"/>
              </w:rPr>
              <w:t>消防及火灾报警</w:t>
            </w:r>
          </w:p>
          <w:p w14:paraId="39B3355F">
            <w:pPr>
              <w:spacing w:line="360" w:lineRule="auto"/>
              <w:ind w:firstLine="470" w:firstLineChars="196"/>
              <w:outlineLvl w:val="3"/>
              <w:rPr>
                <w:kern w:val="0"/>
                <w:sz w:val="24"/>
              </w:rPr>
            </w:pPr>
            <w:r>
              <w:rPr>
                <w:rFonts w:hint="eastAsia"/>
                <w:kern w:val="0"/>
                <w:sz w:val="24"/>
              </w:rPr>
              <w:t>项目配备室外消防装置，在内部设置消防装置。</w:t>
            </w:r>
          </w:p>
          <w:p w14:paraId="2B135867">
            <w:pPr>
              <w:spacing w:line="360" w:lineRule="auto"/>
              <w:ind w:firstLine="470" w:firstLineChars="196"/>
              <w:outlineLvl w:val="3"/>
              <w:rPr>
                <w:kern w:val="0"/>
                <w:sz w:val="24"/>
              </w:rPr>
            </w:pPr>
            <w:r>
              <w:rPr>
                <w:kern w:val="0"/>
                <w:sz w:val="24"/>
              </w:rPr>
              <w:fldChar w:fldCharType="begin"/>
            </w:r>
            <w:r>
              <w:rPr>
                <w:kern w:val="0"/>
                <w:sz w:val="24"/>
              </w:rPr>
              <w:instrText xml:space="preserve"> </w:instrText>
            </w:r>
            <w:r>
              <w:rPr>
                <w:rFonts w:hint="eastAsia"/>
                <w:kern w:val="0"/>
                <w:sz w:val="24"/>
              </w:rPr>
              <w:instrText xml:space="preserve">= 3 \* GB3</w:instrText>
            </w:r>
            <w:r>
              <w:rPr>
                <w:kern w:val="0"/>
                <w:sz w:val="24"/>
              </w:rPr>
              <w:instrText xml:space="preserve"> </w:instrText>
            </w:r>
            <w:r>
              <w:rPr>
                <w:kern w:val="0"/>
                <w:sz w:val="24"/>
              </w:rPr>
              <w:fldChar w:fldCharType="separate"/>
            </w:r>
            <w:r>
              <w:rPr>
                <w:rFonts w:hint="eastAsia"/>
                <w:kern w:val="0"/>
                <w:sz w:val="24"/>
              </w:rPr>
              <w:t>③</w:t>
            </w:r>
            <w:r>
              <w:rPr>
                <w:kern w:val="0"/>
                <w:sz w:val="24"/>
              </w:rPr>
              <w:fldChar w:fldCharType="end"/>
            </w:r>
            <w:r>
              <w:rPr>
                <w:rFonts w:hint="eastAsia"/>
                <w:kern w:val="0"/>
                <w:sz w:val="24"/>
              </w:rPr>
              <w:t>安全管理</w:t>
            </w:r>
          </w:p>
          <w:p w14:paraId="2033278F">
            <w:pPr>
              <w:spacing w:line="360" w:lineRule="auto"/>
              <w:ind w:firstLine="470" w:firstLineChars="196"/>
              <w:outlineLvl w:val="3"/>
              <w:rPr>
                <w:kern w:val="0"/>
                <w:sz w:val="24"/>
              </w:rPr>
            </w:pPr>
            <w:r>
              <w:rPr>
                <w:rFonts w:hint="eastAsia"/>
                <w:kern w:val="0"/>
                <w:sz w:val="24"/>
              </w:rPr>
              <w:t>项目在管理上应设置专业安全监督机构，建立严格的规章制度和安全生产措施，所有工作人员必须培训上岗，绝不容许引入不安全因素到生产作业中去。生产区</w:t>
            </w:r>
            <w:r>
              <w:rPr>
                <w:rFonts w:hint="eastAsia"/>
                <w:sz w:val="24"/>
              </w:rPr>
              <w:t>设禁止吸烟标志，防止人为引起明火火灾等事故。</w:t>
            </w:r>
          </w:p>
          <w:p w14:paraId="65815F01">
            <w:pPr>
              <w:spacing w:line="360" w:lineRule="auto"/>
              <w:ind w:firstLine="470" w:firstLineChars="196"/>
              <w:outlineLvl w:val="3"/>
              <w:rPr>
                <w:sz w:val="24"/>
              </w:rPr>
            </w:pPr>
            <w:r>
              <w:rPr>
                <w:rFonts w:hint="eastAsia"/>
                <w:sz w:val="24"/>
              </w:rPr>
              <w:t>综上所述，本项目主要环境风险源为</w:t>
            </w:r>
            <w:r>
              <w:rPr>
                <w:rFonts w:hint="eastAsia"/>
                <w:sz w:val="24"/>
                <w:lang w:val="en-US" w:eastAsia="zh-CN"/>
              </w:rPr>
              <w:t>原料区</w:t>
            </w:r>
            <w:r>
              <w:rPr>
                <w:rFonts w:hint="eastAsia"/>
                <w:sz w:val="24"/>
              </w:rPr>
              <w:t>、危废暂存库等，主要环境风险为润滑油泄</w:t>
            </w:r>
            <w:r>
              <w:rPr>
                <w:rFonts w:hint="eastAsia"/>
                <w:sz w:val="24"/>
                <w:lang w:val="en-US" w:eastAsia="zh-CN"/>
              </w:rPr>
              <w:t>漏</w:t>
            </w:r>
            <w:r>
              <w:rPr>
                <w:rFonts w:hint="eastAsia"/>
                <w:sz w:val="24"/>
              </w:rPr>
              <w:t>和废润滑油泄</w:t>
            </w:r>
            <w:r>
              <w:rPr>
                <w:rFonts w:hint="eastAsia"/>
                <w:sz w:val="24"/>
                <w:lang w:val="en-US" w:eastAsia="zh-CN"/>
              </w:rPr>
              <w:t>漏</w:t>
            </w:r>
            <w:r>
              <w:rPr>
                <w:rFonts w:hint="eastAsia"/>
                <w:sz w:val="24"/>
              </w:rPr>
              <w:t>，厂区应配备应急物资。在落实的上述风险防范措施情况下，本项目环境风险是可以接受的。</w:t>
            </w:r>
          </w:p>
          <w:p w14:paraId="2F26A333">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b/>
                <w:sz w:val="24"/>
              </w:rPr>
            </w:pPr>
            <w:r>
              <w:rPr>
                <w:b/>
                <w:sz w:val="24"/>
              </w:rPr>
              <w:t>表</w:t>
            </w:r>
            <w:r>
              <w:rPr>
                <w:rFonts w:hint="eastAsia"/>
                <w:b/>
                <w:sz w:val="24"/>
              </w:rPr>
              <w:t>4</w:t>
            </w:r>
            <w:r>
              <w:rPr>
                <w:b/>
                <w:sz w:val="24"/>
              </w:rPr>
              <w:t>-</w:t>
            </w:r>
            <w:r>
              <w:rPr>
                <w:rFonts w:hint="eastAsia"/>
                <w:b/>
                <w:sz w:val="24"/>
                <w:lang w:val="en-US" w:eastAsia="zh-CN"/>
              </w:rPr>
              <w:t>20</w:t>
            </w:r>
            <w:r>
              <w:rPr>
                <w:b/>
                <w:sz w:val="24"/>
              </w:rPr>
              <w:t xml:space="preserve">  建设</w:t>
            </w:r>
            <w:r>
              <w:rPr>
                <w:rFonts w:hint="eastAsia"/>
                <w:b/>
                <w:sz w:val="24"/>
              </w:rPr>
              <w:t>项目</w:t>
            </w:r>
            <w:r>
              <w:rPr>
                <w:b/>
                <w:sz w:val="24"/>
              </w:rPr>
              <w:t>环境风险简单分析内容一览表</w:t>
            </w:r>
          </w:p>
          <w:tbl>
            <w:tblPr>
              <w:tblStyle w:val="5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1133"/>
              <w:gridCol w:w="1133"/>
              <w:gridCol w:w="1109"/>
              <w:gridCol w:w="533"/>
              <w:gridCol w:w="933"/>
              <w:gridCol w:w="2076"/>
            </w:tblGrid>
            <w:tr w14:paraId="6C9432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1" w:type="pct"/>
                  <w:tcBorders>
                    <w:tl2br w:val="nil"/>
                    <w:tr2bl w:val="nil"/>
                  </w:tcBorders>
                  <w:shd w:val="clear" w:color="auto" w:fill="auto"/>
                  <w:vAlign w:val="center"/>
                </w:tcPr>
                <w:p w14:paraId="784F9C56">
                  <w:pPr>
                    <w:jc w:val="center"/>
                    <w:rPr>
                      <w:b/>
                      <w:szCs w:val="21"/>
                    </w:rPr>
                  </w:pPr>
                  <w:r>
                    <w:rPr>
                      <w:b/>
                      <w:szCs w:val="21"/>
                    </w:rPr>
                    <w:t>建设项目名称</w:t>
                  </w:r>
                </w:p>
              </w:tc>
              <w:tc>
                <w:tcPr>
                  <w:tcW w:w="4098" w:type="pct"/>
                  <w:gridSpan w:val="6"/>
                  <w:tcBorders>
                    <w:tl2br w:val="nil"/>
                    <w:tr2bl w:val="nil"/>
                  </w:tcBorders>
                  <w:shd w:val="clear" w:color="auto" w:fill="auto"/>
                  <w:vAlign w:val="center"/>
                </w:tcPr>
                <w:p w14:paraId="212D9404">
                  <w:pPr>
                    <w:jc w:val="center"/>
                    <w:rPr>
                      <w:b/>
                      <w:szCs w:val="21"/>
                    </w:rPr>
                  </w:pPr>
                  <w:r>
                    <w:rPr>
                      <w:rFonts w:hint="eastAsia"/>
                      <w:b w:val="0"/>
                      <w:bCs/>
                      <w:szCs w:val="21"/>
                    </w:rPr>
                    <w:t>年产4800万米承载带、26万平方米盖带项目</w:t>
                  </w:r>
                </w:p>
              </w:tc>
            </w:tr>
            <w:tr w14:paraId="3D2A7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0C5692B7">
                  <w:pPr>
                    <w:jc w:val="center"/>
                    <w:rPr>
                      <w:szCs w:val="21"/>
                    </w:rPr>
                  </w:pPr>
                  <w:r>
                    <w:rPr>
                      <w:szCs w:val="21"/>
                    </w:rPr>
                    <w:t>建设地点</w:t>
                  </w:r>
                </w:p>
              </w:tc>
              <w:tc>
                <w:tcPr>
                  <w:tcW w:w="671" w:type="pct"/>
                  <w:tcBorders>
                    <w:tl2br w:val="nil"/>
                    <w:tr2bl w:val="nil"/>
                  </w:tcBorders>
                  <w:shd w:val="clear" w:color="auto" w:fill="auto"/>
                  <w:vAlign w:val="center"/>
                </w:tcPr>
                <w:p w14:paraId="70473558">
                  <w:pPr>
                    <w:ind w:left="-105" w:leftChars="-50" w:right="-105" w:rightChars="-50"/>
                    <w:jc w:val="center"/>
                    <w:rPr>
                      <w:szCs w:val="21"/>
                    </w:rPr>
                  </w:pPr>
                  <w:r>
                    <w:rPr>
                      <w:szCs w:val="21"/>
                    </w:rPr>
                    <w:t>（安徽）省</w:t>
                  </w:r>
                </w:p>
              </w:tc>
              <w:tc>
                <w:tcPr>
                  <w:tcW w:w="671" w:type="pct"/>
                  <w:tcBorders>
                    <w:tl2br w:val="nil"/>
                    <w:tr2bl w:val="nil"/>
                  </w:tcBorders>
                  <w:shd w:val="clear" w:color="auto" w:fill="auto"/>
                  <w:vAlign w:val="center"/>
                </w:tcPr>
                <w:p w14:paraId="76D65A04">
                  <w:pPr>
                    <w:ind w:left="-105" w:leftChars="-50" w:right="-105" w:rightChars="-50"/>
                    <w:jc w:val="center"/>
                    <w:rPr>
                      <w:szCs w:val="21"/>
                    </w:rPr>
                  </w:pPr>
                  <w:r>
                    <w:rPr>
                      <w:szCs w:val="21"/>
                    </w:rPr>
                    <w:t>（</w:t>
                  </w:r>
                  <w:r>
                    <w:rPr>
                      <w:rFonts w:hint="eastAsia"/>
                      <w:szCs w:val="21"/>
                    </w:rPr>
                    <w:t>芜湖</w:t>
                  </w:r>
                  <w:r>
                    <w:rPr>
                      <w:szCs w:val="21"/>
                    </w:rPr>
                    <w:t>）市</w:t>
                  </w:r>
                </w:p>
              </w:tc>
              <w:tc>
                <w:tcPr>
                  <w:tcW w:w="973" w:type="pct"/>
                  <w:gridSpan w:val="2"/>
                  <w:tcBorders>
                    <w:tl2br w:val="nil"/>
                    <w:tr2bl w:val="nil"/>
                  </w:tcBorders>
                  <w:shd w:val="clear" w:color="auto" w:fill="auto"/>
                  <w:vAlign w:val="center"/>
                </w:tcPr>
                <w:p w14:paraId="18483EC5">
                  <w:pPr>
                    <w:jc w:val="center"/>
                    <w:rPr>
                      <w:szCs w:val="21"/>
                    </w:rPr>
                  </w:pPr>
                  <w:r>
                    <w:rPr>
                      <w:szCs w:val="21"/>
                    </w:rPr>
                    <w:t>（</w:t>
                  </w:r>
                  <w:r>
                    <w:rPr>
                      <w:rFonts w:hint="eastAsia"/>
                      <w:szCs w:val="21"/>
                      <w:lang w:val="en-US" w:eastAsia="zh-CN"/>
                    </w:rPr>
                    <w:t>鸠江</w:t>
                  </w:r>
                  <w:r>
                    <w:rPr>
                      <w:szCs w:val="21"/>
                    </w:rPr>
                    <w:t>）区</w:t>
                  </w:r>
                </w:p>
              </w:tc>
              <w:tc>
                <w:tcPr>
                  <w:tcW w:w="553" w:type="pct"/>
                  <w:tcBorders>
                    <w:tl2br w:val="nil"/>
                    <w:tr2bl w:val="nil"/>
                  </w:tcBorders>
                  <w:shd w:val="clear" w:color="auto" w:fill="auto"/>
                  <w:vAlign w:val="center"/>
                </w:tcPr>
                <w:p w14:paraId="269CD406">
                  <w:pPr>
                    <w:ind w:left="-105" w:leftChars="-50" w:right="-105" w:rightChars="-50"/>
                    <w:jc w:val="center"/>
                    <w:rPr>
                      <w:szCs w:val="21"/>
                    </w:rPr>
                  </w:pPr>
                  <w:r>
                    <w:rPr>
                      <w:szCs w:val="21"/>
                    </w:rPr>
                    <w:t>（）县</w:t>
                  </w:r>
                </w:p>
              </w:tc>
              <w:tc>
                <w:tcPr>
                  <w:tcW w:w="1229" w:type="pct"/>
                  <w:tcBorders>
                    <w:tl2br w:val="nil"/>
                    <w:tr2bl w:val="nil"/>
                  </w:tcBorders>
                  <w:shd w:val="clear" w:color="auto" w:fill="auto"/>
                  <w:vAlign w:val="center"/>
                </w:tcPr>
                <w:p w14:paraId="697EB674">
                  <w:pPr>
                    <w:jc w:val="center"/>
                    <w:rPr>
                      <w:szCs w:val="21"/>
                    </w:rPr>
                  </w:pPr>
                  <w:r>
                    <w:rPr>
                      <w:szCs w:val="21"/>
                    </w:rPr>
                    <w:t>（）园区</w:t>
                  </w:r>
                </w:p>
              </w:tc>
            </w:tr>
            <w:tr w14:paraId="6FC3C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22064797">
                  <w:pPr>
                    <w:jc w:val="center"/>
                    <w:rPr>
                      <w:szCs w:val="21"/>
                    </w:rPr>
                  </w:pPr>
                  <w:r>
                    <w:rPr>
                      <w:szCs w:val="21"/>
                    </w:rPr>
                    <w:t>地理坐标</w:t>
                  </w:r>
                </w:p>
              </w:tc>
              <w:tc>
                <w:tcPr>
                  <w:tcW w:w="1999" w:type="pct"/>
                  <w:gridSpan w:val="3"/>
                  <w:tcBorders>
                    <w:tl2br w:val="nil"/>
                    <w:tr2bl w:val="nil"/>
                  </w:tcBorders>
                  <w:shd w:val="clear" w:color="auto" w:fill="auto"/>
                  <w:vAlign w:val="center"/>
                </w:tcPr>
                <w:p w14:paraId="65F542FF">
                  <w:pPr>
                    <w:jc w:val="center"/>
                    <w:rPr>
                      <w:szCs w:val="21"/>
                    </w:rPr>
                  </w:pPr>
                  <w:r>
                    <w:rPr>
                      <w:rFonts w:cs="宋体"/>
                      <w:bCs/>
                      <w:szCs w:val="21"/>
                    </w:rPr>
                    <w:t>经度</w:t>
                  </w:r>
                  <w:r>
                    <w:rPr>
                      <w:rFonts w:hint="eastAsia" w:cs="宋体"/>
                      <w:bCs/>
                      <w:szCs w:val="21"/>
                    </w:rPr>
                    <w:t>118.393341</w:t>
                  </w:r>
                </w:p>
              </w:tc>
              <w:tc>
                <w:tcPr>
                  <w:tcW w:w="2099" w:type="pct"/>
                  <w:gridSpan w:val="3"/>
                  <w:tcBorders>
                    <w:tl2br w:val="nil"/>
                    <w:tr2bl w:val="nil"/>
                  </w:tcBorders>
                  <w:shd w:val="clear" w:color="auto" w:fill="auto"/>
                  <w:vAlign w:val="center"/>
                </w:tcPr>
                <w:p w14:paraId="0D1813FF">
                  <w:pPr>
                    <w:jc w:val="center"/>
                    <w:rPr>
                      <w:szCs w:val="21"/>
                    </w:rPr>
                  </w:pPr>
                  <w:r>
                    <w:rPr>
                      <w:rFonts w:cs="宋体"/>
                      <w:bCs/>
                      <w:szCs w:val="21"/>
                    </w:rPr>
                    <w:t>纬度</w:t>
                  </w:r>
                  <w:r>
                    <w:rPr>
                      <w:rFonts w:hint="eastAsia" w:cs="宋体"/>
                      <w:bCs/>
                      <w:szCs w:val="21"/>
                    </w:rPr>
                    <w:t>31.483814</w:t>
                  </w:r>
                </w:p>
              </w:tc>
            </w:tr>
            <w:tr w14:paraId="4336CA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456560C7">
                  <w:pPr>
                    <w:ind w:left="-105" w:leftChars="-50" w:right="-105" w:rightChars="-50"/>
                    <w:jc w:val="center"/>
                    <w:rPr>
                      <w:szCs w:val="21"/>
                    </w:rPr>
                  </w:pPr>
                  <w:r>
                    <w:rPr>
                      <w:szCs w:val="21"/>
                    </w:rPr>
                    <w:t>主要危险物质及分布</w:t>
                  </w:r>
                </w:p>
              </w:tc>
              <w:tc>
                <w:tcPr>
                  <w:tcW w:w="4098" w:type="pct"/>
                  <w:gridSpan w:val="6"/>
                  <w:tcBorders>
                    <w:tl2br w:val="nil"/>
                    <w:tr2bl w:val="nil"/>
                  </w:tcBorders>
                  <w:shd w:val="clear" w:color="auto" w:fill="auto"/>
                  <w:vAlign w:val="center"/>
                </w:tcPr>
                <w:p w14:paraId="5D3E89BC">
                  <w:pPr>
                    <w:rPr>
                      <w:szCs w:val="21"/>
                    </w:rPr>
                  </w:pPr>
                  <w:r>
                    <w:rPr>
                      <w:szCs w:val="21"/>
                    </w:rPr>
                    <w:t>润滑油和</w:t>
                  </w:r>
                  <w:r>
                    <w:rPr>
                      <w:rFonts w:hint="eastAsia"/>
                      <w:szCs w:val="21"/>
                      <w:lang w:val="en-US" w:eastAsia="zh-CN"/>
                    </w:rPr>
                    <w:t>危险废物</w:t>
                  </w:r>
                  <w:r>
                    <w:rPr>
                      <w:szCs w:val="21"/>
                    </w:rPr>
                    <w:t>分布于原料区和危废暂存库，最大贮存量分别</w:t>
                  </w:r>
                  <w:r>
                    <w:rPr>
                      <w:rFonts w:hint="eastAsia"/>
                      <w:szCs w:val="21"/>
                    </w:rPr>
                    <w:t>为0</w:t>
                  </w:r>
                  <w:r>
                    <w:rPr>
                      <w:szCs w:val="21"/>
                    </w:rPr>
                    <w:t>.</w:t>
                  </w:r>
                  <w:r>
                    <w:rPr>
                      <w:rFonts w:hint="eastAsia"/>
                      <w:szCs w:val="21"/>
                      <w:lang w:val="en-US" w:eastAsia="zh-CN"/>
                    </w:rPr>
                    <w:t>1</w:t>
                  </w:r>
                  <w:r>
                    <w:rPr>
                      <w:szCs w:val="21"/>
                    </w:rPr>
                    <w:t>t、</w:t>
                  </w:r>
                  <w:r>
                    <w:rPr>
                      <w:rFonts w:hint="eastAsia"/>
                      <w:szCs w:val="21"/>
                      <w:lang w:val="en-US" w:eastAsia="zh-CN"/>
                    </w:rPr>
                    <w:t>6.275</w:t>
                  </w:r>
                  <w:r>
                    <w:rPr>
                      <w:szCs w:val="21"/>
                    </w:rPr>
                    <w:t>t。</w:t>
                  </w:r>
                </w:p>
              </w:tc>
            </w:tr>
            <w:tr w14:paraId="73804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27F67112">
                  <w:pPr>
                    <w:ind w:left="-105" w:leftChars="-50" w:right="-105" w:rightChars="-50"/>
                    <w:jc w:val="center"/>
                    <w:rPr>
                      <w:szCs w:val="21"/>
                    </w:rPr>
                  </w:pPr>
                  <w:r>
                    <w:rPr>
                      <w:szCs w:val="21"/>
                    </w:rPr>
                    <w:t>环境影响途径及危害后果（大气、地表水、地下水等）</w:t>
                  </w:r>
                </w:p>
              </w:tc>
              <w:tc>
                <w:tcPr>
                  <w:tcW w:w="4098" w:type="pct"/>
                  <w:gridSpan w:val="6"/>
                  <w:tcBorders>
                    <w:tl2br w:val="nil"/>
                    <w:tr2bl w:val="nil"/>
                  </w:tcBorders>
                  <w:shd w:val="clear" w:color="auto" w:fill="auto"/>
                  <w:vAlign w:val="center"/>
                </w:tcPr>
                <w:p w14:paraId="345C81C7">
                  <w:pPr>
                    <w:rPr>
                      <w:szCs w:val="21"/>
                    </w:rPr>
                  </w:pPr>
                  <w:r>
                    <w:rPr>
                      <w:szCs w:val="21"/>
                    </w:rPr>
                    <w:t>污染大气环境：</w:t>
                  </w:r>
                  <w:r>
                    <w:rPr>
                      <w:rFonts w:hint="eastAsia"/>
                      <w:szCs w:val="21"/>
                      <w:lang w:val="en-US" w:eastAsia="zh-CN"/>
                    </w:rPr>
                    <w:t>润滑油</w:t>
                  </w:r>
                  <w:r>
                    <w:rPr>
                      <w:szCs w:val="21"/>
                    </w:rPr>
                    <w:t>等易燃物质遇高温明火等原因发生火事故时，燃烧产生的CO、烟尘产物等进入大气，将对空气环境造成影响。</w:t>
                  </w:r>
                </w:p>
                <w:p w14:paraId="5BEB78A5">
                  <w:pPr>
                    <w:rPr>
                      <w:szCs w:val="21"/>
                    </w:rPr>
                  </w:pPr>
                  <w:r>
                    <w:rPr>
                      <w:szCs w:val="21"/>
                    </w:rPr>
                    <w:t>污染地表水环境：发生火灾会产生大量的消防废水，消防废水如不及时进行收集，可能通过雨水管网，进入厂界外环境，将对周边水体造成影响。</w:t>
                  </w:r>
                </w:p>
              </w:tc>
            </w:tr>
            <w:tr w14:paraId="22D5B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01" w:type="pct"/>
                  <w:tcBorders>
                    <w:tl2br w:val="nil"/>
                    <w:tr2bl w:val="nil"/>
                  </w:tcBorders>
                  <w:shd w:val="clear" w:color="auto" w:fill="auto"/>
                  <w:vAlign w:val="center"/>
                </w:tcPr>
                <w:p w14:paraId="1BDC52A0">
                  <w:pPr>
                    <w:jc w:val="center"/>
                    <w:rPr>
                      <w:szCs w:val="21"/>
                    </w:rPr>
                  </w:pPr>
                  <w:r>
                    <w:rPr>
                      <w:szCs w:val="21"/>
                    </w:rPr>
                    <w:t>风险防范要求</w:t>
                  </w:r>
                </w:p>
              </w:tc>
              <w:tc>
                <w:tcPr>
                  <w:tcW w:w="4098" w:type="pct"/>
                  <w:gridSpan w:val="6"/>
                  <w:tcBorders>
                    <w:tl2br w:val="nil"/>
                    <w:tr2bl w:val="nil"/>
                  </w:tcBorders>
                  <w:shd w:val="clear" w:color="auto" w:fill="auto"/>
                  <w:vAlign w:val="center"/>
                </w:tcPr>
                <w:p w14:paraId="6E5A8CBA">
                  <w:pPr>
                    <w:rPr>
                      <w:szCs w:val="21"/>
                    </w:rPr>
                  </w:pPr>
                  <w:r>
                    <w:rPr>
                      <w:szCs w:val="21"/>
                    </w:rPr>
                    <w:t>总图及建筑风险防范，建设火灾报警系统，加强生产管理。并配备风险防范物资。</w:t>
                  </w:r>
                </w:p>
              </w:tc>
            </w:tr>
          </w:tbl>
          <w:p w14:paraId="16DB6964">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八、环保投资估算</w:t>
            </w:r>
          </w:p>
          <w:p w14:paraId="3A605C9D">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本项目环保投资约</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4</w:t>
            </w:r>
            <w:r>
              <w:rPr>
                <w:rFonts w:hint="eastAsia" w:ascii="Times New Roman" w:hAnsi="Times New Roman" w:cs="Times New Roman"/>
                <w:caps w:val="0"/>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万元，环境保护投资估算详见表4-</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2</w:t>
            </w:r>
            <w:r>
              <w:rPr>
                <w:rFonts w:hint="eastAsia" w:cs="Times New Roman"/>
                <w:caps w:val="0"/>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1E595BD7">
            <w:pPr>
              <w:pStyle w:val="1102"/>
              <w:keepNext w:val="0"/>
              <w:keepLines w:val="0"/>
              <w:pageBreakBefore w:val="0"/>
              <w:kinsoku/>
              <w:wordWrap/>
              <w:overflowPunct/>
              <w:topLinePunct w:val="0"/>
              <w:autoSpaceDE/>
              <w:autoSpaceDN/>
              <w:bidi w:val="0"/>
              <w:spacing w:beforeLines="0" w:afterLines="0" w:line="360" w:lineRule="auto"/>
              <w:ind w:left="643" w:hanging="643" w:hangingChars="267"/>
              <w:textAlignment w:val="auto"/>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2</w:t>
            </w:r>
            <w:r>
              <w:rPr>
                <w:rFonts w:hint="eastAsia" w:cs="Times New Roman"/>
                <w:caps w:val="0"/>
                <w:color w:val="000000" w:themeColor="text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环境保护投资估算表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33"/>
              <w:gridCol w:w="1521"/>
              <w:gridCol w:w="4987"/>
              <w:gridCol w:w="1296"/>
            </w:tblGrid>
            <w:tr w14:paraId="62EE6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375" w:type="pct"/>
                  <w:tcBorders>
                    <w:tl2br w:val="nil"/>
                    <w:tr2bl w:val="nil"/>
                  </w:tcBorders>
                  <w:vAlign w:val="center"/>
                </w:tcPr>
                <w:p w14:paraId="6AD769FA">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序号</w:t>
                  </w:r>
                </w:p>
              </w:tc>
              <w:tc>
                <w:tcPr>
                  <w:tcW w:w="900" w:type="pct"/>
                  <w:tcBorders>
                    <w:tl2br w:val="nil"/>
                    <w:tr2bl w:val="nil"/>
                  </w:tcBorders>
                  <w:vAlign w:val="center"/>
                </w:tcPr>
                <w:p w14:paraId="3DD165C4">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污染源</w:t>
                  </w:r>
                </w:p>
              </w:tc>
              <w:tc>
                <w:tcPr>
                  <w:tcW w:w="2955" w:type="pct"/>
                  <w:tcBorders>
                    <w:tl2br w:val="nil"/>
                    <w:tr2bl w:val="nil"/>
                  </w:tcBorders>
                  <w:vAlign w:val="center"/>
                </w:tcPr>
                <w:p w14:paraId="0A6BD3C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采取的环保措施</w:t>
                  </w:r>
                </w:p>
              </w:tc>
              <w:tc>
                <w:tcPr>
                  <w:tcW w:w="768" w:type="pct"/>
                  <w:tcBorders>
                    <w:tl2br w:val="nil"/>
                    <w:tr2bl w:val="nil"/>
                  </w:tcBorders>
                  <w:tcMar>
                    <w:top w:w="0" w:type="dxa"/>
                    <w:left w:w="68" w:type="dxa"/>
                    <w:bottom w:w="0" w:type="dxa"/>
                    <w:right w:w="68" w:type="dxa"/>
                  </w:tcMar>
                  <w:vAlign w:val="center"/>
                </w:tcPr>
                <w:p w14:paraId="34EAA34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环保投资费用（万元）</w:t>
                  </w:r>
                </w:p>
              </w:tc>
            </w:tr>
            <w:tr w14:paraId="31061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375" w:type="pct"/>
                  <w:tcBorders>
                    <w:tl2br w:val="nil"/>
                    <w:tr2bl w:val="nil"/>
                  </w:tcBorders>
                  <w:vAlign w:val="center"/>
                </w:tcPr>
                <w:p w14:paraId="7CAA4C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废气</w:t>
                  </w:r>
                </w:p>
              </w:tc>
              <w:tc>
                <w:tcPr>
                  <w:tcW w:w="900" w:type="pct"/>
                  <w:tcBorders>
                    <w:tl2br w:val="nil"/>
                    <w:tr2bl w:val="nil"/>
                  </w:tcBorders>
                  <w:vAlign w:val="center"/>
                </w:tcPr>
                <w:p w14:paraId="1747A9A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加热成型</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废气</w:t>
                  </w:r>
                </w:p>
              </w:tc>
              <w:tc>
                <w:tcPr>
                  <w:tcW w:w="2955" w:type="pct"/>
                  <w:tcBorders>
                    <w:tl2br w:val="nil"/>
                    <w:tr2bl w:val="nil"/>
                  </w:tcBorders>
                  <w:vAlign w:val="center"/>
                </w:tcPr>
                <w:p w14:paraId="7622C42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集气罩</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收集+</w:t>
                  </w:r>
                  <w:r>
                    <w:rPr>
                      <w:rFonts w:hint="default" w:ascii="Times New Roman" w:hAnsi="Times New Roman" w:eastAsia="宋体" w:cs="Times New Roman"/>
                      <w:caps w:val="0"/>
                      <w:color w:val="000000" w:themeColor="text1"/>
                      <w:szCs w:val="21"/>
                      <w:highlight w:val="none"/>
                      <w14:textFill>
                        <w14:solidFill>
                          <w14:schemeClr w14:val="tx1"/>
                        </w14:solidFill>
                      </w14:textFill>
                    </w:rPr>
                    <w:t>二级活性炭吸附装置+</w:t>
                  </w:r>
                  <w:r>
                    <w:rPr>
                      <w:rFonts w:hint="eastAsia" w:cs="Times New Roman"/>
                      <w:caps w:val="0"/>
                      <w:color w:val="000000" w:themeColor="text1"/>
                      <w:szCs w:val="21"/>
                      <w:highlight w:val="none"/>
                      <w:lang w:val="en-US" w:eastAsia="zh-CN"/>
                      <w14:textFill>
                        <w14:solidFill>
                          <w14:schemeClr w14:val="tx1"/>
                        </w14:solidFill>
                      </w14:textFill>
                    </w:rPr>
                    <w:t>20</w:t>
                  </w:r>
                  <w:r>
                    <w:rPr>
                      <w:rFonts w:hint="default" w:ascii="Times New Roman" w:hAnsi="Times New Roman" w:eastAsia="宋体" w:cs="Times New Roman"/>
                      <w:caps w:val="0"/>
                      <w:color w:val="000000" w:themeColor="text1"/>
                      <w:szCs w:val="21"/>
                      <w:highlight w:val="none"/>
                      <w14:textFill>
                        <w14:solidFill>
                          <w14:schemeClr w14:val="tx1"/>
                        </w14:solidFill>
                      </w14:textFill>
                    </w:rPr>
                    <w:t>m高排气筒（DA00</w:t>
                  </w:r>
                  <w:r>
                    <w:rPr>
                      <w:rFonts w:hint="eastAsia" w:cs="Times New Roman"/>
                      <w:caps w:val="0"/>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p>
              </w:tc>
              <w:tc>
                <w:tcPr>
                  <w:tcW w:w="768" w:type="pct"/>
                  <w:tcBorders>
                    <w:tl2br w:val="nil"/>
                    <w:tr2bl w:val="nil"/>
                  </w:tcBorders>
                  <w:tcMar>
                    <w:top w:w="0" w:type="dxa"/>
                    <w:left w:w="68" w:type="dxa"/>
                    <w:bottom w:w="0" w:type="dxa"/>
                    <w:right w:w="68" w:type="dxa"/>
                  </w:tcMar>
                  <w:vAlign w:val="center"/>
                </w:tcPr>
                <w:p w14:paraId="3EC782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Cs w:val="21"/>
                      <w:highlight w:val="none"/>
                      <w14:textFill>
                        <w14:solidFill>
                          <w14:schemeClr w14:val="tx1"/>
                        </w14:solidFill>
                      </w14:textFill>
                    </w:rPr>
                    <w:t>0</w:t>
                  </w:r>
                </w:p>
              </w:tc>
            </w:tr>
            <w:tr w14:paraId="6BD4B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5" w:type="pct"/>
                  <w:vMerge w:val="restart"/>
                  <w:tcBorders>
                    <w:tl2br w:val="nil"/>
                    <w:tr2bl w:val="nil"/>
                  </w:tcBorders>
                  <w:vAlign w:val="center"/>
                </w:tcPr>
                <w:p w14:paraId="4357C50A">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废水</w:t>
                  </w:r>
                </w:p>
              </w:tc>
              <w:tc>
                <w:tcPr>
                  <w:tcW w:w="900" w:type="pct"/>
                  <w:tcBorders>
                    <w:tl2br w:val="nil"/>
                    <w:tr2bl w:val="nil"/>
                  </w:tcBorders>
                  <w:vAlign w:val="center"/>
                </w:tcPr>
                <w:p w14:paraId="76F4CF0B">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生活污水</w:t>
                  </w:r>
                </w:p>
              </w:tc>
              <w:tc>
                <w:tcPr>
                  <w:tcW w:w="2955" w:type="pct"/>
                  <w:tcBorders>
                    <w:tl2br w:val="nil"/>
                    <w:tr2bl w:val="nil"/>
                  </w:tcBorders>
                  <w:vAlign w:val="center"/>
                </w:tcPr>
                <w:p w14:paraId="4F7EDB79">
                  <w:pPr>
                    <w:pStyle w:val="4"/>
                    <w:ind w:firstLine="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化粪池（依托现有）</w:t>
                  </w:r>
                </w:p>
              </w:tc>
              <w:tc>
                <w:tcPr>
                  <w:tcW w:w="768" w:type="pct"/>
                  <w:tcBorders>
                    <w:tl2br w:val="nil"/>
                    <w:tr2bl w:val="nil"/>
                  </w:tcBorders>
                  <w:tcMar>
                    <w:top w:w="0" w:type="dxa"/>
                    <w:left w:w="68" w:type="dxa"/>
                    <w:bottom w:w="0" w:type="dxa"/>
                    <w:right w:w="68" w:type="dxa"/>
                  </w:tcMar>
                  <w:vAlign w:val="center"/>
                </w:tcPr>
                <w:p w14:paraId="15EF94B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2E904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5" w:type="pct"/>
                  <w:vMerge w:val="continue"/>
                  <w:tcBorders>
                    <w:tl2br w:val="nil"/>
                    <w:tr2bl w:val="nil"/>
                  </w:tcBorders>
                  <w:vAlign w:val="center"/>
                </w:tcPr>
                <w:p w14:paraId="37A71D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54A4DBC7">
                  <w:pPr>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冷却塔循环水</w:t>
                  </w:r>
                </w:p>
              </w:tc>
              <w:tc>
                <w:tcPr>
                  <w:tcW w:w="2955" w:type="pct"/>
                  <w:tcBorders>
                    <w:tl2br w:val="nil"/>
                    <w:tr2bl w:val="nil"/>
                  </w:tcBorders>
                  <w:vAlign w:val="center"/>
                </w:tcPr>
                <w:p w14:paraId="02C7B139">
                  <w:pPr>
                    <w:pStyle w:val="4"/>
                    <w:ind w:firstLine="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冷却塔</w:t>
                  </w:r>
                </w:p>
              </w:tc>
              <w:tc>
                <w:tcPr>
                  <w:tcW w:w="768" w:type="pct"/>
                  <w:tcBorders>
                    <w:tl2br w:val="nil"/>
                    <w:tr2bl w:val="nil"/>
                  </w:tcBorders>
                  <w:tcMar>
                    <w:top w:w="0" w:type="dxa"/>
                    <w:left w:w="68" w:type="dxa"/>
                    <w:bottom w:w="0" w:type="dxa"/>
                    <w:right w:w="68" w:type="dxa"/>
                  </w:tcMar>
                  <w:vAlign w:val="center"/>
                </w:tcPr>
                <w:p w14:paraId="640ECDE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3</w:t>
                  </w:r>
                </w:p>
              </w:tc>
            </w:tr>
            <w:tr w14:paraId="060EB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5" w:type="pct"/>
                  <w:vMerge w:val="restart"/>
                  <w:tcBorders>
                    <w:tl2br w:val="nil"/>
                    <w:tr2bl w:val="nil"/>
                  </w:tcBorders>
                  <w:vAlign w:val="center"/>
                </w:tcPr>
                <w:p w14:paraId="7473AD3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固废</w:t>
                  </w:r>
                </w:p>
              </w:tc>
              <w:tc>
                <w:tcPr>
                  <w:tcW w:w="900" w:type="pct"/>
                  <w:tcBorders>
                    <w:tl2br w:val="nil"/>
                    <w:tr2bl w:val="nil"/>
                  </w:tcBorders>
                  <w:vAlign w:val="center"/>
                </w:tcPr>
                <w:p w14:paraId="46C5C53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w:t>
                  </w:r>
                </w:p>
              </w:tc>
              <w:tc>
                <w:tcPr>
                  <w:tcW w:w="2955" w:type="pct"/>
                  <w:tcBorders>
                    <w:tl2br w:val="nil"/>
                    <w:tr2bl w:val="nil"/>
                  </w:tcBorders>
                  <w:vAlign w:val="center"/>
                </w:tcPr>
                <w:p w14:paraId="64805785">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一般固废暂存</w:t>
                  </w:r>
                </w:p>
              </w:tc>
              <w:tc>
                <w:tcPr>
                  <w:tcW w:w="768" w:type="pct"/>
                  <w:tcBorders>
                    <w:tl2br w:val="nil"/>
                    <w:tr2bl w:val="nil"/>
                  </w:tcBorders>
                  <w:tcMar>
                    <w:top w:w="0" w:type="dxa"/>
                    <w:left w:w="68" w:type="dxa"/>
                    <w:bottom w:w="0" w:type="dxa"/>
                    <w:right w:w="68" w:type="dxa"/>
                  </w:tcMar>
                  <w:vAlign w:val="center"/>
                </w:tcPr>
                <w:p w14:paraId="4A37B4EC">
                  <w:pPr>
                    <w:jc w:val="center"/>
                    <w:rPr>
                      <w:rFonts w:hint="eastAsia"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1</w:t>
                  </w:r>
                </w:p>
              </w:tc>
            </w:tr>
            <w:tr w14:paraId="2F3E2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5" w:type="pct"/>
                  <w:vMerge w:val="continue"/>
                  <w:tcBorders>
                    <w:tl2br w:val="nil"/>
                    <w:tr2bl w:val="nil"/>
                  </w:tcBorders>
                  <w:vAlign w:val="center"/>
                </w:tcPr>
                <w:p w14:paraId="70BAF353">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4FA48A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危险固废</w:t>
                  </w:r>
                </w:p>
              </w:tc>
              <w:tc>
                <w:tcPr>
                  <w:tcW w:w="2955" w:type="pct"/>
                  <w:tcBorders>
                    <w:tl2br w:val="nil"/>
                    <w:tr2bl w:val="nil"/>
                  </w:tcBorders>
                  <w:vAlign w:val="center"/>
                </w:tcPr>
                <w:p w14:paraId="48B2519D">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危险废物暂存处防腐防渗，产生的危废交由有相关资质单位进行处理</w:t>
                  </w:r>
                </w:p>
              </w:tc>
              <w:tc>
                <w:tcPr>
                  <w:tcW w:w="768" w:type="pct"/>
                  <w:tcBorders>
                    <w:tl2br w:val="nil"/>
                    <w:tr2bl w:val="nil"/>
                  </w:tcBorders>
                  <w:tcMar>
                    <w:top w:w="0" w:type="dxa"/>
                    <w:left w:w="68" w:type="dxa"/>
                    <w:bottom w:w="0" w:type="dxa"/>
                    <w:right w:w="68" w:type="dxa"/>
                  </w:tcMar>
                  <w:vAlign w:val="center"/>
                </w:tcPr>
                <w:p w14:paraId="259C70F9">
                  <w:pPr>
                    <w:jc w:val="center"/>
                    <w:rPr>
                      <w:rFonts w:hint="eastAsia"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8</w:t>
                  </w:r>
                </w:p>
              </w:tc>
            </w:tr>
            <w:tr w14:paraId="6DA38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75" w:type="pct"/>
                  <w:vMerge w:val="continue"/>
                  <w:tcBorders>
                    <w:tl2br w:val="nil"/>
                    <w:tr2bl w:val="nil"/>
                  </w:tcBorders>
                  <w:vAlign w:val="center"/>
                </w:tcPr>
                <w:p w14:paraId="00C601D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011CE09A">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生活垃圾</w:t>
                  </w:r>
                </w:p>
              </w:tc>
              <w:tc>
                <w:tcPr>
                  <w:tcW w:w="2955" w:type="pct"/>
                  <w:tcBorders>
                    <w:tl2br w:val="nil"/>
                    <w:tr2bl w:val="nil"/>
                  </w:tcBorders>
                  <w:vAlign w:val="center"/>
                </w:tcPr>
                <w:p w14:paraId="6732D8DE">
                  <w:pPr>
                    <w:ind w:firstLine="21" w:firstLineChars="10"/>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垃圾桶</w:t>
                  </w:r>
                </w:p>
              </w:tc>
              <w:tc>
                <w:tcPr>
                  <w:tcW w:w="768" w:type="pct"/>
                  <w:tcBorders>
                    <w:tl2br w:val="nil"/>
                    <w:tr2bl w:val="nil"/>
                  </w:tcBorders>
                  <w:tcMar>
                    <w:top w:w="0" w:type="dxa"/>
                    <w:left w:w="68" w:type="dxa"/>
                    <w:bottom w:w="0" w:type="dxa"/>
                    <w:right w:w="68" w:type="dxa"/>
                  </w:tcMar>
                  <w:vAlign w:val="center"/>
                </w:tcPr>
                <w:p w14:paraId="02B18AAF">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2</w:t>
                  </w:r>
                </w:p>
              </w:tc>
            </w:tr>
            <w:tr w14:paraId="51E05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4" w:hRule="atLeast"/>
                <w:jc w:val="center"/>
              </w:trPr>
              <w:tc>
                <w:tcPr>
                  <w:tcW w:w="375" w:type="pct"/>
                  <w:tcBorders>
                    <w:tl2br w:val="nil"/>
                    <w:tr2bl w:val="nil"/>
                  </w:tcBorders>
                  <w:vAlign w:val="center"/>
                </w:tcPr>
                <w:p w14:paraId="7121F1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900" w:type="pct"/>
                  <w:tcBorders>
                    <w:tl2br w:val="nil"/>
                    <w:tr2bl w:val="nil"/>
                  </w:tcBorders>
                  <w:vAlign w:val="center"/>
                </w:tcPr>
                <w:p w14:paraId="7B3339E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2955" w:type="pct"/>
                  <w:tcBorders>
                    <w:tl2br w:val="nil"/>
                    <w:tr2bl w:val="nil"/>
                  </w:tcBorders>
                  <w:vAlign w:val="center"/>
                </w:tcPr>
                <w:p w14:paraId="0F1B65C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t>低噪声设备、</w:t>
                  </w:r>
                  <w:r>
                    <w:rPr>
                      <w:rFonts w:hint="default" w:ascii="Times New Roman" w:hAnsi="Times New Roman" w:eastAsia="宋体" w:cs="Times New Roman"/>
                      <w:caps w:val="0"/>
                      <w:color w:val="000000" w:themeColor="text1"/>
                      <w:szCs w:val="21"/>
                      <w:highlight w:val="none"/>
                      <w14:textFill>
                        <w14:solidFill>
                          <w14:schemeClr w14:val="tx1"/>
                        </w14:solidFill>
                      </w14:textFill>
                    </w:rPr>
                    <w:t>隔声等</w:t>
                  </w:r>
                </w:p>
              </w:tc>
              <w:tc>
                <w:tcPr>
                  <w:tcW w:w="768" w:type="pct"/>
                  <w:tcBorders>
                    <w:tl2br w:val="nil"/>
                    <w:tr2bl w:val="nil"/>
                  </w:tcBorders>
                  <w:tcMar>
                    <w:top w:w="0" w:type="dxa"/>
                    <w:left w:w="68" w:type="dxa"/>
                    <w:bottom w:w="0" w:type="dxa"/>
                    <w:right w:w="68" w:type="dxa"/>
                  </w:tcMar>
                  <w:vAlign w:val="center"/>
                </w:tcPr>
                <w:p w14:paraId="11BB2E09">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5</w:t>
                  </w:r>
                </w:p>
              </w:tc>
            </w:tr>
            <w:tr w14:paraId="5321E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57" w:hRule="atLeast"/>
                <w:jc w:val="center"/>
              </w:trPr>
              <w:tc>
                <w:tcPr>
                  <w:tcW w:w="1276" w:type="pct"/>
                  <w:gridSpan w:val="2"/>
                  <w:tcBorders>
                    <w:tl2br w:val="nil"/>
                    <w:tr2bl w:val="nil"/>
                  </w:tcBorders>
                  <w:vAlign w:val="center"/>
                </w:tcPr>
                <w:p w14:paraId="444983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地下水、土壤</w:t>
                  </w:r>
                </w:p>
              </w:tc>
              <w:tc>
                <w:tcPr>
                  <w:tcW w:w="2955" w:type="pct"/>
                  <w:tcBorders>
                    <w:tl2br w:val="nil"/>
                    <w:tr2bl w:val="nil"/>
                  </w:tcBorders>
                  <w:vAlign w:val="center"/>
                </w:tcPr>
                <w:p w14:paraId="210704E3">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分区防渗：</w:t>
                  </w:r>
                  <w: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t>原料</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区</w:t>
                  </w:r>
                  <w:r>
                    <w:rPr>
                      <w:rFonts w:hint="default" w:ascii="Times New Roman" w:hAnsi="Times New Roman" w:cs="Times New Roman"/>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危废暂存库</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采取重点防渗；</w:t>
                  </w:r>
                  <w:r>
                    <w:rPr>
                      <w:rFonts w:hint="default" w:ascii="Times New Roman" w:hAnsi="Times New Roman" w:eastAsia="宋体" w:cs="Times New Roman"/>
                      <w:bCs/>
                      <w:caps w:val="0"/>
                      <w:color w:val="000000" w:themeColor="text1"/>
                      <w:szCs w:val="21"/>
                      <w:highlight w:val="none"/>
                      <w14:textFill>
                        <w14:solidFill>
                          <w14:schemeClr w14:val="tx1"/>
                        </w14:solidFill>
                      </w14:textFill>
                    </w:rPr>
                    <w:t>生产区、其他仓库区域</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采取一般防渗；除重点防渗区、一般防渗区外的区域采取简单防渗</w:t>
                  </w:r>
                </w:p>
              </w:tc>
              <w:tc>
                <w:tcPr>
                  <w:tcW w:w="768" w:type="pct"/>
                  <w:tcBorders>
                    <w:tl2br w:val="nil"/>
                    <w:tr2bl w:val="nil"/>
                  </w:tcBorders>
                  <w:tcMar>
                    <w:top w:w="0" w:type="dxa"/>
                    <w:left w:w="68" w:type="dxa"/>
                    <w:bottom w:w="0" w:type="dxa"/>
                    <w:right w:w="68" w:type="dxa"/>
                  </w:tcMar>
                  <w:vAlign w:val="center"/>
                </w:tcPr>
                <w:p w14:paraId="68CBCCF9">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2</w:t>
                  </w:r>
                </w:p>
              </w:tc>
            </w:tr>
            <w:tr w14:paraId="254E4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1276" w:type="pct"/>
                  <w:gridSpan w:val="2"/>
                  <w:tcBorders>
                    <w:tl2br w:val="nil"/>
                    <w:tr2bl w:val="nil"/>
                  </w:tcBorders>
                  <w:vAlign w:val="center"/>
                </w:tcPr>
                <w:p w14:paraId="432173C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环境风险防范及事故应急</w:t>
                  </w:r>
                </w:p>
              </w:tc>
              <w:tc>
                <w:tcPr>
                  <w:tcW w:w="2955" w:type="pct"/>
                  <w:tcBorders>
                    <w:tl2br w:val="nil"/>
                    <w:tr2bl w:val="nil"/>
                  </w:tcBorders>
                  <w:vAlign w:val="center"/>
                </w:tcPr>
                <w:p w14:paraId="2D2D42B4">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风险防范物资，完善风险防范措施</w:t>
                  </w:r>
                </w:p>
              </w:tc>
              <w:tc>
                <w:tcPr>
                  <w:tcW w:w="768" w:type="pct"/>
                  <w:tcBorders>
                    <w:tl2br w:val="nil"/>
                    <w:tr2bl w:val="nil"/>
                  </w:tcBorders>
                  <w:tcMar>
                    <w:top w:w="0" w:type="dxa"/>
                    <w:left w:w="68" w:type="dxa"/>
                    <w:bottom w:w="0" w:type="dxa"/>
                    <w:right w:w="68" w:type="dxa"/>
                  </w:tcMar>
                  <w:vAlign w:val="center"/>
                </w:tcPr>
                <w:p w14:paraId="34F7A264">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w:t>
                  </w:r>
                </w:p>
              </w:tc>
            </w:tr>
            <w:tr w14:paraId="560C9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4231" w:type="pct"/>
                  <w:gridSpan w:val="3"/>
                  <w:tcBorders>
                    <w:tl2br w:val="nil"/>
                    <w:tr2bl w:val="nil"/>
                  </w:tcBorders>
                  <w:vAlign w:val="center"/>
                </w:tcPr>
                <w:p w14:paraId="102037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合计</w:t>
                  </w:r>
                </w:p>
              </w:tc>
              <w:tc>
                <w:tcPr>
                  <w:tcW w:w="768" w:type="pct"/>
                  <w:tcBorders>
                    <w:tl2br w:val="nil"/>
                    <w:tr2bl w:val="nil"/>
                  </w:tcBorders>
                  <w:tcMar>
                    <w:top w:w="0" w:type="dxa"/>
                    <w:left w:w="68" w:type="dxa"/>
                    <w:bottom w:w="0" w:type="dxa"/>
                    <w:right w:w="68" w:type="dxa"/>
                  </w:tcMar>
                  <w:vAlign w:val="center"/>
                </w:tcPr>
                <w:p w14:paraId="547E101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42</w:t>
                  </w:r>
                </w:p>
              </w:tc>
            </w:tr>
          </w:tbl>
          <w:p w14:paraId="5A74D462">
            <w:pPr>
              <w:pStyle w:val="53"/>
              <w:tabs>
                <w:tab w:val="left" w:pos="570"/>
                <w:tab w:val="center" w:pos="4422"/>
              </w:tabs>
              <w:spacing w:before="0" w:beforeAutospacing="0" w:after="0" w:afterAutospacing="0"/>
              <w:outlineLvl w:val="0"/>
              <w:rPr>
                <w:rFonts w:ascii="Times New Roman" w:hAnsi="Times New Roman"/>
                <w:b/>
                <w:snapToGrid w:val="0"/>
                <w:sz w:val="30"/>
                <w:szCs w:val="30"/>
              </w:rPr>
            </w:pPr>
          </w:p>
        </w:tc>
      </w:tr>
    </w:tbl>
    <w:p w14:paraId="7AC354F1">
      <w:p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C4939EF">
      <w:pPr>
        <w:pStyle w:val="53"/>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五、</w:t>
      </w:r>
      <w:bookmarkStart w:id="20" w:name="_Hlk54167917"/>
      <w:r>
        <w:rPr>
          <w:rFonts w:hint="eastAsia" w:ascii="Times New Roman" w:hAnsi="Times New Roman"/>
          <w:b/>
          <w:snapToGrid w:val="0"/>
          <w:sz w:val="30"/>
          <w:szCs w:val="30"/>
        </w:rPr>
        <w:t>环境保护措施监督检查清单</w:t>
      </w:r>
      <w:bookmarkEnd w:id="20"/>
    </w:p>
    <w:tbl>
      <w:tblPr>
        <w:tblStyle w:val="5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71"/>
        <w:gridCol w:w="567"/>
        <w:gridCol w:w="1275"/>
        <w:gridCol w:w="1246"/>
        <w:gridCol w:w="1316"/>
        <w:gridCol w:w="3425"/>
      </w:tblGrid>
      <w:tr w14:paraId="019DF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71" w:type="dxa"/>
            <w:tcBorders>
              <w:top w:val="single" w:color="auto" w:sz="12" w:space="0"/>
              <w:left w:val="single" w:color="auto" w:sz="12" w:space="0"/>
              <w:bottom w:val="single" w:color="auto" w:sz="4" w:space="0"/>
              <w:tl2br w:val="single" w:color="auto" w:sz="4" w:space="0"/>
            </w:tcBorders>
          </w:tcPr>
          <w:p w14:paraId="404055A0">
            <w:pPr>
              <w:adjustRightInd w:val="0"/>
              <w:snapToGrid w:val="0"/>
              <w:jc w:val="right"/>
              <w:rPr>
                <w:rFonts w:cs="宋体"/>
                <w:b/>
                <w:szCs w:val="21"/>
              </w:rPr>
            </w:pPr>
            <w:r>
              <w:rPr>
                <w:rFonts w:hint="eastAsia" w:cs="宋体"/>
                <w:b/>
                <w:szCs w:val="21"/>
              </w:rPr>
              <w:t>内容</w:t>
            </w:r>
          </w:p>
          <w:p w14:paraId="7F219FC1">
            <w:pPr>
              <w:adjustRightInd w:val="0"/>
              <w:snapToGrid w:val="0"/>
              <w:jc w:val="left"/>
              <w:rPr>
                <w:rFonts w:cs="宋体"/>
                <w:b/>
                <w:szCs w:val="21"/>
              </w:rPr>
            </w:pPr>
            <w:r>
              <w:rPr>
                <w:rFonts w:hint="eastAsia" w:cs="宋体"/>
                <w:b/>
                <w:szCs w:val="21"/>
              </w:rPr>
              <w:t>要素</w:t>
            </w:r>
          </w:p>
        </w:tc>
        <w:tc>
          <w:tcPr>
            <w:tcW w:w="1842" w:type="dxa"/>
            <w:gridSpan w:val="2"/>
            <w:tcBorders>
              <w:top w:val="single" w:color="auto" w:sz="12" w:space="0"/>
              <w:bottom w:val="single" w:color="auto" w:sz="4" w:space="0"/>
            </w:tcBorders>
            <w:vAlign w:val="center"/>
          </w:tcPr>
          <w:p w14:paraId="47FABE00">
            <w:pPr>
              <w:adjustRightInd w:val="0"/>
              <w:snapToGrid w:val="0"/>
              <w:jc w:val="center"/>
              <w:rPr>
                <w:rFonts w:cs="宋体"/>
                <w:b/>
                <w:szCs w:val="21"/>
              </w:rPr>
            </w:pPr>
            <w:r>
              <w:rPr>
                <w:rFonts w:hint="eastAsia" w:cs="宋体"/>
                <w:b/>
                <w:szCs w:val="21"/>
              </w:rPr>
              <w:t>排放口（编号、名称）/污染源</w:t>
            </w:r>
          </w:p>
        </w:tc>
        <w:tc>
          <w:tcPr>
            <w:tcW w:w="1246" w:type="dxa"/>
            <w:tcBorders>
              <w:top w:val="single" w:color="auto" w:sz="12" w:space="0"/>
              <w:bottom w:val="single" w:color="auto" w:sz="4" w:space="0"/>
            </w:tcBorders>
            <w:vAlign w:val="center"/>
          </w:tcPr>
          <w:p w14:paraId="7957EED2">
            <w:pPr>
              <w:adjustRightInd w:val="0"/>
              <w:snapToGrid w:val="0"/>
              <w:jc w:val="center"/>
              <w:rPr>
                <w:rFonts w:cs="宋体"/>
                <w:b/>
                <w:szCs w:val="21"/>
              </w:rPr>
            </w:pPr>
            <w:r>
              <w:rPr>
                <w:rFonts w:hint="eastAsia" w:cs="宋体"/>
                <w:b/>
                <w:szCs w:val="21"/>
              </w:rPr>
              <w:t>污染物项目</w:t>
            </w:r>
          </w:p>
        </w:tc>
        <w:tc>
          <w:tcPr>
            <w:tcW w:w="1316" w:type="dxa"/>
            <w:tcBorders>
              <w:top w:val="single" w:color="auto" w:sz="12" w:space="0"/>
              <w:bottom w:val="single" w:color="auto" w:sz="4" w:space="0"/>
            </w:tcBorders>
            <w:vAlign w:val="center"/>
          </w:tcPr>
          <w:p w14:paraId="3D71F2EA">
            <w:pPr>
              <w:adjustRightInd w:val="0"/>
              <w:snapToGrid w:val="0"/>
              <w:jc w:val="center"/>
              <w:rPr>
                <w:rFonts w:cs="宋体"/>
                <w:b/>
                <w:szCs w:val="21"/>
              </w:rPr>
            </w:pPr>
            <w:r>
              <w:rPr>
                <w:rFonts w:hint="eastAsia" w:cs="宋体"/>
                <w:b/>
                <w:szCs w:val="21"/>
              </w:rPr>
              <w:t>环境保护措施</w:t>
            </w:r>
          </w:p>
        </w:tc>
        <w:tc>
          <w:tcPr>
            <w:tcW w:w="3425" w:type="dxa"/>
            <w:tcBorders>
              <w:top w:val="single" w:color="auto" w:sz="12" w:space="0"/>
              <w:bottom w:val="single" w:color="auto" w:sz="4" w:space="0"/>
              <w:right w:val="single" w:color="auto" w:sz="12" w:space="0"/>
            </w:tcBorders>
            <w:vAlign w:val="center"/>
          </w:tcPr>
          <w:p w14:paraId="5780C1F7">
            <w:pPr>
              <w:adjustRightInd w:val="0"/>
              <w:snapToGrid w:val="0"/>
              <w:jc w:val="center"/>
              <w:rPr>
                <w:rFonts w:cs="宋体"/>
                <w:b/>
                <w:szCs w:val="21"/>
              </w:rPr>
            </w:pPr>
            <w:r>
              <w:rPr>
                <w:rFonts w:hint="eastAsia" w:cs="宋体"/>
                <w:b/>
                <w:szCs w:val="21"/>
              </w:rPr>
              <w:t>执行标准</w:t>
            </w:r>
          </w:p>
        </w:tc>
      </w:tr>
      <w:tr w14:paraId="440A6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restart"/>
            <w:tcBorders>
              <w:top w:val="single" w:color="auto" w:sz="4" w:space="0"/>
              <w:left w:val="single" w:color="auto" w:sz="12" w:space="0"/>
            </w:tcBorders>
            <w:vAlign w:val="center"/>
          </w:tcPr>
          <w:p w14:paraId="24B6A3CF">
            <w:pPr>
              <w:adjustRightInd w:val="0"/>
              <w:snapToGrid w:val="0"/>
              <w:jc w:val="center"/>
              <w:rPr>
                <w:rFonts w:cs="宋体"/>
                <w:szCs w:val="21"/>
              </w:rPr>
            </w:pPr>
            <w:r>
              <w:rPr>
                <w:rFonts w:hint="eastAsia" w:cs="宋体"/>
                <w:szCs w:val="21"/>
              </w:rPr>
              <w:t>大气</w:t>
            </w:r>
          </w:p>
          <w:p w14:paraId="0DB6F8BF">
            <w:pPr>
              <w:adjustRightInd w:val="0"/>
              <w:snapToGrid w:val="0"/>
              <w:jc w:val="center"/>
              <w:rPr>
                <w:rFonts w:cs="宋体"/>
                <w:szCs w:val="21"/>
              </w:rPr>
            </w:pPr>
            <w:r>
              <w:rPr>
                <w:rFonts w:hint="eastAsia" w:cs="宋体"/>
                <w:szCs w:val="21"/>
              </w:rPr>
              <w:t>环境</w:t>
            </w:r>
          </w:p>
        </w:tc>
        <w:tc>
          <w:tcPr>
            <w:tcW w:w="567" w:type="dxa"/>
            <w:vMerge w:val="restart"/>
            <w:tcBorders>
              <w:top w:val="single" w:color="auto" w:sz="4" w:space="0"/>
            </w:tcBorders>
            <w:vAlign w:val="center"/>
          </w:tcPr>
          <w:p w14:paraId="3F716D5F">
            <w:pPr>
              <w:snapToGrid w:val="0"/>
              <w:jc w:val="center"/>
              <w:rPr>
                <w:kern w:val="1"/>
                <w:szCs w:val="21"/>
              </w:rPr>
            </w:pPr>
            <w:r>
              <w:rPr>
                <w:kern w:val="1"/>
                <w:szCs w:val="21"/>
              </w:rPr>
              <w:t>有组织</w:t>
            </w:r>
          </w:p>
        </w:tc>
        <w:tc>
          <w:tcPr>
            <w:tcW w:w="1275" w:type="dxa"/>
            <w:vMerge w:val="restart"/>
            <w:tcBorders>
              <w:top w:val="single" w:color="auto" w:sz="4" w:space="0"/>
            </w:tcBorders>
            <w:vAlign w:val="center"/>
          </w:tcPr>
          <w:p w14:paraId="5BE078B1">
            <w:pPr>
              <w:snapToGrid w:val="0"/>
              <w:jc w:val="center"/>
              <w:rPr>
                <w:kern w:val="1"/>
                <w:szCs w:val="21"/>
              </w:rPr>
            </w:pPr>
            <w:r>
              <w:rPr>
                <w:kern w:val="1"/>
                <w:szCs w:val="21"/>
              </w:rPr>
              <w:t>DA001</w:t>
            </w:r>
          </w:p>
        </w:tc>
        <w:tc>
          <w:tcPr>
            <w:tcW w:w="1246" w:type="dxa"/>
            <w:tcBorders>
              <w:top w:val="single" w:color="auto" w:sz="4" w:space="0"/>
              <w:bottom w:val="single" w:color="auto" w:sz="4" w:space="0"/>
            </w:tcBorders>
            <w:vAlign w:val="center"/>
          </w:tcPr>
          <w:p w14:paraId="4D8308EC">
            <w:pPr>
              <w:snapToGrid w:val="0"/>
              <w:jc w:val="center"/>
              <w:rPr>
                <w:rFonts w:hint="eastAsia" w:eastAsia="宋体"/>
                <w:kern w:val="1"/>
                <w:szCs w:val="21"/>
                <w:lang w:eastAsia="zh-CN"/>
              </w:rPr>
            </w:pPr>
            <w:r>
              <w:rPr>
                <w:rFonts w:hint="eastAsia"/>
                <w:szCs w:val="21"/>
                <w:lang w:val="en-US" w:eastAsia="zh-CN"/>
              </w:rPr>
              <w:t>非甲烷总烃</w:t>
            </w:r>
          </w:p>
        </w:tc>
        <w:tc>
          <w:tcPr>
            <w:tcW w:w="1316" w:type="dxa"/>
            <w:vMerge w:val="restart"/>
            <w:tcBorders>
              <w:top w:val="single" w:color="auto" w:sz="4" w:space="0"/>
            </w:tcBorders>
            <w:vAlign w:val="center"/>
          </w:tcPr>
          <w:p w14:paraId="36FA31C8">
            <w:pPr>
              <w:snapToGrid w:val="0"/>
              <w:jc w:val="center"/>
              <w:rPr>
                <w:kern w:val="1"/>
                <w:szCs w:val="21"/>
              </w:rPr>
            </w:pPr>
            <w:r>
              <w:rPr>
                <w:rFonts w:hint="eastAsia"/>
                <w:szCs w:val="21"/>
                <w:lang w:val="en-US" w:eastAsia="zh-CN"/>
              </w:rPr>
              <w:t>集气罩+二级活性炭吸附装置</w:t>
            </w:r>
            <w:r>
              <w:rPr>
                <w:rFonts w:hint="eastAsia"/>
                <w:szCs w:val="21"/>
              </w:rPr>
              <w:t>+</w:t>
            </w:r>
            <w:r>
              <w:rPr>
                <w:rFonts w:hint="eastAsia"/>
                <w:szCs w:val="21"/>
                <w:lang w:val="en-US" w:eastAsia="zh-CN"/>
              </w:rPr>
              <w:t>20</w:t>
            </w:r>
            <w:r>
              <w:rPr>
                <w:szCs w:val="21"/>
              </w:rPr>
              <w:t>m高排气筒</w:t>
            </w:r>
          </w:p>
        </w:tc>
        <w:tc>
          <w:tcPr>
            <w:tcW w:w="3425" w:type="dxa"/>
            <w:tcBorders>
              <w:top w:val="single" w:color="auto" w:sz="4" w:space="0"/>
              <w:right w:val="single" w:color="auto" w:sz="12" w:space="0"/>
            </w:tcBorders>
            <w:vAlign w:val="center"/>
          </w:tcPr>
          <w:p w14:paraId="37549CA6">
            <w:pPr>
              <w:snapToGrid w:val="0"/>
              <w:ind w:left="42" w:leftChars="20" w:right="42" w:rightChars="20"/>
              <w:jc w:val="center"/>
              <w:rPr>
                <w:kern w:val="0"/>
                <w:szCs w:val="21"/>
              </w:rPr>
            </w:pPr>
            <w:r>
              <w:rPr>
                <w:rFonts w:hint="eastAsia"/>
                <w:kern w:val="0"/>
                <w:szCs w:val="21"/>
              </w:rPr>
              <w:t>安徽省《固定源挥发性有机物综合排放标准 第6部分：其他行业》（DB34/ 4812.6-2024）表1相关标准限值</w:t>
            </w:r>
          </w:p>
        </w:tc>
      </w:tr>
      <w:tr w14:paraId="3C00CC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6CE83341">
            <w:pPr>
              <w:snapToGrid w:val="0"/>
              <w:jc w:val="center"/>
            </w:pPr>
          </w:p>
        </w:tc>
        <w:tc>
          <w:tcPr>
            <w:tcW w:w="567" w:type="dxa"/>
            <w:vMerge w:val="continue"/>
            <w:vAlign w:val="center"/>
          </w:tcPr>
          <w:p w14:paraId="6A9F75C3">
            <w:pPr>
              <w:snapToGrid w:val="0"/>
              <w:jc w:val="center"/>
            </w:pPr>
          </w:p>
        </w:tc>
        <w:tc>
          <w:tcPr>
            <w:tcW w:w="1275" w:type="dxa"/>
            <w:vMerge w:val="continue"/>
            <w:vAlign w:val="center"/>
          </w:tcPr>
          <w:p w14:paraId="51248DAC">
            <w:pPr>
              <w:snapToGrid w:val="0"/>
              <w:jc w:val="center"/>
            </w:pPr>
          </w:p>
        </w:tc>
        <w:tc>
          <w:tcPr>
            <w:tcW w:w="1246" w:type="dxa"/>
            <w:tcBorders>
              <w:top w:val="single" w:color="auto" w:sz="4" w:space="0"/>
              <w:bottom w:val="single" w:color="auto" w:sz="4" w:space="0"/>
            </w:tcBorders>
            <w:vAlign w:val="center"/>
          </w:tcPr>
          <w:p w14:paraId="7D45911E">
            <w:pPr>
              <w:adjustRightInd w:val="0"/>
              <w:snapToGrid w:val="0"/>
              <w:jc w:val="center"/>
              <w:rPr>
                <w:rFonts w:hint="eastAsia"/>
                <w:szCs w:val="21"/>
                <w:lang w:val="en-US" w:eastAsia="zh-CN"/>
              </w:rPr>
            </w:pPr>
            <w:r>
              <w:rPr>
                <w:rFonts w:hint="eastAsia" w:ascii="Times New Roman" w:hAnsi="Times New Roman"/>
                <w:szCs w:val="21"/>
                <w:lang w:val="en-US" w:eastAsia="zh-CN"/>
              </w:rPr>
              <w:t>苯乙烯</w:t>
            </w:r>
          </w:p>
        </w:tc>
        <w:tc>
          <w:tcPr>
            <w:tcW w:w="1316" w:type="dxa"/>
            <w:vMerge w:val="continue"/>
            <w:vAlign w:val="center"/>
          </w:tcPr>
          <w:p w14:paraId="16DC9026">
            <w:pPr>
              <w:snapToGrid w:val="0"/>
              <w:jc w:val="center"/>
              <w:rPr>
                <w:rFonts w:hint="eastAsia"/>
                <w:szCs w:val="21"/>
                <w:lang w:val="en-US" w:eastAsia="zh-CN"/>
              </w:rPr>
            </w:pPr>
          </w:p>
        </w:tc>
        <w:tc>
          <w:tcPr>
            <w:tcW w:w="3425" w:type="dxa"/>
            <w:vMerge w:val="restart"/>
            <w:tcBorders>
              <w:right w:val="single" w:color="auto" w:sz="12" w:space="0"/>
            </w:tcBorders>
            <w:vAlign w:val="center"/>
          </w:tcPr>
          <w:p w14:paraId="0C7CB2F4">
            <w:pPr>
              <w:snapToGrid w:val="0"/>
              <w:jc w:val="center"/>
              <w:rPr>
                <w:rFonts w:hint="eastAsia"/>
                <w:szCs w:val="21"/>
                <w:lang w:val="en-US" w:eastAsia="zh-CN"/>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表5大气污染物特别排放限值</w:t>
            </w:r>
          </w:p>
        </w:tc>
      </w:tr>
      <w:tr w14:paraId="56CC4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76723846">
            <w:pPr>
              <w:snapToGrid w:val="0"/>
              <w:jc w:val="center"/>
              <w:rPr>
                <w:rFonts w:hint="eastAsia"/>
                <w:szCs w:val="21"/>
                <w:lang w:val="en-US" w:eastAsia="zh-CN"/>
              </w:rPr>
            </w:pPr>
          </w:p>
        </w:tc>
        <w:tc>
          <w:tcPr>
            <w:tcW w:w="567" w:type="dxa"/>
            <w:vMerge w:val="continue"/>
            <w:vAlign w:val="center"/>
          </w:tcPr>
          <w:p w14:paraId="6B80A67F">
            <w:pPr>
              <w:snapToGrid w:val="0"/>
              <w:jc w:val="center"/>
              <w:rPr>
                <w:rFonts w:hint="eastAsia"/>
                <w:szCs w:val="21"/>
                <w:lang w:val="en-US" w:eastAsia="zh-CN"/>
              </w:rPr>
            </w:pPr>
          </w:p>
        </w:tc>
        <w:tc>
          <w:tcPr>
            <w:tcW w:w="1275" w:type="dxa"/>
            <w:vMerge w:val="continue"/>
            <w:vAlign w:val="center"/>
          </w:tcPr>
          <w:p w14:paraId="403F54EE">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72D8EB47">
            <w:pPr>
              <w:adjustRightInd w:val="0"/>
              <w:snapToGrid w:val="0"/>
              <w:jc w:val="center"/>
              <w:rPr>
                <w:rFonts w:hint="eastAsia"/>
                <w:szCs w:val="21"/>
                <w:lang w:val="en-US" w:eastAsia="zh-CN"/>
              </w:rPr>
            </w:pPr>
            <w:r>
              <w:rPr>
                <w:rFonts w:hint="eastAsia" w:ascii="Times New Roman" w:hAnsi="Times New Roman"/>
                <w:szCs w:val="21"/>
                <w:lang w:val="en-US" w:eastAsia="zh-CN"/>
              </w:rPr>
              <w:t>甲苯</w:t>
            </w:r>
          </w:p>
        </w:tc>
        <w:tc>
          <w:tcPr>
            <w:tcW w:w="1316" w:type="dxa"/>
            <w:vMerge w:val="continue"/>
            <w:vAlign w:val="center"/>
          </w:tcPr>
          <w:p w14:paraId="5FBEB331">
            <w:pPr>
              <w:snapToGrid w:val="0"/>
              <w:jc w:val="center"/>
              <w:rPr>
                <w:rFonts w:hint="eastAsia"/>
                <w:szCs w:val="21"/>
                <w:lang w:val="en-US" w:eastAsia="zh-CN"/>
              </w:rPr>
            </w:pPr>
          </w:p>
        </w:tc>
        <w:tc>
          <w:tcPr>
            <w:tcW w:w="3425" w:type="dxa"/>
            <w:vMerge w:val="continue"/>
            <w:tcBorders>
              <w:right w:val="single" w:color="auto" w:sz="12" w:space="0"/>
            </w:tcBorders>
            <w:vAlign w:val="center"/>
          </w:tcPr>
          <w:p w14:paraId="610DBAB2">
            <w:pPr>
              <w:snapToGrid w:val="0"/>
              <w:jc w:val="center"/>
              <w:rPr>
                <w:rFonts w:hint="eastAsia"/>
                <w:szCs w:val="21"/>
                <w:lang w:val="en-US" w:eastAsia="zh-CN"/>
              </w:rPr>
            </w:pPr>
          </w:p>
        </w:tc>
      </w:tr>
      <w:tr w14:paraId="4D9770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14AF84EB">
            <w:pPr>
              <w:snapToGrid w:val="0"/>
              <w:jc w:val="center"/>
              <w:rPr>
                <w:rFonts w:hint="eastAsia"/>
                <w:szCs w:val="21"/>
                <w:lang w:val="en-US" w:eastAsia="zh-CN"/>
              </w:rPr>
            </w:pPr>
          </w:p>
        </w:tc>
        <w:tc>
          <w:tcPr>
            <w:tcW w:w="567" w:type="dxa"/>
            <w:vMerge w:val="continue"/>
            <w:vAlign w:val="center"/>
          </w:tcPr>
          <w:p w14:paraId="5A263E96">
            <w:pPr>
              <w:snapToGrid w:val="0"/>
              <w:jc w:val="center"/>
              <w:rPr>
                <w:rFonts w:hint="eastAsia"/>
                <w:szCs w:val="21"/>
                <w:lang w:val="en-US" w:eastAsia="zh-CN"/>
              </w:rPr>
            </w:pPr>
          </w:p>
        </w:tc>
        <w:tc>
          <w:tcPr>
            <w:tcW w:w="1275" w:type="dxa"/>
            <w:vMerge w:val="continue"/>
            <w:vAlign w:val="center"/>
          </w:tcPr>
          <w:p w14:paraId="263B6EE8">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769DFF26">
            <w:pPr>
              <w:adjustRightInd w:val="0"/>
              <w:snapToGrid w:val="0"/>
              <w:jc w:val="center"/>
              <w:rPr>
                <w:rFonts w:hint="eastAsia"/>
                <w:szCs w:val="21"/>
                <w:lang w:val="en-US" w:eastAsia="zh-CN"/>
              </w:rPr>
            </w:pPr>
            <w:r>
              <w:rPr>
                <w:rFonts w:hint="eastAsia" w:ascii="Times New Roman" w:hAnsi="Times New Roman"/>
                <w:szCs w:val="21"/>
                <w:lang w:val="en-US" w:eastAsia="zh-CN"/>
              </w:rPr>
              <w:t>酚类</w:t>
            </w:r>
          </w:p>
        </w:tc>
        <w:tc>
          <w:tcPr>
            <w:tcW w:w="1316" w:type="dxa"/>
            <w:vMerge w:val="continue"/>
            <w:vAlign w:val="center"/>
          </w:tcPr>
          <w:p w14:paraId="2A531D11">
            <w:pPr>
              <w:snapToGrid w:val="0"/>
              <w:jc w:val="center"/>
              <w:rPr>
                <w:rFonts w:hint="eastAsia"/>
                <w:szCs w:val="21"/>
                <w:lang w:val="en-US" w:eastAsia="zh-CN"/>
              </w:rPr>
            </w:pPr>
          </w:p>
        </w:tc>
        <w:tc>
          <w:tcPr>
            <w:tcW w:w="3425" w:type="dxa"/>
            <w:vMerge w:val="continue"/>
            <w:tcBorders>
              <w:right w:val="single" w:color="auto" w:sz="12" w:space="0"/>
            </w:tcBorders>
            <w:vAlign w:val="center"/>
          </w:tcPr>
          <w:p w14:paraId="620519BD">
            <w:pPr>
              <w:snapToGrid w:val="0"/>
              <w:jc w:val="center"/>
              <w:rPr>
                <w:rFonts w:hint="eastAsia"/>
                <w:szCs w:val="21"/>
                <w:lang w:val="en-US" w:eastAsia="zh-CN"/>
              </w:rPr>
            </w:pPr>
          </w:p>
        </w:tc>
      </w:tr>
      <w:tr w14:paraId="71B21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1301984E">
            <w:pPr>
              <w:snapToGrid w:val="0"/>
              <w:jc w:val="center"/>
              <w:rPr>
                <w:rFonts w:hint="eastAsia"/>
                <w:szCs w:val="21"/>
                <w:lang w:val="en-US" w:eastAsia="zh-CN"/>
              </w:rPr>
            </w:pPr>
          </w:p>
        </w:tc>
        <w:tc>
          <w:tcPr>
            <w:tcW w:w="567" w:type="dxa"/>
            <w:vMerge w:val="continue"/>
            <w:vAlign w:val="center"/>
          </w:tcPr>
          <w:p w14:paraId="7B3F869A">
            <w:pPr>
              <w:snapToGrid w:val="0"/>
              <w:jc w:val="center"/>
              <w:rPr>
                <w:rFonts w:hint="eastAsia"/>
                <w:szCs w:val="21"/>
                <w:lang w:val="en-US" w:eastAsia="zh-CN"/>
              </w:rPr>
            </w:pPr>
          </w:p>
        </w:tc>
        <w:tc>
          <w:tcPr>
            <w:tcW w:w="1275" w:type="dxa"/>
            <w:vMerge w:val="continue"/>
            <w:vAlign w:val="center"/>
          </w:tcPr>
          <w:p w14:paraId="282C6374">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2D8DF0B2">
            <w:pPr>
              <w:adjustRightInd w:val="0"/>
              <w:snapToGrid w:val="0"/>
              <w:jc w:val="center"/>
              <w:rPr>
                <w:rFonts w:hint="eastAsia"/>
                <w:szCs w:val="21"/>
                <w:lang w:val="en-US" w:eastAsia="zh-CN"/>
              </w:rPr>
            </w:pPr>
            <w:r>
              <w:rPr>
                <w:rFonts w:hint="eastAsia" w:ascii="Times New Roman" w:hAnsi="Times New Roman"/>
                <w:szCs w:val="21"/>
                <w:lang w:val="en-US" w:eastAsia="zh-CN"/>
              </w:rPr>
              <w:t>氯苯类</w:t>
            </w:r>
          </w:p>
        </w:tc>
        <w:tc>
          <w:tcPr>
            <w:tcW w:w="1316" w:type="dxa"/>
            <w:vMerge w:val="continue"/>
            <w:vAlign w:val="center"/>
          </w:tcPr>
          <w:p w14:paraId="36E040EF">
            <w:pPr>
              <w:snapToGrid w:val="0"/>
              <w:jc w:val="center"/>
              <w:rPr>
                <w:rFonts w:hint="eastAsia"/>
                <w:szCs w:val="21"/>
                <w:lang w:val="en-US" w:eastAsia="zh-CN"/>
              </w:rPr>
            </w:pPr>
          </w:p>
        </w:tc>
        <w:tc>
          <w:tcPr>
            <w:tcW w:w="3425" w:type="dxa"/>
            <w:vMerge w:val="continue"/>
            <w:tcBorders>
              <w:right w:val="single" w:color="auto" w:sz="12" w:space="0"/>
            </w:tcBorders>
            <w:vAlign w:val="center"/>
          </w:tcPr>
          <w:p w14:paraId="00116D69">
            <w:pPr>
              <w:snapToGrid w:val="0"/>
              <w:jc w:val="center"/>
              <w:rPr>
                <w:rFonts w:hint="eastAsia"/>
                <w:szCs w:val="21"/>
                <w:lang w:val="en-US" w:eastAsia="zh-CN"/>
              </w:rPr>
            </w:pPr>
          </w:p>
        </w:tc>
      </w:tr>
      <w:tr w14:paraId="0EF428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59C49C2B">
            <w:pPr>
              <w:snapToGrid w:val="0"/>
              <w:jc w:val="center"/>
              <w:rPr>
                <w:rFonts w:hint="eastAsia"/>
                <w:szCs w:val="21"/>
                <w:lang w:val="en-US" w:eastAsia="zh-CN"/>
              </w:rPr>
            </w:pPr>
          </w:p>
        </w:tc>
        <w:tc>
          <w:tcPr>
            <w:tcW w:w="567" w:type="dxa"/>
            <w:vMerge w:val="continue"/>
            <w:vAlign w:val="center"/>
          </w:tcPr>
          <w:p w14:paraId="6DC8E66A">
            <w:pPr>
              <w:snapToGrid w:val="0"/>
              <w:jc w:val="center"/>
              <w:rPr>
                <w:rFonts w:hint="eastAsia"/>
                <w:szCs w:val="21"/>
                <w:lang w:val="en-US" w:eastAsia="zh-CN"/>
              </w:rPr>
            </w:pPr>
          </w:p>
        </w:tc>
        <w:tc>
          <w:tcPr>
            <w:tcW w:w="1275" w:type="dxa"/>
            <w:vMerge w:val="continue"/>
            <w:vAlign w:val="center"/>
          </w:tcPr>
          <w:p w14:paraId="63F236DB">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2F7B1A8B">
            <w:pPr>
              <w:adjustRightInd w:val="0"/>
              <w:snapToGrid w:val="0"/>
              <w:jc w:val="center"/>
              <w:rPr>
                <w:rFonts w:hint="eastAsia"/>
                <w:szCs w:val="21"/>
                <w:lang w:val="en-US" w:eastAsia="zh-CN"/>
              </w:rPr>
            </w:pPr>
            <w:r>
              <w:rPr>
                <w:rFonts w:hint="eastAsia" w:ascii="Times New Roman" w:hAnsi="Times New Roman"/>
                <w:szCs w:val="21"/>
                <w:lang w:val="en-US" w:eastAsia="zh-CN"/>
              </w:rPr>
              <w:t>乙苯</w:t>
            </w:r>
          </w:p>
        </w:tc>
        <w:tc>
          <w:tcPr>
            <w:tcW w:w="1316" w:type="dxa"/>
            <w:vMerge w:val="continue"/>
            <w:vAlign w:val="center"/>
          </w:tcPr>
          <w:p w14:paraId="621E5DC6">
            <w:pPr>
              <w:snapToGrid w:val="0"/>
              <w:jc w:val="center"/>
              <w:rPr>
                <w:rFonts w:hint="eastAsia"/>
                <w:szCs w:val="21"/>
                <w:lang w:val="en-US" w:eastAsia="zh-CN"/>
              </w:rPr>
            </w:pPr>
          </w:p>
        </w:tc>
        <w:tc>
          <w:tcPr>
            <w:tcW w:w="3425" w:type="dxa"/>
            <w:vMerge w:val="continue"/>
            <w:tcBorders>
              <w:right w:val="single" w:color="auto" w:sz="12" w:space="0"/>
            </w:tcBorders>
            <w:vAlign w:val="center"/>
          </w:tcPr>
          <w:p w14:paraId="6280A35C">
            <w:pPr>
              <w:snapToGrid w:val="0"/>
              <w:jc w:val="center"/>
              <w:rPr>
                <w:rFonts w:hint="eastAsia"/>
                <w:szCs w:val="21"/>
                <w:lang w:val="en-US" w:eastAsia="zh-CN"/>
              </w:rPr>
            </w:pPr>
          </w:p>
        </w:tc>
      </w:tr>
      <w:tr w14:paraId="54B5B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37437906">
            <w:pPr>
              <w:snapToGrid w:val="0"/>
              <w:jc w:val="center"/>
              <w:rPr>
                <w:rFonts w:hint="eastAsia"/>
                <w:szCs w:val="21"/>
                <w:lang w:val="en-US" w:eastAsia="zh-CN"/>
              </w:rPr>
            </w:pPr>
          </w:p>
        </w:tc>
        <w:tc>
          <w:tcPr>
            <w:tcW w:w="567" w:type="dxa"/>
            <w:vMerge w:val="continue"/>
            <w:vAlign w:val="center"/>
          </w:tcPr>
          <w:p w14:paraId="024E87D5">
            <w:pPr>
              <w:snapToGrid w:val="0"/>
              <w:jc w:val="center"/>
              <w:rPr>
                <w:rFonts w:hint="eastAsia"/>
                <w:szCs w:val="21"/>
                <w:lang w:val="en-US" w:eastAsia="zh-CN"/>
              </w:rPr>
            </w:pPr>
          </w:p>
        </w:tc>
        <w:tc>
          <w:tcPr>
            <w:tcW w:w="1275" w:type="dxa"/>
            <w:vMerge w:val="continue"/>
            <w:vAlign w:val="center"/>
          </w:tcPr>
          <w:p w14:paraId="5E62DA15">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742301F3">
            <w:pPr>
              <w:adjustRightInd w:val="0"/>
              <w:snapToGrid w:val="0"/>
              <w:jc w:val="center"/>
              <w:rPr>
                <w:rFonts w:hint="default" w:ascii="Times New Roman" w:hAnsi="Times New Roman"/>
                <w:szCs w:val="21"/>
                <w:lang w:val="en-US" w:eastAsia="zh-CN"/>
              </w:rPr>
            </w:pPr>
            <w:r>
              <w:rPr>
                <w:rFonts w:hint="eastAsia"/>
                <w:szCs w:val="21"/>
                <w:lang w:val="en-US" w:eastAsia="zh-CN"/>
              </w:rPr>
              <w:t>二氯甲烷</w:t>
            </w:r>
          </w:p>
        </w:tc>
        <w:tc>
          <w:tcPr>
            <w:tcW w:w="1316" w:type="dxa"/>
            <w:vMerge w:val="continue"/>
            <w:vAlign w:val="center"/>
          </w:tcPr>
          <w:p w14:paraId="67843772">
            <w:pPr>
              <w:snapToGrid w:val="0"/>
              <w:jc w:val="center"/>
              <w:rPr>
                <w:rFonts w:hint="eastAsia"/>
                <w:szCs w:val="21"/>
                <w:lang w:val="en-US" w:eastAsia="zh-CN"/>
              </w:rPr>
            </w:pPr>
          </w:p>
        </w:tc>
        <w:tc>
          <w:tcPr>
            <w:tcW w:w="3425" w:type="dxa"/>
            <w:vMerge w:val="continue"/>
            <w:tcBorders>
              <w:bottom w:val="single" w:color="auto" w:sz="4" w:space="0"/>
              <w:right w:val="single" w:color="auto" w:sz="12" w:space="0"/>
            </w:tcBorders>
            <w:vAlign w:val="center"/>
          </w:tcPr>
          <w:p w14:paraId="30AE8DAA">
            <w:pPr>
              <w:snapToGrid w:val="0"/>
              <w:jc w:val="center"/>
              <w:rPr>
                <w:rFonts w:hint="eastAsia"/>
                <w:szCs w:val="21"/>
                <w:lang w:val="en-US" w:eastAsia="zh-CN"/>
              </w:rPr>
            </w:pPr>
          </w:p>
        </w:tc>
      </w:tr>
      <w:tr w14:paraId="3E8F73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continue"/>
            <w:tcBorders>
              <w:left w:val="single" w:color="auto" w:sz="12" w:space="0"/>
            </w:tcBorders>
            <w:vAlign w:val="center"/>
          </w:tcPr>
          <w:p w14:paraId="609226BE">
            <w:pPr>
              <w:snapToGrid w:val="0"/>
              <w:jc w:val="center"/>
              <w:rPr>
                <w:rFonts w:hint="default"/>
                <w:szCs w:val="21"/>
                <w:lang w:val="en-US" w:eastAsia="zh-CN"/>
              </w:rPr>
            </w:pPr>
            <w:r>
              <w:rPr>
                <w:rFonts w:hint="eastAsia"/>
                <w:szCs w:val="21"/>
                <w:lang w:val="en-US" w:eastAsia="zh-CN"/>
              </w:rPr>
              <w:t>臭气浓度</w:t>
            </w:r>
          </w:p>
        </w:tc>
        <w:tc>
          <w:tcPr>
            <w:tcW w:w="567" w:type="dxa"/>
            <w:vMerge w:val="continue"/>
            <w:vAlign w:val="center"/>
          </w:tcPr>
          <w:p w14:paraId="1E02CCCF">
            <w:pPr>
              <w:snapToGrid w:val="0"/>
              <w:jc w:val="center"/>
              <w:rPr>
                <w:rFonts w:hint="default"/>
                <w:szCs w:val="21"/>
                <w:lang w:val="en-US" w:eastAsia="zh-CN"/>
              </w:rPr>
            </w:pPr>
          </w:p>
        </w:tc>
        <w:tc>
          <w:tcPr>
            <w:tcW w:w="1275" w:type="dxa"/>
            <w:vMerge w:val="continue"/>
            <w:tcBorders>
              <w:bottom w:val="single" w:color="auto" w:sz="4" w:space="0"/>
            </w:tcBorders>
            <w:vAlign w:val="center"/>
          </w:tcPr>
          <w:p w14:paraId="52B6465F">
            <w:pPr>
              <w:snapToGrid w:val="0"/>
              <w:jc w:val="center"/>
              <w:rPr>
                <w:rFonts w:hint="default"/>
                <w:szCs w:val="21"/>
                <w:lang w:val="en-US" w:eastAsia="zh-CN"/>
              </w:rPr>
            </w:pPr>
          </w:p>
        </w:tc>
        <w:tc>
          <w:tcPr>
            <w:tcW w:w="1246" w:type="dxa"/>
            <w:tcBorders>
              <w:top w:val="single" w:color="auto" w:sz="4" w:space="0"/>
              <w:bottom w:val="single" w:color="auto" w:sz="4" w:space="0"/>
            </w:tcBorders>
            <w:vAlign w:val="center"/>
          </w:tcPr>
          <w:p w14:paraId="49EAC587">
            <w:pPr>
              <w:adjustRightInd w:val="0"/>
              <w:snapToGrid w:val="0"/>
              <w:jc w:val="center"/>
              <w:rPr>
                <w:rFonts w:hint="default" w:ascii="Times New Roman" w:hAnsi="Times New Roman"/>
                <w:szCs w:val="21"/>
                <w:lang w:val="en-US" w:eastAsia="zh-CN"/>
              </w:rPr>
            </w:pPr>
            <w:r>
              <w:rPr>
                <w:rFonts w:hint="eastAsia" w:ascii="Times New Roman" w:hAnsi="Times New Roman"/>
                <w:szCs w:val="21"/>
                <w:lang w:val="en-US" w:eastAsia="zh-CN"/>
              </w:rPr>
              <w:t>臭气浓度</w:t>
            </w:r>
          </w:p>
        </w:tc>
        <w:tc>
          <w:tcPr>
            <w:tcW w:w="1316" w:type="dxa"/>
            <w:vMerge w:val="continue"/>
            <w:tcBorders>
              <w:bottom w:val="single" w:color="auto" w:sz="4" w:space="0"/>
            </w:tcBorders>
            <w:vAlign w:val="center"/>
          </w:tcPr>
          <w:p w14:paraId="340E9B8C">
            <w:pPr>
              <w:snapToGrid w:val="0"/>
              <w:jc w:val="center"/>
              <w:rPr>
                <w:rFonts w:hint="default"/>
                <w:szCs w:val="21"/>
                <w:lang w:val="en-US" w:eastAsia="zh-CN"/>
              </w:rPr>
            </w:pPr>
          </w:p>
        </w:tc>
        <w:tc>
          <w:tcPr>
            <w:tcW w:w="3425" w:type="dxa"/>
            <w:tcBorders>
              <w:bottom w:val="single" w:color="auto" w:sz="4" w:space="0"/>
              <w:right w:val="single" w:color="auto" w:sz="12" w:space="0"/>
            </w:tcBorders>
            <w:vAlign w:val="center"/>
          </w:tcPr>
          <w:p w14:paraId="687F1672">
            <w:pPr>
              <w:snapToGrid w:val="0"/>
              <w:jc w:val="center"/>
              <w:rPr>
                <w:rFonts w:hint="default"/>
                <w:szCs w:val="21"/>
                <w:lang w:val="en-US" w:eastAsia="zh-CN"/>
              </w:rPr>
            </w:pPr>
            <w:r>
              <w:rPr>
                <w:rFonts w:hint="eastAsia" w:ascii="Times New Roman" w:hAnsi="Times New Roman"/>
                <w:kern w:val="0"/>
                <w:szCs w:val="21"/>
                <w:lang w:val="en-US" w:eastAsia="zh-CN"/>
              </w:rPr>
              <w:t>《恶臭污染物排放标准》（GB14554-93）</w:t>
            </w:r>
          </w:p>
        </w:tc>
      </w:tr>
      <w:tr w14:paraId="68ADE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7BB4379E">
            <w:pPr>
              <w:adjustRightInd w:val="0"/>
              <w:snapToGrid w:val="0"/>
              <w:jc w:val="center"/>
              <w:rPr>
                <w:rFonts w:cs="宋体"/>
                <w:szCs w:val="21"/>
              </w:rPr>
            </w:pPr>
          </w:p>
        </w:tc>
        <w:tc>
          <w:tcPr>
            <w:tcW w:w="567" w:type="dxa"/>
            <w:vMerge w:val="restart"/>
            <w:tcBorders>
              <w:top w:val="single" w:color="auto" w:sz="4" w:space="0"/>
            </w:tcBorders>
            <w:vAlign w:val="center"/>
          </w:tcPr>
          <w:p w14:paraId="1DA26AB4">
            <w:pPr>
              <w:snapToGrid w:val="0"/>
              <w:jc w:val="center"/>
              <w:rPr>
                <w:kern w:val="1"/>
                <w:szCs w:val="21"/>
              </w:rPr>
            </w:pPr>
            <w:r>
              <w:rPr>
                <w:kern w:val="1"/>
                <w:szCs w:val="21"/>
              </w:rPr>
              <w:t>无组织</w:t>
            </w:r>
          </w:p>
        </w:tc>
        <w:tc>
          <w:tcPr>
            <w:tcW w:w="1275" w:type="dxa"/>
            <w:vMerge w:val="restart"/>
            <w:tcBorders>
              <w:top w:val="single" w:color="auto" w:sz="4" w:space="0"/>
            </w:tcBorders>
            <w:vAlign w:val="center"/>
          </w:tcPr>
          <w:p w14:paraId="7AE43EE6">
            <w:pPr>
              <w:snapToGrid w:val="0"/>
              <w:jc w:val="center"/>
              <w:rPr>
                <w:rFonts w:hint="eastAsia" w:eastAsia="宋体"/>
                <w:kern w:val="1"/>
                <w:szCs w:val="21"/>
                <w:lang w:val="en-US" w:eastAsia="zh-CN"/>
              </w:rPr>
            </w:pPr>
            <w:r>
              <w:rPr>
                <w:rFonts w:hint="eastAsia"/>
                <w:kern w:val="1"/>
                <w:szCs w:val="21"/>
                <w:lang w:val="en-US" w:eastAsia="zh-CN"/>
              </w:rPr>
              <w:t>厂界</w:t>
            </w:r>
          </w:p>
        </w:tc>
        <w:tc>
          <w:tcPr>
            <w:tcW w:w="1246" w:type="dxa"/>
            <w:tcBorders>
              <w:top w:val="single" w:color="auto" w:sz="4" w:space="0"/>
              <w:bottom w:val="single" w:color="auto" w:sz="4" w:space="0"/>
            </w:tcBorders>
            <w:vAlign w:val="center"/>
          </w:tcPr>
          <w:p w14:paraId="214DF0A6">
            <w:pPr>
              <w:snapToGrid w:val="0"/>
              <w:jc w:val="center"/>
              <w:rPr>
                <w:szCs w:val="21"/>
              </w:rPr>
            </w:pPr>
            <w:r>
              <w:rPr>
                <w:rFonts w:hint="eastAsia"/>
                <w:szCs w:val="21"/>
                <w:lang w:val="en-US" w:eastAsia="zh-CN"/>
              </w:rPr>
              <w:t>非甲烷总烃</w:t>
            </w:r>
          </w:p>
        </w:tc>
        <w:tc>
          <w:tcPr>
            <w:tcW w:w="1316" w:type="dxa"/>
            <w:vMerge w:val="restart"/>
            <w:tcBorders>
              <w:top w:val="single" w:color="auto" w:sz="4" w:space="0"/>
            </w:tcBorders>
            <w:vAlign w:val="center"/>
          </w:tcPr>
          <w:p w14:paraId="4615C3C8">
            <w:pPr>
              <w:snapToGrid w:val="0"/>
              <w:jc w:val="center"/>
              <w:rPr>
                <w:rFonts w:hint="default" w:eastAsia="宋体"/>
                <w:szCs w:val="21"/>
                <w:lang w:val="en-US" w:eastAsia="zh-CN"/>
              </w:rPr>
            </w:pPr>
            <w:r>
              <w:rPr>
                <w:rFonts w:hint="eastAsia"/>
                <w:szCs w:val="21"/>
                <w:lang w:val="en-US" w:eastAsia="zh-CN"/>
              </w:rPr>
              <w:t>加强收集</w:t>
            </w:r>
          </w:p>
        </w:tc>
        <w:tc>
          <w:tcPr>
            <w:tcW w:w="3425" w:type="dxa"/>
            <w:tcBorders>
              <w:top w:val="single" w:color="auto" w:sz="4" w:space="0"/>
              <w:right w:val="single" w:color="auto" w:sz="12" w:space="0"/>
            </w:tcBorders>
            <w:vAlign w:val="center"/>
          </w:tcPr>
          <w:p w14:paraId="4C04A154">
            <w:pPr>
              <w:snapToGrid w:val="0"/>
              <w:ind w:left="42" w:leftChars="20" w:right="42" w:rightChars="20"/>
              <w:jc w:val="center"/>
              <w:rPr>
                <w:kern w:val="0"/>
                <w:szCs w:val="21"/>
              </w:rPr>
            </w:pPr>
            <w:r>
              <w:rPr>
                <w:rFonts w:hint="eastAsia"/>
                <w:kern w:val="0"/>
                <w:szCs w:val="21"/>
              </w:rPr>
              <w:t>《合成树脂工业污染物排放标准》（GB31572-2015）（含2024年修改单</w:t>
            </w:r>
          </w:p>
        </w:tc>
      </w:tr>
      <w:tr w14:paraId="47808D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3E54D77E">
            <w:pPr>
              <w:snapToGrid w:val="0"/>
              <w:jc w:val="center"/>
            </w:pPr>
          </w:p>
        </w:tc>
        <w:tc>
          <w:tcPr>
            <w:tcW w:w="567" w:type="dxa"/>
            <w:vMerge w:val="continue"/>
            <w:vAlign w:val="center"/>
          </w:tcPr>
          <w:p w14:paraId="1BD44DBF">
            <w:pPr>
              <w:snapToGrid w:val="0"/>
              <w:jc w:val="center"/>
            </w:pPr>
          </w:p>
        </w:tc>
        <w:tc>
          <w:tcPr>
            <w:tcW w:w="1275" w:type="dxa"/>
            <w:vMerge w:val="continue"/>
            <w:vAlign w:val="center"/>
          </w:tcPr>
          <w:p w14:paraId="2B7ABE25">
            <w:pPr>
              <w:snapToGrid w:val="0"/>
              <w:jc w:val="center"/>
            </w:pPr>
          </w:p>
        </w:tc>
        <w:tc>
          <w:tcPr>
            <w:tcW w:w="1246" w:type="dxa"/>
            <w:tcBorders>
              <w:top w:val="single" w:color="auto" w:sz="4" w:space="0"/>
              <w:bottom w:val="single" w:color="auto" w:sz="4" w:space="0"/>
            </w:tcBorders>
            <w:vAlign w:val="center"/>
          </w:tcPr>
          <w:p w14:paraId="1CEBDBC2">
            <w:pPr>
              <w:snapToGrid w:val="0"/>
              <w:jc w:val="center"/>
              <w:rPr>
                <w:rFonts w:hint="eastAsia"/>
                <w:szCs w:val="21"/>
                <w:lang w:val="en-US" w:eastAsia="zh-CN"/>
              </w:rPr>
            </w:pPr>
            <w:r>
              <w:rPr>
                <w:rFonts w:hint="eastAsia" w:ascii="Times New Roman" w:hAnsi="Times New Roman"/>
                <w:szCs w:val="21"/>
                <w:lang w:val="en-US" w:eastAsia="zh-CN"/>
              </w:rPr>
              <w:t>苯乙烯</w:t>
            </w:r>
          </w:p>
        </w:tc>
        <w:tc>
          <w:tcPr>
            <w:tcW w:w="1316" w:type="dxa"/>
            <w:vMerge w:val="continue"/>
            <w:vAlign w:val="center"/>
          </w:tcPr>
          <w:p w14:paraId="2E8FD124">
            <w:pPr>
              <w:snapToGrid w:val="0"/>
              <w:jc w:val="center"/>
              <w:rPr>
                <w:rFonts w:hint="eastAsia"/>
                <w:szCs w:val="21"/>
                <w:lang w:val="en-US" w:eastAsia="zh-CN"/>
              </w:rPr>
            </w:pPr>
          </w:p>
        </w:tc>
        <w:tc>
          <w:tcPr>
            <w:tcW w:w="3425" w:type="dxa"/>
            <w:tcBorders>
              <w:right w:val="single" w:color="auto" w:sz="12" w:space="0"/>
            </w:tcBorders>
            <w:vAlign w:val="center"/>
          </w:tcPr>
          <w:p w14:paraId="3A5EA4C6">
            <w:pPr>
              <w:snapToGrid w:val="0"/>
              <w:jc w:val="center"/>
              <w:rPr>
                <w:rFonts w:hint="eastAsia"/>
                <w:szCs w:val="21"/>
                <w:lang w:val="en-US" w:eastAsia="zh-CN"/>
              </w:rPr>
            </w:pPr>
            <w:r>
              <w:rPr>
                <w:rFonts w:hint="eastAsia" w:ascii="Times New Roman" w:hAnsi="Times New Roman"/>
                <w:kern w:val="0"/>
                <w:szCs w:val="21"/>
                <w:lang w:val="en-US" w:eastAsia="zh-CN"/>
              </w:rPr>
              <w:t>《恶臭污染物排放标准》（GB14554-93）</w:t>
            </w:r>
          </w:p>
        </w:tc>
      </w:tr>
      <w:tr w14:paraId="2AD42D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4590CCF3">
            <w:pPr>
              <w:snapToGrid w:val="0"/>
              <w:jc w:val="center"/>
              <w:rPr>
                <w:rFonts w:hint="eastAsia"/>
                <w:szCs w:val="21"/>
                <w:lang w:val="en-US" w:eastAsia="zh-CN"/>
              </w:rPr>
            </w:pPr>
          </w:p>
        </w:tc>
        <w:tc>
          <w:tcPr>
            <w:tcW w:w="567" w:type="dxa"/>
            <w:vMerge w:val="continue"/>
            <w:vAlign w:val="center"/>
          </w:tcPr>
          <w:p w14:paraId="4DC27D5E">
            <w:pPr>
              <w:snapToGrid w:val="0"/>
              <w:jc w:val="center"/>
              <w:rPr>
                <w:rFonts w:hint="eastAsia"/>
                <w:szCs w:val="21"/>
                <w:lang w:val="en-US" w:eastAsia="zh-CN"/>
              </w:rPr>
            </w:pPr>
          </w:p>
        </w:tc>
        <w:tc>
          <w:tcPr>
            <w:tcW w:w="1275" w:type="dxa"/>
            <w:vMerge w:val="continue"/>
            <w:vAlign w:val="center"/>
          </w:tcPr>
          <w:p w14:paraId="79F2B2AE">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2954C42C">
            <w:pPr>
              <w:snapToGrid w:val="0"/>
              <w:jc w:val="center"/>
              <w:rPr>
                <w:rFonts w:hint="eastAsia"/>
                <w:szCs w:val="21"/>
                <w:lang w:val="en-US" w:eastAsia="zh-CN"/>
              </w:rPr>
            </w:pPr>
            <w:r>
              <w:rPr>
                <w:rFonts w:hint="eastAsia" w:ascii="Times New Roman" w:hAnsi="Times New Roman"/>
                <w:szCs w:val="21"/>
                <w:lang w:val="en-US" w:eastAsia="zh-CN"/>
              </w:rPr>
              <w:t>甲苯</w:t>
            </w:r>
          </w:p>
        </w:tc>
        <w:tc>
          <w:tcPr>
            <w:tcW w:w="1316" w:type="dxa"/>
            <w:vMerge w:val="continue"/>
            <w:vAlign w:val="center"/>
          </w:tcPr>
          <w:p w14:paraId="7BDAE0AA">
            <w:pPr>
              <w:snapToGrid w:val="0"/>
              <w:jc w:val="center"/>
              <w:rPr>
                <w:rFonts w:hint="eastAsia"/>
                <w:szCs w:val="21"/>
                <w:lang w:val="en-US" w:eastAsia="zh-CN"/>
              </w:rPr>
            </w:pPr>
          </w:p>
        </w:tc>
        <w:tc>
          <w:tcPr>
            <w:tcW w:w="3425" w:type="dxa"/>
            <w:tcBorders>
              <w:right w:val="single" w:color="auto" w:sz="12" w:space="0"/>
            </w:tcBorders>
            <w:vAlign w:val="center"/>
          </w:tcPr>
          <w:p w14:paraId="5BB38323">
            <w:pPr>
              <w:snapToGrid w:val="0"/>
              <w:jc w:val="center"/>
              <w:rPr>
                <w:rFonts w:hint="eastAsia"/>
                <w:szCs w:val="21"/>
                <w:lang w:val="en-US" w:eastAsia="zh-CN"/>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中表9企业边界大气污染物浓度限值</w:t>
            </w:r>
          </w:p>
        </w:tc>
      </w:tr>
      <w:tr w14:paraId="3BFA63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71" w:type="dxa"/>
            <w:vMerge w:val="continue"/>
            <w:tcBorders>
              <w:left w:val="single" w:color="auto" w:sz="12" w:space="0"/>
            </w:tcBorders>
            <w:vAlign w:val="center"/>
          </w:tcPr>
          <w:p w14:paraId="396A41CD">
            <w:pPr>
              <w:snapToGrid w:val="0"/>
              <w:jc w:val="center"/>
              <w:rPr>
                <w:rFonts w:hint="eastAsia"/>
                <w:szCs w:val="21"/>
                <w:lang w:val="en-US" w:eastAsia="zh-CN"/>
              </w:rPr>
            </w:pPr>
          </w:p>
        </w:tc>
        <w:tc>
          <w:tcPr>
            <w:tcW w:w="567" w:type="dxa"/>
            <w:vMerge w:val="continue"/>
            <w:vAlign w:val="center"/>
          </w:tcPr>
          <w:p w14:paraId="4515B643">
            <w:pPr>
              <w:snapToGrid w:val="0"/>
              <w:jc w:val="center"/>
              <w:rPr>
                <w:rFonts w:hint="eastAsia"/>
                <w:szCs w:val="21"/>
                <w:lang w:val="en-US" w:eastAsia="zh-CN"/>
              </w:rPr>
            </w:pPr>
          </w:p>
        </w:tc>
        <w:tc>
          <w:tcPr>
            <w:tcW w:w="1275" w:type="dxa"/>
            <w:vMerge w:val="continue"/>
            <w:vAlign w:val="center"/>
          </w:tcPr>
          <w:p w14:paraId="19925492">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4421F3FC">
            <w:pPr>
              <w:snapToGrid w:val="0"/>
              <w:jc w:val="center"/>
              <w:rPr>
                <w:rFonts w:hint="eastAsia"/>
                <w:szCs w:val="21"/>
                <w:lang w:val="en-US" w:eastAsia="zh-CN"/>
              </w:rPr>
            </w:pPr>
            <w:r>
              <w:rPr>
                <w:rFonts w:hint="eastAsia" w:ascii="Times New Roman" w:hAnsi="Times New Roman"/>
                <w:szCs w:val="21"/>
                <w:lang w:val="en-US" w:eastAsia="zh-CN"/>
              </w:rPr>
              <w:t>酚类</w:t>
            </w:r>
          </w:p>
        </w:tc>
        <w:tc>
          <w:tcPr>
            <w:tcW w:w="1316" w:type="dxa"/>
            <w:vMerge w:val="continue"/>
            <w:vAlign w:val="center"/>
          </w:tcPr>
          <w:p w14:paraId="24D8E486">
            <w:pPr>
              <w:snapToGrid w:val="0"/>
              <w:jc w:val="center"/>
              <w:rPr>
                <w:rFonts w:hint="eastAsia"/>
                <w:szCs w:val="21"/>
                <w:lang w:val="en-US" w:eastAsia="zh-CN"/>
              </w:rPr>
            </w:pPr>
          </w:p>
        </w:tc>
        <w:tc>
          <w:tcPr>
            <w:tcW w:w="3425" w:type="dxa"/>
            <w:vMerge w:val="restart"/>
            <w:tcBorders>
              <w:right w:val="single" w:color="auto" w:sz="12" w:space="0"/>
            </w:tcBorders>
            <w:vAlign w:val="center"/>
          </w:tcPr>
          <w:p w14:paraId="3A1F6097">
            <w:pPr>
              <w:snapToGrid w:val="0"/>
              <w:jc w:val="center"/>
              <w:rPr>
                <w:rFonts w:hint="eastAsia"/>
                <w:szCs w:val="21"/>
                <w:lang w:val="en-US" w:eastAsia="zh-CN"/>
              </w:rPr>
            </w:pPr>
            <w:r>
              <w:rPr>
                <w:rFonts w:ascii="Times New Roman" w:hAnsi="Times New Roman"/>
                <w:szCs w:val="21"/>
              </w:rPr>
              <w:t>安徽省《固定源挥发性有机物综合排放标准 第6部分：其他行业》（DB34/ 4812.6-2024）表</w:t>
            </w:r>
            <w:r>
              <w:rPr>
                <w:rFonts w:hint="eastAsia"/>
                <w:szCs w:val="21"/>
                <w:lang w:val="en-US" w:eastAsia="zh-CN"/>
              </w:rPr>
              <w:t>5</w:t>
            </w:r>
            <w:r>
              <w:rPr>
                <w:rFonts w:ascii="Times New Roman" w:hAnsi="Times New Roman"/>
                <w:szCs w:val="21"/>
              </w:rPr>
              <w:t>相关标准限值</w:t>
            </w:r>
          </w:p>
        </w:tc>
      </w:tr>
      <w:tr w14:paraId="2773DA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4B191844">
            <w:pPr>
              <w:snapToGrid w:val="0"/>
              <w:jc w:val="center"/>
              <w:rPr>
                <w:rFonts w:hint="eastAsia"/>
                <w:szCs w:val="21"/>
                <w:lang w:val="en-US" w:eastAsia="zh-CN"/>
              </w:rPr>
            </w:pPr>
          </w:p>
        </w:tc>
        <w:tc>
          <w:tcPr>
            <w:tcW w:w="567" w:type="dxa"/>
            <w:vMerge w:val="continue"/>
            <w:vAlign w:val="center"/>
          </w:tcPr>
          <w:p w14:paraId="4CB08284">
            <w:pPr>
              <w:snapToGrid w:val="0"/>
              <w:jc w:val="center"/>
              <w:rPr>
                <w:rFonts w:hint="eastAsia"/>
                <w:szCs w:val="21"/>
                <w:lang w:val="en-US" w:eastAsia="zh-CN"/>
              </w:rPr>
            </w:pPr>
          </w:p>
        </w:tc>
        <w:tc>
          <w:tcPr>
            <w:tcW w:w="1275" w:type="dxa"/>
            <w:vMerge w:val="continue"/>
            <w:vAlign w:val="center"/>
          </w:tcPr>
          <w:p w14:paraId="3D2B9569">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6F791670">
            <w:pPr>
              <w:snapToGrid w:val="0"/>
              <w:jc w:val="center"/>
              <w:rPr>
                <w:rFonts w:hint="eastAsia"/>
                <w:szCs w:val="21"/>
                <w:lang w:val="en-US" w:eastAsia="zh-CN"/>
              </w:rPr>
            </w:pPr>
            <w:r>
              <w:rPr>
                <w:rFonts w:hint="eastAsia" w:ascii="Times New Roman" w:hAnsi="Times New Roman"/>
                <w:szCs w:val="21"/>
                <w:lang w:val="en-US" w:eastAsia="zh-CN"/>
              </w:rPr>
              <w:t>氯苯类</w:t>
            </w:r>
          </w:p>
        </w:tc>
        <w:tc>
          <w:tcPr>
            <w:tcW w:w="1316" w:type="dxa"/>
            <w:vMerge w:val="continue"/>
            <w:vAlign w:val="center"/>
          </w:tcPr>
          <w:p w14:paraId="5876D4D5">
            <w:pPr>
              <w:snapToGrid w:val="0"/>
              <w:jc w:val="center"/>
              <w:rPr>
                <w:rFonts w:hint="eastAsia"/>
                <w:szCs w:val="21"/>
                <w:lang w:val="en-US" w:eastAsia="zh-CN"/>
              </w:rPr>
            </w:pPr>
          </w:p>
        </w:tc>
        <w:tc>
          <w:tcPr>
            <w:tcW w:w="3425" w:type="dxa"/>
            <w:vMerge w:val="continue"/>
            <w:tcBorders>
              <w:right w:val="single" w:color="auto" w:sz="12" w:space="0"/>
            </w:tcBorders>
            <w:vAlign w:val="center"/>
          </w:tcPr>
          <w:p w14:paraId="36276683">
            <w:pPr>
              <w:snapToGrid w:val="0"/>
              <w:jc w:val="center"/>
              <w:rPr>
                <w:rFonts w:hint="eastAsia"/>
                <w:szCs w:val="21"/>
                <w:lang w:val="en-US" w:eastAsia="zh-CN"/>
              </w:rPr>
            </w:pPr>
          </w:p>
        </w:tc>
      </w:tr>
      <w:tr w14:paraId="5FFBD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4BFD1102">
            <w:pPr>
              <w:snapToGrid w:val="0"/>
              <w:jc w:val="center"/>
              <w:rPr>
                <w:rFonts w:hint="eastAsia"/>
                <w:szCs w:val="21"/>
                <w:lang w:val="en-US" w:eastAsia="zh-CN"/>
              </w:rPr>
            </w:pPr>
          </w:p>
        </w:tc>
        <w:tc>
          <w:tcPr>
            <w:tcW w:w="567" w:type="dxa"/>
            <w:vMerge w:val="continue"/>
            <w:vAlign w:val="center"/>
          </w:tcPr>
          <w:p w14:paraId="6A1BAB4B">
            <w:pPr>
              <w:snapToGrid w:val="0"/>
              <w:jc w:val="center"/>
              <w:rPr>
                <w:rFonts w:hint="eastAsia"/>
                <w:szCs w:val="21"/>
                <w:lang w:val="en-US" w:eastAsia="zh-CN"/>
              </w:rPr>
            </w:pPr>
          </w:p>
        </w:tc>
        <w:tc>
          <w:tcPr>
            <w:tcW w:w="1275" w:type="dxa"/>
            <w:vMerge w:val="continue"/>
            <w:vAlign w:val="center"/>
          </w:tcPr>
          <w:p w14:paraId="0C924327">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5435AFCD">
            <w:pPr>
              <w:snapToGrid w:val="0"/>
              <w:jc w:val="center"/>
              <w:rPr>
                <w:rFonts w:hint="eastAsia"/>
                <w:szCs w:val="21"/>
                <w:lang w:val="en-US" w:eastAsia="zh-CN"/>
              </w:rPr>
            </w:pPr>
            <w:r>
              <w:rPr>
                <w:rFonts w:hint="eastAsia" w:ascii="Times New Roman" w:hAnsi="Times New Roman"/>
                <w:szCs w:val="21"/>
                <w:lang w:val="en-US" w:eastAsia="zh-CN"/>
              </w:rPr>
              <w:t>乙苯</w:t>
            </w:r>
          </w:p>
        </w:tc>
        <w:tc>
          <w:tcPr>
            <w:tcW w:w="1316" w:type="dxa"/>
            <w:vMerge w:val="continue"/>
            <w:vAlign w:val="center"/>
          </w:tcPr>
          <w:p w14:paraId="2F81E4B4">
            <w:pPr>
              <w:snapToGrid w:val="0"/>
              <w:jc w:val="center"/>
              <w:rPr>
                <w:rFonts w:hint="eastAsia"/>
                <w:szCs w:val="21"/>
                <w:lang w:val="en-US" w:eastAsia="zh-CN"/>
              </w:rPr>
            </w:pPr>
          </w:p>
        </w:tc>
        <w:tc>
          <w:tcPr>
            <w:tcW w:w="3425" w:type="dxa"/>
            <w:tcBorders>
              <w:right w:val="single" w:color="auto" w:sz="12" w:space="0"/>
            </w:tcBorders>
            <w:vAlign w:val="center"/>
          </w:tcPr>
          <w:p w14:paraId="61A4B1AB">
            <w:pPr>
              <w:snapToGrid w:val="0"/>
              <w:jc w:val="center"/>
              <w:rPr>
                <w:rFonts w:hint="default"/>
                <w:szCs w:val="21"/>
                <w:lang w:val="en-US" w:eastAsia="zh-CN"/>
              </w:rPr>
            </w:pPr>
            <w:r>
              <w:rPr>
                <w:rFonts w:hint="eastAsia"/>
                <w:szCs w:val="21"/>
                <w:lang w:val="en-US" w:eastAsia="zh-CN"/>
              </w:rPr>
              <w:t>/</w:t>
            </w:r>
          </w:p>
        </w:tc>
      </w:tr>
      <w:tr w14:paraId="772C2F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586073EB">
            <w:pPr>
              <w:snapToGrid w:val="0"/>
              <w:jc w:val="center"/>
              <w:rPr>
                <w:rFonts w:hint="eastAsia"/>
                <w:szCs w:val="21"/>
                <w:lang w:val="en-US" w:eastAsia="zh-CN"/>
              </w:rPr>
            </w:pPr>
          </w:p>
        </w:tc>
        <w:tc>
          <w:tcPr>
            <w:tcW w:w="567" w:type="dxa"/>
            <w:vMerge w:val="continue"/>
            <w:vAlign w:val="center"/>
          </w:tcPr>
          <w:p w14:paraId="27190302">
            <w:pPr>
              <w:snapToGrid w:val="0"/>
              <w:jc w:val="center"/>
              <w:rPr>
                <w:rFonts w:hint="eastAsia"/>
                <w:szCs w:val="21"/>
                <w:lang w:val="en-US" w:eastAsia="zh-CN"/>
              </w:rPr>
            </w:pPr>
          </w:p>
        </w:tc>
        <w:tc>
          <w:tcPr>
            <w:tcW w:w="1275" w:type="dxa"/>
            <w:vMerge w:val="continue"/>
            <w:vAlign w:val="center"/>
          </w:tcPr>
          <w:p w14:paraId="6CC7F6E9">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63C95989">
            <w:pPr>
              <w:snapToGrid w:val="0"/>
              <w:jc w:val="center"/>
              <w:rPr>
                <w:rFonts w:hint="default" w:ascii="Times New Roman" w:hAnsi="Times New Roman"/>
                <w:szCs w:val="21"/>
                <w:lang w:val="en-US" w:eastAsia="zh-CN"/>
              </w:rPr>
            </w:pPr>
            <w:r>
              <w:rPr>
                <w:rFonts w:hint="eastAsia"/>
                <w:szCs w:val="21"/>
                <w:lang w:val="en-US" w:eastAsia="zh-CN"/>
              </w:rPr>
              <w:t>二氯甲烷</w:t>
            </w:r>
          </w:p>
        </w:tc>
        <w:tc>
          <w:tcPr>
            <w:tcW w:w="1316" w:type="dxa"/>
            <w:vMerge w:val="continue"/>
            <w:vAlign w:val="center"/>
          </w:tcPr>
          <w:p w14:paraId="5C35EB8E">
            <w:pPr>
              <w:snapToGrid w:val="0"/>
              <w:jc w:val="center"/>
              <w:rPr>
                <w:rFonts w:hint="eastAsia"/>
                <w:szCs w:val="21"/>
                <w:lang w:val="en-US" w:eastAsia="zh-CN"/>
              </w:rPr>
            </w:pPr>
          </w:p>
        </w:tc>
        <w:tc>
          <w:tcPr>
            <w:tcW w:w="3425" w:type="dxa"/>
            <w:tcBorders>
              <w:right w:val="single" w:color="auto" w:sz="12" w:space="0"/>
            </w:tcBorders>
            <w:vAlign w:val="center"/>
          </w:tcPr>
          <w:p w14:paraId="2BB12F0E">
            <w:pPr>
              <w:snapToGrid w:val="0"/>
              <w:jc w:val="center"/>
              <w:rPr>
                <w:rFonts w:hint="default"/>
                <w:szCs w:val="21"/>
                <w:lang w:val="en-US" w:eastAsia="zh-CN"/>
              </w:rPr>
            </w:pPr>
            <w:r>
              <w:rPr>
                <w:rFonts w:hint="eastAsia"/>
                <w:szCs w:val="21"/>
                <w:lang w:val="en-US" w:eastAsia="zh-CN"/>
              </w:rPr>
              <w:t>/</w:t>
            </w:r>
          </w:p>
        </w:tc>
      </w:tr>
      <w:tr w14:paraId="69D90C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2A1C3DDC">
            <w:pPr>
              <w:snapToGrid w:val="0"/>
              <w:jc w:val="center"/>
              <w:rPr>
                <w:rFonts w:hint="eastAsia"/>
                <w:szCs w:val="21"/>
                <w:lang w:val="en-US" w:eastAsia="zh-CN"/>
              </w:rPr>
            </w:pPr>
          </w:p>
        </w:tc>
        <w:tc>
          <w:tcPr>
            <w:tcW w:w="567" w:type="dxa"/>
            <w:vMerge w:val="continue"/>
            <w:vAlign w:val="center"/>
          </w:tcPr>
          <w:p w14:paraId="010EC63E">
            <w:pPr>
              <w:snapToGrid w:val="0"/>
              <w:jc w:val="center"/>
              <w:rPr>
                <w:rFonts w:hint="eastAsia"/>
                <w:szCs w:val="21"/>
                <w:lang w:val="en-US" w:eastAsia="zh-CN"/>
              </w:rPr>
            </w:pPr>
          </w:p>
        </w:tc>
        <w:tc>
          <w:tcPr>
            <w:tcW w:w="1275" w:type="dxa"/>
            <w:vMerge w:val="continue"/>
            <w:tcBorders>
              <w:bottom w:val="single" w:color="auto" w:sz="4" w:space="0"/>
            </w:tcBorders>
            <w:vAlign w:val="center"/>
          </w:tcPr>
          <w:p w14:paraId="7C64616B">
            <w:pPr>
              <w:snapToGrid w:val="0"/>
              <w:jc w:val="center"/>
              <w:rPr>
                <w:rFonts w:hint="eastAsia"/>
                <w:szCs w:val="21"/>
                <w:lang w:val="en-US" w:eastAsia="zh-CN"/>
              </w:rPr>
            </w:pPr>
          </w:p>
        </w:tc>
        <w:tc>
          <w:tcPr>
            <w:tcW w:w="1246" w:type="dxa"/>
            <w:tcBorders>
              <w:top w:val="single" w:color="auto" w:sz="4" w:space="0"/>
              <w:bottom w:val="single" w:color="auto" w:sz="4" w:space="0"/>
            </w:tcBorders>
            <w:vAlign w:val="center"/>
          </w:tcPr>
          <w:p w14:paraId="56EE1097">
            <w:pPr>
              <w:snapToGrid w:val="0"/>
              <w:jc w:val="center"/>
              <w:rPr>
                <w:rFonts w:hint="eastAsia" w:ascii="Times New Roman" w:hAnsi="Times New Roman"/>
                <w:szCs w:val="21"/>
                <w:lang w:val="en-US" w:eastAsia="zh-CN"/>
              </w:rPr>
            </w:pPr>
            <w:r>
              <w:rPr>
                <w:rFonts w:hint="eastAsia" w:ascii="Times New Roman" w:hAnsi="Times New Roman"/>
                <w:szCs w:val="21"/>
                <w:lang w:val="en-US" w:eastAsia="zh-CN"/>
              </w:rPr>
              <w:t>臭气浓度</w:t>
            </w:r>
          </w:p>
        </w:tc>
        <w:tc>
          <w:tcPr>
            <w:tcW w:w="1316" w:type="dxa"/>
            <w:vMerge w:val="continue"/>
            <w:vAlign w:val="center"/>
          </w:tcPr>
          <w:p w14:paraId="444B2C7A">
            <w:pPr>
              <w:snapToGrid w:val="0"/>
              <w:jc w:val="center"/>
              <w:rPr>
                <w:rFonts w:hint="eastAsia"/>
                <w:szCs w:val="21"/>
                <w:lang w:val="en-US" w:eastAsia="zh-CN"/>
              </w:rPr>
            </w:pPr>
          </w:p>
        </w:tc>
        <w:tc>
          <w:tcPr>
            <w:tcW w:w="3425" w:type="dxa"/>
            <w:tcBorders>
              <w:right w:val="single" w:color="auto" w:sz="12" w:space="0"/>
            </w:tcBorders>
            <w:vAlign w:val="center"/>
          </w:tcPr>
          <w:p w14:paraId="38492D8D">
            <w:pPr>
              <w:snapToGrid w:val="0"/>
              <w:jc w:val="center"/>
              <w:rPr>
                <w:rFonts w:hint="eastAsia"/>
                <w:szCs w:val="21"/>
                <w:lang w:val="en-US" w:eastAsia="zh-CN"/>
              </w:rPr>
            </w:pPr>
            <w:r>
              <w:rPr>
                <w:rFonts w:hint="eastAsia" w:ascii="Times New Roman" w:hAnsi="Times New Roman"/>
                <w:kern w:val="0"/>
                <w:szCs w:val="21"/>
                <w:lang w:val="en-US" w:eastAsia="zh-CN"/>
              </w:rPr>
              <w:t>《恶臭污染物排放标准》（GB14554-93）</w:t>
            </w:r>
          </w:p>
        </w:tc>
      </w:tr>
      <w:tr w14:paraId="213684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971" w:type="dxa"/>
            <w:vMerge w:val="continue"/>
            <w:tcBorders>
              <w:left w:val="single" w:color="auto" w:sz="12" w:space="0"/>
            </w:tcBorders>
            <w:vAlign w:val="center"/>
          </w:tcPr>
          <w:p w14:paraId="7F8B676E">
            <w:pPr>
              <w:adjustRightInd w:val="0"/>
              <w:snapToGrid w:val="0"/>
              <w:jc w:val="center"/>
              <w:rPr>
                <w:rFonts w:cs="宋体"/>
                <w:szCs w:val="21"/>
              </w:rPr>
            </w:pPr>
          </w:p>
        </w:tc>
        <w:tc>
          <w:tcPr>
            <w:tcW w:w="567" w:type="dxa"/>
            <w:vMerge w:val="continue"/>
            <w:tcBorders>
              <w:bottom w:val="single" w:color="auto" w:sz="4" w:space="0"/>
            </w:tcBorders>
            <w:vAlign w:val="center"/>
          </w:tcPr>
          <w:p w14:paraId="36DE9CFB">
            <w:pPr>
              <w:snapToGrid w:val="0"/>
              <w:jc w:val="center"/>
              <w:rPr>
                <w:kern w:val="1"/>
                <w:szCs w:val="21"/>
              </w:rPr>
            </w:pPr>
          </w:p>
        </w:tc>
        <w:tc>
          <w:tcPr>
            <w:tcW w:w="1275" w:type="dxa"/>
            <w:tcBorders>
              <w:top w:val="single" w:color="auto" w:sz="4" w:space="0"/>
              <w:bottom w:val="single" w:color="auto" w:sz="4" w:space="0"/>
            </w:tcBorders>
            <w:vAlign w:val="center"/>
          </w:tcPr>
          <w:p w14:paraId="1539153D">
            <w:pPr>
              <w:snapToGrid w:val="0"/>
              <w:jc w:val="center"/>
              <w:rPr>
                <w:rFonts w:hint="eastAsia" w:eastAsia="宋体"/>
                <w:kern w:val="1"/>
                <w:szCs w:val="21"/>
                <w:lang w:val="en-US" w:eastAsia="zh-CN"/>
              </w:rPr>
            </w:pPr>
            <w:r>
              <w:rPr>
                <w:rFonts w:hint="eastAsia"/>
                <w:kern w:val="1"/>
                <w:szCs w:val="21"/>
                <w:lang w:val="en-US" w:eastAsia="zh-CN"/>
              </w:rPr>
              <w:t>厂区内</w:t>
            </w:r>
          </w:p>
        </w:tc>
        <w:tc>
          <w:tcPr>
            <w:tcW w:w="1246" w:type="dxa"/>
            <w:tcBorders>
              <w:top w:val="single" w:color="auto" w:sz="4" w:space="0"/>
              <w:bottom w:val="single" w:color="auto" w:sz="4" w:space="0"/>
            </w:tcBorders>
            <w:vAlign w:val="center"/>
          </w:tcPr>
          <w:p w14:paraId="49F086A6">
            <w:pPr>
              <w:snapToGrid w:val="0"/>
              <w:jc w:val="center"/>
              <w:rPr>
                <w:szCs w:val="21"/>
              </w:rPr>
            </w:pPr>
            <w:r>
              <w:rPr>
                <w:szCs w:val="21"/>
              </w:rPr>
              <w:t>非甲烷总烃</w:t>
            </w:r>
          </w:p>
        </w:tc>
        <w:tc>
          <w:tcPr>
            <w:tcW w:w="1316" w:type="dxa"/>
            <w:vMerge w:val="continue"/>
            <w:tcBorders>
              <w:bottom w:val="single" w:color="auto" w:sz="4" w:space="0"/>
            </w:tcBorders>
            <w:vAlign w:val="center"/>
          </w:tcPr>
          <w:p w14:paraId="2B6A5EB4">
            <w:pPr>
              <w:snapToGrid w:val="0"/>
              <w:jc w:val="center"/>
              <w:rPr>
                <w:szCs w:val="21"/>
                <w:lang w:val="zh-CN"/>
              </w:rPr>
            </w:pPr>
          </w:p>
        </w:tc>
        <w:tc>
          <w:tcPr>
            <w:tcW w:w="3425" w:type="dxa"/>
            <w:tcBorders>
              <w:bottom w:val="single" w:color="auto" w:sz="4" w:space="0"/>
              <w:right w:val="single" w:color="auto" w:sz="12" w:space="0"/>
            </w:tcBorders>
            <w:vAlign w:val="center"/>
          </w:tcPr>
          <w:p w14:paraId="2ABFF569">
            <w:pPr>
              <w:snapToGrid w:val="0"/>
              <w:ind w:left="42" w:leftChars="20" w:right="42" w:rightChars="20"/>
              <w:jc w:val="center"/>
              <w:rPr>
                <w:kern w:val="0"/>
                <w:szCs w:val="21"/>
              </w:rPr>
            </w:pPr>
            <w:r>
              <w:rPr>
                <w:rFonts w:ascii="Times New Roman" w:hAnsi="Times New Roman"/>
                <w:szCs w:val="21"/>
              </w:rPr>
              <w:t>安徽省《固定源挥发性有机物综合排放标准 第6部分：其他行业》（DB34/ 4812.6-2024）表4相关标准限值</w:t>
            </w:r>
          </w:p>
        </w:tc>
      </w:tr>
      <w:tr w14:paraId="35F961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971" w:type="dxa"/>
            <w:tcBorders>
              <w:top w:val="single" w:color="auto" w:sz="4" w:space="0"/>
              <w:left w:val="single" w:color="auto" w:sz="12" w:space="0"/>
            </w:tcBorders>
            <w:vAlign w:val="center"/>
          </w:tcPr>
          <w:p w14:paraId="438DB2C6">
            <w:pPr>
              <w:adjustRightInd w:val="0"/>
              <w:snapToGrid w:val="0"/>
              <w:jc w:val="center"/>
              <w:rPr>
                <w:rFonts w:cs="宋体"/>
                <w:szCs w:val="21"/>
              </w:rPr>
            </w:pPr>
            <w:r>
              <w:rPr>
                <w:rFonts w:hint="eastAsia" w:cs="宋体"/>
                <w:szCs w:val="21"/>
              </w:rPr>
              <w:t>地表水环境</w:t>
            </w:r>
          </w:p>
        </w:tc>
        <w:tc>
          <w:tcPr>
            <w:tcW w:w="1842" w:type="dxa"/>
            <w:gridSpan w:val="2"/>
            <w:tcBorders>
              <w:top w:val="single" w:color="auto" w:sz="4" w:space="0"/>
              <w:bottom w:val="single" w:color="auto" w:sz="4" w:space="0"/>
            </w:tcBorders>
            <w:vAlign w:val="center"/>
          </w:tcPr>
          <w:p w14:paraId="2E10376A">
            <w:pPr>
              <w:adjustRightInd w:val="0"/>
              <w:snapToGrid w:val="0"/>
              <w:jc w:val="center"/>
              <w:rPr>
                <w:rFonts w:cs="宋体"/>
                <w:szCs w:val="21"/>
              </w:rPr>
            </w:pPr>
            <w:r>
              <w:rPr>
                <w:rFonts w:hint="eastAsia" w:cs="宋体"/>
                <w:szCs w:val="21"/>
              </w:rPr>
              <w:t>生活污水</w:t>
            </w:r>
          </w:p>
        </w:tc>
        <w:tc>
          <w:tcPr>
            <w:tcW w:w="1246" w:type="dxa"/>
            <w:tcBorders>
              <w:top w:val="single" w:color="auto" w:sz="4" w:space="0"/>
              <w:bottom w:val="single" w:color="auto" w:sz="4" w:space="0"/>
            </w:tcBorders>
            <w:vAlign w:val="center"/>
          </w:tcPr>
          <w:p w14:paraId="3F2A9D0C">
            <w:pPr>
              <w:jc w:val="center"/>
              <w:outlineLvl w:val="0"/>
              <w:rPr>
                <w:szCs w:val="21"/>
              </w:rPr>
            </w:pPr>
            <w:r>
              <w:rPr>
                <w:szCs w:val="21"/>
              </w:rPr>
              <w:t>pH、COD、BOD</w:t>
            </w:r>
            <w:r>
              <w:rPr>
                <w:szCs w:val="21"/>
                <w:vertAlign w:val="subscript"/>
              </w:rPr>
              <w:t>5</w:t>
            </w:r>
            <w:r>
              <w:rPr>
                <w:szCs w:val="21"/>
              </w:rPr>
              <w:t>、SS、</w:t>
            </w:r>
            <w:r>
              <w:rPr>
                <w:rFonts w:hint="eastAsia"/>
                <w:szCs w:val="21"/>
              </w:rPr>
              <w:t>NH</w:t>
            </w:r>
            <w:r>
              <w:rPr>
                <w:rFonts w:hint="eastAsia"/>
                <w:szCs w:val="21"/>
                <w:vertAlign w:val="subscript"/>
              </w:rPr>
              <w:t>3</w:t>
            </w:r>
            <w:r>
              <w:rPr>
                <w:rFonts w:hint="eastAsia"/>
                <w:szCs w:val="21"/>
              </w:rPr>
              <w:t>-N</w:t>
            </w:r>
          </w:p>
        </w:tc>
        <w:tc>
          <w:tcPr>
            <w:tcW w:w="1316" w:type="dxa"/>
            <w:tcBorders>
              <w:top w:val="single" w:color="auto" w:sz="4" w:space="0"/>
              <w:bottom w:val="single" w:color="auto" w:sz="4" w:space="0"/>
            </w:tcBorders>
            <w:vAlign w:val="center"/>
          </w:tcPr>
          <w:p w14:paraId="60D7B065">
            <w:pPr>
              <w:jc w:val="center"/>
              <w:outlineLvl w:val="0"/>
              <w:rPr>
                <w:szCs w:val="21"/>
              </w:rPr>
            </w:pPr>
            <w:r>
              <w:rPr>
                <w:rFonts w:hint="eastAsia"/>
                <w:szCs w:val="21"/>
              </w:rPr>
              <w:t>化粪池</w:t>
            </w:r>
          </w:p>
        </w:tc>
        <w:tc>
          <w:tcPr>
            <w:tcW w:w="3425" w:type="dxa"/>
            <w:tcBorders>
              <w:top w:val="single" w:color="auto" w:sz="4" w:space="0"/>
              <w:right w:val="single" w:color="auto" w:sz="12" w:space="0"/>
            </w:tcBorders>
            <w:vAlign w:val="center"/>
          </w:tcPr>
          <w:p w14:paraId="4D970721">
            <w:pPr>
              <w:jc w:val="center"/>
              <w:outlineLvl w:val="0"/>
              <w:rPr>
                <w:szCs w:val="21"/>
              </w:rPr>
            </w:pPr>
            <w:r>
              <w:rPr>
                <w:rFonts w:hint="eastAsia"/>
                <w:szCs w:val="21"/>
              </w:rPr>
              <w:t>《污水综合排放标准》（</w:t>
            </w:r>
            <w:r>
              <w:rPr>
                <w:szCs w:val="21"/>
              </w:rPr>
              <w:t>GB8978-1996</w:t>
            </w:r>
            <w:r>
              <w:rPr>
                <w:rFonts w:hint="eastAsia"/>
                <w:szCs w:val="21"/>
              </w:rPr>
              <w:t>）表4三级标准</w:t>
            </w:r>
            <w:r>
              <w:rPr>
                <w:szCs w:val="21"/>
              </w:rPr>
              <w:t>和</w:t>
            </w:r>
            <w:r>
              <w:rPr>
                <w:bCs/>
                <w:szCs w:val="21"/>
              </w:rPr>
              <w:t>天门山污水处理厂纳管标准</w:t>
            </w:r>
          </w:p>
        </w:tc>
      </w:tr>
      <w:tr w14:paraId="6D0F3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971" w:type="dxa"/>
            <w:tcBorders>
              <w:top w:val="single" w:color="auto" w:sz="4" w:space="0"/>
              <w:left w:val="single" w:color="auto" w:sz="12" w:space="0"/>
              <w:bottom w:val="single" w:color="auto" w:sz="4" w:space="0"/>
            </w:tcBorders>
            <w:vAlign w:val="center"/>
          </w:tcPr>
          <w:p w14:paraId="3B1182D7">
            <w:pPr>
              <w:adjustRightInd w:val="0"/>
              <w:snapToGrid w:val="0"/>
              <w:jc w:val="center"/>
              <w:rPr>
                <w:rFonts w:cs="宋体"/>
                <w:szCs w:val="21"/>
              </w:rPr>
            </w:pPr>
            <w:r>
              <w:rPr>
                <w:rFonts w:hint="eastAsia" w:cs="宋体"/>
                <w:szCs w:val="21"/>
              </w:rPr>
              <w:t>声环境</w:t>
            </w:r>
          </w:p>
        </w:tc>
        <w:tc>
          <w:tcPr>
            <w:tcW w:w="1842" w:type="dxa"/>
            <w:gridSpan w:val="2"/>
            <w:tcBorders>
              <w:top w:val="single" w:color="auto" w:sz="4" w:space="0"/>
              <w:bottom w:val="single" w:color="auto" w:sz="4" w:space="0"/>
            </w:tcBorders>
            <w:vAlign w:val="center"/>
          </w:tcPr>
          <w:p w14:paraId="29D5523D">
            <w:pPr>
              <w:adjustRightInd w:val="0"/>
              <w:snapToGrid w:val="0"/>
              <w:jc w:val="center"/>
              <w:rPr>
                <w:rFonts w:hint="default" w:eastAsia="宋体" w:cs="宋体"/>
                <w:szCs w:val="21"/>
                <w:lang w:val="en-US" w:eastAsia="zh-CN"/>
              </w:rPr>
            </w:pPr>
            <w:r>
              <w:rPr>
                <w:rFonts w:hint="eastAsia" w:cs="宋体"/>
                <w:szCs w:val="21"/>
                <w:lang w:val="en-US" w:eastAsia="zh-CN"/>
              </w:rPr>
              <w:t>生产设备、风机等</w:t>
            </w:r>
          </w:p>
        </w:tc>
        <w:tc>
          <w:tcPr>
            <w:tcW w:w="1246" w:type="dxa"/>
            <w:tcBorders>
              <w:top w:val="single" w:color="auto" w:sz="4" w:space="0"/>
              <w:bottom w:val="single" w:color="auto" w:sz="4" w:space="0"/>
            </w:tcBorders>
            <w:vAlign w:val="center"/>
          </w:tcPr>
          <w:p w14:paraId="77C0C9B8">
            <w:pPr>
              <w:adjustRightInd w:val="0"/>
              <w:snapToGrid w:val="0"/>
              <w:jc w:val="center"/>
              <w:rPr>
                <w:rFonts w:cs="宋体"/>
                <w:szCs w:val="21"/>
              </w:rPr>
            </w:pPr>
            <w:r>
              <w:rPr>
                <w:rFonts w:hint="eastAsia" w:cs="宋体"/>
                <w:szCs w:val="21"/>
              </w:rPr>
              <w:t>/</w:t>
            </w:r>
          </w:p>
        </w:tc>
        <w:tc>
          <w:tcPr>
            <w:tcW w:w="1316" w:type="dxa"/>
            <w:tcBorders>
              <w:top w:val="single" w:color="auto" w:sz="4" w:space="0"/>
              <w:bottom w:val="single" w:color="auto" w:sz="4" w:space="0"/>
            </w:tcBorders>
            <w:vAlign w:val="center"/>
          </w:tcPr>
          <w:p w14:paraId="3A0796B3">
            <w:pPr>
              <w:adjustRightInd w:val="0"/>
              <w:snapToGrid w:val="0"/>
              <w:jc w:val="center"/>
              <w:rPr>
                <w:rFonts w:cs="宋体"/>
                <w:szCs w:val="21"/>
              </w:rPr>
            </w:pPr>
            <w:r>
              <w:rPr>
                <w:szCs w:val="21"/>
              </w:rPr>
              <w:t>基础减振、隔声</w:t>
            </w:r>
          </w:p>
        </w:tc>
        <w:tc>
          <w:tcPr>
            <w:tcW w:w="3425" w:type="dxa"/>
            <w:tcBorders>
              <w:top w:val="single" w:color="auto" w:sz="4" w:space="0"/>
              <w:bottom w:val="single" w:color="auto" w:sz="4" w:space="0"/>
              <w:right w:val="single" w:color="auto" w:sz="12" w:space="0"/>
            </w:tcBorders>
            <w:vAlign w:val="center"/>
          </w:tcPr>
          <w:p w14:paraId="502D186F">
            <w:pPr>
              <w:adjustRightInd w:val="0"/>
              <w:snapToGrid w:val="0"/>
              <w:jc w:val="center"/>
              <w:rPr>
                <w:rFonts w:cs="宋体"/>
                <w:szCs w:val="21"/>
              </w:rPr>
            </w:pPr>
            <w:r>
              <w:rPr>
                <w:rFonts w:hint="eastAsia" w:cs="宋体"/>
                <w:szCs w:val="21"/>
              </w:rPr>
              <w:t>《工业企业厂界环境噪声排放标准》</w:t>
            </w:r>
            <w:r>
              <w:rPr>
                <w:rFonts w:cs="宋体"/>
                <w:szCs w:val="21"/>
              </w:rPr>
              <w:t>（GB12348-2008）</w:t>
            </w:r>
            <w:r>
              <w:rPr>
                <w:rFonts w:hint="eastAsia" w:cs="宋体"/>
                <w:szCs w:val="21"/>
              </w:rPr>
              <w:t>中</w:t>
            </w:r>
            <w:r>
              <w:rPr>
                <w:rFonts w:cs="宋体"/>
                <w:szCs w:val="21"/>
              </w:rPr>
              <w:t>3</w:t>
            </w:r>
            <w:r>
              <w:rPr>
                <w:rFonts w:hint="eastAsia" w:cs="宋体"/>
                <w:szCs w:val="21"/>
              </w:rPr>
              <w:t>类标准</w:t>
            </w:r>
          </w:p>
        </w:tc>
      </w:tr>
      <w:tr w14:paraId="021B2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971" w:type="dxa"/>
            <w:tcBorders>
              <w:top w:val="single" w:color="auto" w:sz="4" w:space="0"/>
              <w:left w:val="single" w:color="auto" w:sz="12" w:space="0"/>
              <w:bottom w:val="single" w:color="auto" w:sz="4" w:space="0"/>
            </w:tcBorders>
            <w:vAlign w:val="center"/>
          </w:tcPr>
          <w:p w14:paraId="7BE95A12">
            <w:pPr>
              <w:adjustRightInd w:val="0"/>
              <w:snapToGrid w:val="0"/>
              <w:jc w:val="center"/>
              <w:rPr>
                <w:rFonts w:cs="宋体"/>
                <w:szCs w:val="21"/>
              </w:rPr>
            </w:pPr>
            <w:r>
              <w:rPr>
                <w:rFonts w:hint="eastAsia" w:cs="宋体"/>
                <w:szCs w:val="21"/>
              </w:rPr>
              <w:t>电磁</w:t>
            </w:r>
          </w:p>
          <w:p w14:paraId="42317021">
            <w:pPr>
              <w:adjustRightInd w:val="0"/>
              <w:snapToGrid w:val="0"/>
              <w:jc w:val="center"/>
              <w:rPr>
                <w:rFonts w:cs="宋体"/>
                <w:szCs w:val="21"/>
              </w:rPr>
            </w:pPr>
            <w:r>
              <w:rPr>
                <w:rFonts w:hint="eastAsia" w:cs="宋体"/>
                <w:szCs w:val="21"/>
              </w:rPr>
              <w:t>辐射</w:t>
            </w:r>
          </w:p>
        </w:tc>
        <w:tc>
          <w:tcPr>
            <w:tcW w:w="1842" w:type="dxa"/>
            <w:gridSpan w:val="2"/>
            <w:tcBorders>
              <w:top w:val="single" w:color="auto" w:sz="4" w:space="0"/>
              <w:bottom w:val="single" w:color="auto" w:sz="4" w:space="0"/>
            </w:tcBorders>
            <w:vAlign w:val="center"/>
          </w:tcPr>
          <w:p w14:paraId="7DA78B1C">
            <w:pPr>
              <w:adjustRightInd w:val="0"/>
              <w:snapToGrid w:val="0"/>
              <w:jc w:val="center"/>
              <w:rPr>
                <w:rFonts w:cs="宋体"/>
                <w:szCs w:val="21"/>
              </w:rPr>
            </w:pPr>
            <w:r>
              <w:rPr>
                <w:rFonts w:hint="eastAsia" w:cs="宋体"/>
                <w:szCs w:val="21"/>
              </w:rPr>
              <w:t>/</w:t>
            </w:r>
          </w:p>
        </w:tc>
        <w:tc>
          <w:tcPr>
            <w:tcW w:w="1246" w:type="dxa"/>
            <w:tcBorders>
              <w:top w:val="single" w:color="auto" w:sz="4" w:space="0"/>
              <w:bottom w:val="single" w:color="auto" w:sz="4" w:space="0"/>
            </w:tcBorders>
            <w:vAlign w:val="center"/>
          </w:tcPr>
          <w:p w14:paraId="1F90AB4F">
            <w:pPr>
              <w:adjustRightInd w:val="0"/>
              <w:snapToGrid w:val="0"/>
              <w:jc w:val="center"/>
              <w:rPr>
                <w:rFonts w:cs="宋体"/>
                <w:szCs w:val="21"/>
              </w:rPr>
            </w:pPr>
            <w:r>
              <w:rPr>
                <w:rFonts w:hint="eastAsia" w:cs="宋体"/>
                <w:szCs w:val="21"/>
              </w:rPr>
              <w:t>/</w:t>
            </w:r>
          </w:p>
        </w:tc>
        <w:tc>
          <w:tcPr>
            <w:tcW w:w="1316" w:type="dxa"/>
            <w:tcBorders>
              <w:top w:val="single" w:color="auto" w:sz="4" w:space="0"/>
              <w:bottom w:val="single" w:color="auto" w:sz="4" w:space="0"/>
            </w:tcBorders>
            <w:vAlign w:val="center"/>
          </w:tcPr>
          <w:p w14:paraId="0C08AC2D">
            <w:pPr>
              <w:adjustRightInd w:val="0"/>
              <w:snapToGrid w:val="0"/>
              <w:jc w:val="center"/>
              <w:rPr>
                <w:rFonts w:cs="宋体"/>
                <w:szCs w:val="21"/>
              </w:rPr>
            </w:pPr>
            <w:r>
              <w:rPr>
                <w:rFonts w:hint="eastAsia" w:cs="宋体"/>
                <w:szCs w:val="21"/>
              </w:rPr>
              <w:t>/</w:t>
            </w:r>
          </w:p>
        </w:tc>
        <w:tc>
          <w:tcPr>
            <w:tcW w:w="3425" w:type="dxa"/>
            <w:tcBorders>
              <w:top w:val="single" w:color="auto" w:sz="4" w:space="0"/>
              <w:bottom w:val="single" w:color="auto" w:sz="4" w:space="0"/>
              <w:right w:val="single" w:color="auto" w:sz="12" w:space="0"/>
            </w:tcBorders>
            <w:vAlign w:val="center"/>
          </w:tcPr>
          <w:p w14:paraId="43C1EFD9">
            <w:pPr>
              <w:adjustRightInd w:val="0"/>
              <w:snapToGrid w:val="0"/>
              <w:jc w:val="center"/>
              <w:rPr>
                <w:rFonts w:cs="宋体"/>
                <w:szCs w:val="21"/>
              </w:rPr>
            </w:pPr>
            <w:r>
              <w:rPr>
                <w:rFonts w:hint="eastAsia" w:cs="宋体"/>
                <w:szCs w:val="21"/>
              </w:rPr>
              <w:t>/</w:t>
            </w:r>
          </w:p>
        </w:tc>
      </w:tr>
      <w:tr w14:paraId="61319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971" w:type="dxa"/>
            <w:tcBorders>
              <w:top w:val="single" w:color="auto" w:sz="4" w:space="0"/>
              <w:left w:val="single" w:color="auto" w:sz="12" w:space="0"/>
              <w:bottom w:val="single" w:color="auto" w:sz="4" w:space="0"/>
            </w:tcBorders>
            <w:vAlign w:val="center"/>
          </w:tcPr>
          <w:p w14:paraId="66873996">
            <w:pPr>
              <w:adjustRightInd w:val="0"/>
              <w:snapToGrid w:val="0"/>
              <w:jc w:val="center"/>
              <w:rPr>
                <w:rFonts w:cs="宋体"/>
                <w:szCs w:val="21"/>
              </w:rPr>
            </w:pPr>
            <w:r>
              <w:rPr>
                <w:rFonts w:hint="eastAsia" w:cs="宋体"/>
                <w:szCs w:val="21"/>
              </w:rPr>
              <w:t>固体</w:t>
            </w:r>
          </w:p>
          <w:p w14:paraId="6CB92E32">
            <w:pPr>
              <w:adjustRightInd w:val="0"/>
              <w:snapToGrid w:val="0"/>
              <w:jc w:val="center"/>
              <w:rPr>
                <w:rFonts w:cs="宋体"/>
                <w:szCs w:val="21"/>
              </w:rPr>
            </w:pPr>
            <w:r>
              <w:rPr>
                <w:rFonts w:hint="eastAsia" w:cs="宋体"/>
                <w:szCs w:val="21"/>
              </w:rPr>
              <w:t>废物</w:t>
            </w:r>
          </w:p>
        </w:tc>
        <w:tc>
          <w:tcPr>
            <w:tcW w:w="7829" w:type="dxa"/>
            <w:gridSpan w:val="5"/>
            <w:tcBorders>
              <w:top w:val="single" w:color="auto" w:sz="4" w:space="0"/>
              <w:bottom w:val="single" w:color="auto" w:sz="4" w:space="0"/>
              <w:right w:val="single" w:color="auto" w:sz="12" w:space="0"/>
            </w:tcBorders>
            <w:vAlign w:val="center"/>
          </w:tcPr>
          <w:p w14:paraId="172E2AEE">
            <w:pPr>
              <w:ind w:firstLine="420" w:firstLineChars="200"/>
              <w:jc w:val="left"/>
              <w:rPr>
                <w:rFonts w:cs="宋体"/>
                <w:szCs w:val="21"/>
              </w:rPr>
            </w:pPr>
            <w:r>
              <w:rPr>
                <w:rFonts w:hint="eastAsia"/>
                <w:szCs w:val="21"/>
              </w:rPr>
              <w:t>新建</w:t>
            </w:r>
            <w:r>
              <w:rPr>
                <w:szCs w:val="21"/>
              </w:rPr>
              <w:t>一般固废暂存库</w:t>
            </w:r>
            <w:r>
              <w:rPr>
                <w:rFonts w:hint="eastAsia"/>
                <w:szCs w:val="21"/>
              </w:rPr>
              <w:t>（</w:t>
            </w:r>
            <w:r>
              <w:rPr>
                <w:szCs w:val="21"/>
              </w:rPr>
              <w:t>20m</w:t>
            </w:r>
            <w:r>
              <w:rPr>
                <w:szCs w:val="21"/>
                <w:vertAlign w:val="superscript"/>
              </w:rPr>
              <w:t>2</w:t>
            </w:r>
            <w:r>
              <w:rPr>
                <w:szCs w:val="21"/>
              </w:rPr>
              <w:t>）</w:t>
            </w:r>
            <w:r>
              <w:rPr>
                <w:rFonts w:hint="eastAsia"/>
                <w:szCs w:val="21"/>
              </w:rPr>
              <w:t>，一般固废于</w:t>
            </w:r>
            <w:r>
              <w:rPr>
                <w:szCs w:val="21"/>
              </w:rPr>
              <w:t>一般固废暂存库暂存，其中</w:t>
            </w:r>
            <w:r>
              <w:rPr>
                <w:rFonts w:hint="eastAsia"/>
                <w:szCs w:val="21"/>
                <w:lang w:val="en-US" w:eastAsia="zh-CN"/>
              </w:rPr>
              <w:t>废边角料、不合格品</w:t>
            </w:r>
            <w:r>
              <w:rPr>
                <w:rFonts w:hint="eastAsia"/>
                <w:szCs w:val="21"/>
              </w:rPr>
              <w:t>回用于生产，</w:t>
            </w:r>
            <w:r>
              <w:rPr>
                <w:rFonts w:hint="eastAsia"/>
                <w:szCs w:val="21"/>
                <w:lang w:val="en-US" w:eastAsia="zh-CN"/>
              </w:rPr>
              <w:t>废包装袋</w:t>
            </w:r>
            <w:r>
              <w:rPr>
                <w:rFonts w:hint="eastAsia"/>
                <w:szCs w:val="21"/>
              </w:rPr>
              <w:t>收集后外售；新建危废暂存库（1</w:t>
            </w:r>
            <w:r>
              <w:rPr>
                <w:szCs w:val="21"/>
              </w:rPr>
              <w:t>0m</w:t>
            </w:r>
            <w:r>
              <w:rPr>
                <w:szCs w:val="21"/>
                <w:vertAlign w:val="superscript"/>
              </w:rPr>
              <w:t>2</w:t>
            </w:r>
            <w:r>
              <w:rPr>
                <w:rFonts w:hint="eastAsia"/>
                <w:szCs w:val="21"/>
              </w:rPr>
              <w:t>），</w:t>
            </w:r>
            <w:r>
              <w:rPr>
                <w:szCs w:val="21"/>
              </w:rPr>
              <w:t>废活性炭、废润滑油、废</w:t>
            </w:r>
            <w:r>
              <w:rPr>
                <w:rFonts w:hint="eastAsia"/>
                <w:szCs w:val="21"/>
                <w:lang w:val="en-US" w:eastAsia="zh-CN"/>
              </w:rPr>
              <w:t>润滑</w:t>
            </w:r>
            <w:r>
              <w:rPr>
                <w:szCs w:val="21"/>
              </w:rPr>
              <w:t>油桶属于危险废物，于危废暂存库内暂存，定期交由</w:t>
            </w:r>
            <w:r>
              <w:rPr>
                <w:rFonts w:hint="eastAsia"/>
                <w:szCs w:val="21"/>
              </w:rPr>
              <w:t>有</w:t>
            </w:r>
            <w:r>
              <w:rPr>
                <w:szCs w:val="21"/>
              </w:rPr>
              <w:t>相关危废资质单位处理；生活垃圾交由环卫部门统一清运。</w:t>
            </w:r>
          </w:p>
        </w:tc>
      </w:tr>
      <w:tr w14:paraId="6F0131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971" w:type="dxa"/>
            <w:tcBorders>
              <w:top w:val="single" w:color="auto" w:sz="4" w:space="0"/>
              <w:left w:val="single" w:color="auto" w:sz="12" w:space="0"/>
              <w:bottom w:val="single" w:color="auto" w:sz="4" w:space="0"/>
            </w:tcBorders>
            <w:vAlign w:val="center"/>
          </w:tcPr>
          <w:p w14:paraId="4741D253">
            <w:pPr>
              <w:adjustRightInd w:val="0"/>
              <w:snapToGrid w:val="0"/>
              <w:jc w:val="center"/>
              <w:rPr>
                <w:rFonts w:cs="宋体"/>
                <w:szCs w:val="21"/>
              </w:rPr>
            </w:pPr>
            <w:r>
              <w:rPr>
                <w:rFonts w:hint="eastAsia" w:cs="宋体"/>
                <w:szCs w:val="21"/>
              </w:rPr>
              <w:t>土壤及地下水污染防治措施</w:t>
            </w:r>
          </w:p>
        </w:tc>
        <w:tc>
          <w:tcPr>
            <w:tcW w:w="7829" w:type="dxa"/>
            <w:gridSpan w:val="5"/>
            <w:tcBorders>
              <w:top w:val="single" w:color="auto" w:sz="4" w:space="0"/>
              <w:bottom w:val="single" w:color="auto" w:sz="4" w:space="0"/>
              <w:right w:val="single" w:color="auto" w:sz="12" w:space="0"/>
            </w:tcBorders>
            <w:vAlign w:val="center"/>
          </w:tcPr>
          <w:p w14:paraId="432EA1C7">
            <w:pPr>
              <w:adjustRightInd w:val="0"/>
              <w:snapToGrid w:val="0"/>
              <w:jc w:val="center"/>
              <w:rPr>
                <w:rFonts w:cs="宋体"/>
                <w:szCs w:val="21"/>
              </w:rPr>
            </w:pPr>
            <w:r>
              <w:rPr>
                <w:rFonts w:hint="eastAsia"/>
                <w:szCs w:val="21"/>
              </w:rPr>
              <w:t>生产车间</w:t>
            </w:r>
            <w:r>
              <w:rPr>
                <w:szCs w:val="21"/>
              </w:rPr>
              <w:t>一般防渗，</w:t>
            </w:r>
            <w:r>
              <w:rPr>
                <w:rFonts w:eastAsiaTheme="minorEastAsia"/>
                <w:szCs w:val="21"/>
              </w:rPr>
              <w:t>危废暂存库</w:t>
            </w:r>
            <w:r>
              <w:rPr>
                <w:rFonts w:hint="eastAsia" w:eastAsiaTheme="minorEastAsia"/>
                <w:szCs w:val="21"/>
              </w:rPr>
              <w:t>、</w:t>
            </w:r>
            <w:r>
              <w:rPr>
                <w:rFonts w:hint="eastAsia" w:eastAsiaTheme="minorEastAsia"/>
                <w:szCs w:val="21"/>
                <w:lang w:val="en-US" w:eastAsia="zh-CN"/>
              </w:rPr>
              <w:t>原料</w:t>
            </w:r>
            <w:r>
              <w:rPr>
                <w:rFonts w:hint="eastAsia" w:eastAsiaTheme="minorEastAsia"/>
                <w:szCs w:val="21"/>
              </w:rPr>
              <w:t>区</w:t>
            </w:r>
            <w:r>
              <w:rPr>
                <w:szCs w:val="21"/>
              </w:rPr>
              <w:t>重点防渗。</w:t>
            </w:r>
          </w:p>
        </w:tc>
      </w:tr>
      <w:tr w14:paraId="4943FE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971" w:type="dxa"/>
            <w:tcBorders>
              <w:top w:val="single" w:color="auto" w:sz="4" w:space="0"/>
              <w:left w:val="single" w:color="auto" w:sz="12" w:space="0"/>
              <w:bottom w:val="single" w:color="auto" w:sz="4" w:space="0"/>
            </w:tcBorders>
            <w:vAlign w:val="center"/>
          </w:tcPr>
          <w:p w14:paraId="1BC76130">
            <w:pPr>
              <w:adjustRightInd w:val="0"/>
              <w:snapToGrid w:val="0"/>
              <w:jc w:val="center"/>
              <w:rPr>
                <w:rFonts w:cs="宋体"/>
                <w:szCs w:val="21"/>
              </w:rPr>
            </w:pPr>
            <w:r>
              <w:rPr>
                <w:rFonts w:hint="eastAsia" w:cs="宋体"/>
                <w:szCs w:val="21"/>
              </w:rPr>
              <w:t>生态保护措施</w:t>
            </w:r>
          </w:p>
        </w:tc>
        <w:tc>
          <w:tcPr>
            <w:tcW w:w="7829" w:type="dxa"/>
            <w:gridSpan w:val="5"/>
            <w:tcBorders>
              <w:top w:val="single" w:color="auto" w:sz="4" w:space="0"/>
              <w:bottom w:val="single" w:color="auto" w:sz="4" w:space="0"/>
              <w:right w:val="single" w:color="auto" w:sz="12" w:space="0"/>
            </w:tcBorders>
            <w:vAlign w:val="center"/>
          </w:tcPr>
          <w:p w14:paraId="4AE834F2">
            <w:pPr>
              <w:adjustRightInd w:val="0"/>
              <w:snapToGrid w:val="0"/>
              <w:jc w:val="center"/>
              <w:rPr>
                <w:rFonts w:cs="宋体"/>
                <w:szCs w:val="21"/>
              </w:rPr>
            </w:pPr>
            <w:r>
              <w:rPr>
                <w:rFonts w:hint="eastAsia" w:cs="宋体"/>
                <w:szCs w:val="21"/>
              </w:rPr>
              <w:t>无</w:t>
            </w:r>
          </w:p>
        </w:tc>
      </w:tr>
      <w:tr w14:paraId="6352D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19" w:hRule="atLeast"/>
          <w:jc w:val="center"/>
        </w:trPr>
        <w:tc>
          <w:tcPr>
            <w:tcW w:w="971" w:type="dxa"/>
            <w:tcBorders>
              <w:top w:val="single" w:color="auto" w:sz="4" w:space="0"/>
              <w:left w:val="single" w:color="auto" w:sz="12" w:space="0"/>
              <w:bottom w:val="single" w:color="auto" w:sz="4" w:space="0"/>
            </w:tcBorders>
            <w:vAlign w:val="center"/>
          </w:tcPr>
          <w:p w14:paraId="5093FFD4">
            <w:pPr>
              <w:adjustRightInd w:val="0"/>
              <w:snapToGrid w:val="0"/>
              <w:jc w:val="center"/>
              <w:rPr>
                <w:rFonts w:cs="宋体"/>
                <w:szCs w:val="21"/>
              </w:rPr>
            </w:pPr>
            <w:r>
              <w:rPr>
                <w:rFonts w:hint="eastAsia" w:cs="宋体"/>
                <w:szCs w:val="21"/>
              </w:rPr>
              <w:t>环境风险防范措施</w:t>
            </w:r>
          </w:p>
        </w:tc>
        <w:tc>
          <w:tcPr>
            <w:tcW w:w="7829" w:type="dxa"/>
            <w:gridSpan w:val="5"/>
            <w:tcBorders>
              <w:top w:val="single" w:color="auto" w:sz="4" w:space="0"/>
              <w:bottom w:val="single" w:color="auto" w:sz="4" w:space="0"/>
              <w:right w:val="single" w:color="auto" w:sz="12" w:space="0"/>
            </w:tcBorders>
            <w:vAlign w:val="center"/>
          </w:tcPr>
          <w:p w14:paraId="58CA48AC">
            <w:pPr>
              <w:adjustRightInd w:val="0"/>
              <w:snapToGrid w:val="0"/>
              <w:jc w:val="center"/>
              <w:rPr>
                <w:rFonts w:cs="宋体"/>
                <w:szCs w:val="21"/>
              </w:rPr>
            </w:pPr>
            <w:r>
              <w:rPr>
                <w:szCs w:val="21"/>
              </w:rPr>
              <w:t>配备相应风险防范物资</w:t>
            </w:r>
            <w:r>
              <w:rPr>
                <w:rFonts w:hint="eastAsia"/>
                <w:szCs w:val="21"/>
              </w:rPr>
              <w:t>。①</w:t>
            </w:r>
            <w:r>
              <w:rPr>
                <w:szCs w:val="21"/>
              </w:rPr>
              <w:t>设立环保安全管理机构，配备环保管理人员负责公司运营过程中的环保安全工作；</w:t>
            </w:r>
            <w:r>
              <w:rPr>
                <w:rFonts w:hint="eastAsia"/>
                <w:szCs w:val="21"/>
              </w:rPr>
              <w:t>②</w:t>
            </w:r>
            <w:r>
              <w:rPr>
                <w:szCs w:val="21"/>
              </w:rPr>
              <w:t>合理选址和总图布置，厂房建设根据设计规范要求设定防火距离、安全通道等；</w:t>
            </w:r>
            <w:r>
              <w:rPr>
                <w:rFonts w:hint="eastAsia"/>
                <w:szCs w:val="21"/>
              </w:rPr>
              <w:t>③</w:t>
            </w:r>
            <w:r>
              <w:rPr>
                <w:szCs w:val="21"/>
              </w:rPr>
              <w:t>采取物质贮运安全防范措施，防止火灾发生；</w:t>
            </w:r>
            <w:r>
              <w:rPr>
                <w:rFonts w:hint="eastAsia"/>
                <w:szCs w:val="21"/>
              </w:rPr>
              <w:t>④</w:t>
            </w:r>
            <w:r>
              <w:rPr>
                <w:szCs w:val="21"/>
              </w:rPr>
              <w:t>采取电气、电讯安全防范措施；</w:t>
            </w:r>
            <w:r>
              <w:rPr>
                <w:rFonts w:hint="eastAsia"/>
                <w:szCs w:val="21"/>
              </w:rPr>
              <w:t>⑤</w:t>
            </w:r>
            <w:r>
              <w:rPr>
                <w:szCs w:val="21"/>
              </w:rPr>
              <w:t>设置消防设施及火灾报警设施；</w:t>
            </w:r>
            <w:r>
              <w:rPr>
                <w:rFonts w:hint="eastAsia"/>
                <w:szCs w:val="21"/>
              </w:rPr>
              <w:t>⑥</w:t>
            </w:r>
            <w:r>
              <w:rPr>
                <w:szCs w:val="21"/>
              </w:rPr>
              <w:t>采取安全管理措施。</w:t>
            </w:r>
          </w:p>
        </w:tc>
      </w:tr>
      <w:tr w14:paraId="09FFB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05" w:hRule="atLeast"/>
          <w:jc w:val="center"/>
        </w:trPr>
        <w:tc>
          <w:tcPr>
            <w:tcW w:w="971" w:type="dxa"/>
            <w:tcBorders>
              <w:top w:val="single" w:color="auto" w:sz="4" w:space="0"/>
              <w:left w:val="single" w:color="auto" w:sz="12" w:space="0"/>
              <w:bottom w:val="single" w:color="auto" w:sz="12" w:space="0"/>
            </w:tcBorders>
            <w:vAlign w:val="center"/>
          </w:tcPr>
          <w:p w14:paraId="7BAD94DF">
            <w:pPr>
              <w:adjustRightInd w:val="0"/>
              <w:snapToGrid w:val="0"/>
              <w:jc w:val="center"/>
              <w:rPr>
                <w:rFonts w:cs="宋体"/>
                <w:szCs w:val="21"/>
              </w:rPr>
            </w:pPr>
            <w:r>
              <w:rPr>
                <w:rFonts w:hint="eastAsia" w:cs="宋体"/>
                <w:szCs w:val="21"/>
              </w:rPr>
              <w:t>其他环境管理要求</w:t>
            </w:r>
          </w:p>
        </w:tc>
        <w:tc>
          <w:tcPr>
            <w:tcW w:w="7829" w:type="dxa"/>
            <w:gridSpan w:val="5"/>
            <w:tcBorders>
              <w:top w:val="single" w:color="auto" w:sz="4" w:space="0"/>
              <w:bottom w:val="single" w:color="auto" w:sz="12" w:space="0"/>
              <w:right w:val="single" w:color="auto" w:sz="12" w:space="0"/>
            </w:tcBorders>
            <w:vAlign w:val="center"/>
          </w:tcPr>
          <w:p w14:paraId="4D351F54">
            <w:pPr>
              <w:adjustRightInd w:val="0"/>
              <w:snapToGrid w:val="0"/>
              <w:jc w:val="center"/>
              <w:rPr>
                <w:rFonts w:cs="宋体"/>
                <w:szCs w:val="21"/>
              </w:rPr>
            </w:pPr>
            <w:r>
              <w:rPr>
                <w:rFonts w:hint="eastAsia" w:cs="宋体"/>
                <w:szCs w:val="21"/>
              </w:rPr>
              <w:t>①</w:t>
            </w:r>
            <w:r>
              <w:rPr>
                <w:szCs w:val="21"/>
              </w:rPr>
              <w:t>本项目在实际发生排污前，须按照《固定污染源排污许可分类管理名录（2019版）》中要求履行排污许可制度。</w:t>
            </w:r>
            <w:r>
              <w:rPr>
                <w:rFonts w:hint="eastAsia"/>
                <w:szCs w:val="21"/>
              </w:rPr>
              <w:t>②</w:t>
            </w:r>
            <w:r>
              <w:rPr>
                <w:szCs w:val="21"/>
              </w:rPr>
              <w:t>根据《建设项目竣工环境保护验收暂行办法》的规定，项目竣工后，应依法进行竣工环境保护验收。</w:t>
            </w:r>
            <w:r>
              <w:rPr>
                <w:szCs w:val="21"/>
              </w:rPr>
              <w:fldChar w:fldCharType="begin"/>
            </w:r>
            <w:r>
              <w:rPr>
                <w:szCs w:val="21"/>
              </w:rPr>
              <w:instrText xml:space="preserve"> </w:instrText>
            </w:r>
            <w:r>
              <w:rPr>
                <w:rFonts w:hint="eastAsia"/>
                <w:szCs w:val="21"/>
              </w:rPr>
              <w:instrText xml:space="preserve">= 3 \* GB3</w:instrText>
            </w:r>
            <w:r>
              <w:rPr>
                <w:szCs w:val="21"/>
              </w:rPr>
              <w:instrText xml:space="preserve"> </w:instrText>
            </w:r>
            <w:r>
              <w:rPr>
                <w:szCs w:val="21"/>
              </w:rPr>
              <w:fldChar w:fldCharType="separate"/>
            </w:r>
            <w:r>
              <w:rPr>
                <w:rFonts w:hint="eastAsia"/>
                <w:szCs w:val="21"/>
              </w:rPr>
              <w:t>③</w:t>
            </w:r>
            <w:r>
              <w:rPr>
                <w:szCs w:val="21"/>
              </w:rPr>
              <w:fldChar w:fldCharType="end"/>
            </w:r>
            <w:r>
              <w:rPr>
                <w:rFonts w:hint="eastAsia"/>
                <w:szCs w:val="21"/>
              </w:rPr>
              <w:t>排污口规范化设置。</w:t>
            </w:r>
            <w:r>
              <w:rPr>
                <w:szCs w:val="21"/>
              </w:rPr>
              <w:fldChar w:fldCharType="begin"/>
            </w:r>
            <w:r>
              <w:rPr>
                <w:szCs w:val="21"/>
              </w:rPr>
              <w:instrText xml:space="preserve"> </w:instrText>
            </w:r>
            <w:r>
              <w:rPr>
                <w:rFonts w:hint="eastAsia"/>
                <w:szCs w:val="21"/>
              </w:rPr>
              <w:instrText xml:space="preserve">= 4 \* GB3</w:instrText>
            </w:r>
            <w:r>
              <w:rPr>
                <w:szCs w:val="21"/>
              </w:rPr>
              <w:instrText xml:space="preserve"> </w:instrText>
            </w:r>
            <w:r>
              <w:rPr>
                <w:szCs w:val="21"/>
              </w:rPr>
              <w:fldChar w:fldCharType="separate"/>
            </w:r>
            <w:r>
              <w:rPr>
                <w:rFonts w:hint="eastAsia"/>
                <w:szCs w:val="21"/>
              </w:rPr>
              <w:t>④</w:t>
            </w:r>
            <w:r>
              <w:rPr>
                <w:szCs w:val="21"/>
              </w:rPr>
              <w:fldChar w:fldCharType="end"/>
            </w:r>
            <w:r>
              <w:rPr>
                <w:szCs w:val="21"/>
              </w:rPr>
              <w:t>企业应按照《危险废物管理计划和管理台账制定技术导则》（HJ1259-2022）要求制定管理计划和管理台账、申报危险废物有关资料，并通过国家危险废物信息管理系统向当地生态环境主管部门申报危险废物的种类、产生量、流向、贮存、利用、处置等资料；</w:t>
            </w:r>
            <w:r>
              <w:rPr>
                <w:szCs w:val="21"/>
              </w:rPr>
              <w:fldChar w:fldCharType="begin"/>
            </w:r>
            <w:r>
              <w:rPr>
                <w:szCs w:val="21"/>
              </w:rPr>
              <w:instrText xml:space="preserve"> </w:instrText>
            </w:r>
            <w:r>
              <w:rPr>
                <w:rFonts w:hint="eastAsia"/>
                <w:szCs w:val="21"/>
              </w:rPr>
              <w:instrText xml:space="preserve">= 5 \* GB3</w:instrText>
            </w:r>
            <w:r>
              <w:rPr>
                <w:szCs w:val="21"/>
              </w:rPr>
              <w:instrText xml:space="preserve"> </w:instrText>
            </w:r>
            <w:r>
              <w:rPr>
                <w:szCs w:val="21"/>
              </w:rPr>
              <w:fldChar w:fldCharType="separate"/>
            </w:r>
            <w:r>
              <w:rPr>
                <w:rFonts w:hint="eastAsia"/>
                <w:szCs w:val="21"/>
              </w:rPr>
              <w:t>⑤</w:t>
            </w:r>
            <w:r>
              <w:rPr>
                <w:szCs w:val="21"/>
              </w:rPr>
              <w:fldChar w:fldCharType="end"/>
            </w:r>
            <w:r>
              <w:rPr>
                <w:rFonts w:hint="eastAsia"/>
                <w:szCs w:val="21"/>
              </w:rPr>
              <w:t>危废暂存库应符合《危险废物贮存污染控制标准》（GB 18597-2023）中的相关要求。</w:t>
            </w:r>
          </w:p>
        </w:tc>
      </w:tr>
    </w:tbl>
    <w:p w14:paraId="179A2CAD">
      <w:pPr>
        <w:pStyle w:val="53"/>
        <w:spacing w:before="0" w:beforeAutospacing="0" w:after="0" w:afterAutospacing="0"/>
        <w:jc w:val="both"/>
        <w:outlineLvl w:val="0"/>
        <w:rPr>
          <w:rFonts w:ascii="Times New Roman" w:hAnsi="Times New Roman"/>
          <w:snapToGrid w:val="0"/>
          <w:szCs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3FEBDC5">
      <w:pPr>
        <w:pStyle w:val="53"/>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六、结论</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74EDD7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12908" w:hRule="atLeast"/>
          <w:jc w:val="center"/>
        </w:trPr>
        <w:tc>
          <w:tcPr>
            <w:tcW w:w="8865" w:type="dxa"/>
            <w:vAlign w:val="center"/>
          </w:tcPr>
          <w:p w14:paraId="5EC2DEE5">
            <w:pPr>
              <w:spacing w:line="360" w:lineRule="auto"/>
              <w:ind w:firstLine="480" w:firstLineChars="200"/>
              <w:jc w:val="both"/>
              <w:rPr>
                <w:rFonts w:cs="宋体"/>
                <w:sz w:val="24"/>
              </w:rPr>
            </w:pPr>
            <w:r>
              <w:rPr>
                <w:rFonts w:hint="eastAsia"/>
                <w:kern w:val="0"/>
                <w:sz w:val="24"/>
              </w:rPr>
              <w:t>芜湖易昌科技有限公司</w:t>
            </w:r>
            <w:r>
              <w:rPr>
                <w:rFonts w:hint="eastAsia"/>
                <w:kern w:val="0"/>
                <w:sz w:val="24"/>
                <w:lang w:val="zh-CN" w:eastAsia="zh-CN"/>
              </w:rPr>
              <w:t>年产4800万米承载带、26万平方米盖带项目</w:t>
            </w:r>
            <w:r>
              <w:rPr>
                <w:bCs/>
                <w:kern w:val="0"/>
                <w:sz w:val="24"/>
                <w:szCs w:val="20"/>
                <w:lang w:val="zh-CN" w:eastAsia="zh-CN"/>
              </w:rPr>
              <w:t>符合国家产业、环保政策要求。在严格落实本环评提出的环保对策及措施，执行</w:t>
            </w:r>
            <w:r>
              <w:rPr>
                <w:rFonts w:asciiTheme="minorEastAsia" w:hAnsiTheme="minorEastAsia" w:eastAsiaTheme="minorEastAsia"/>
                <w:bCs/>
                <w:kern w:val="0"/>
                <w:sz w:val="24"/>
                <w:szCs w:val="20"/>
                <w:lang w:val="zh-CN" w:eastAsia="zh-CN"/>
              </w:rPr>
              <w:t>“</w:t>
            </w:r>
            <w:r>
              <w:rPr>
                <w:bCs/>
                <w:kern w:val="0"/>
                <w:sz w:val="24"/>
                <w:szCs w:val="20"/>
                <w:lang w:val="zh-CN" w:eastAsia="zh-CN"/>
              </w:rPr>
              <w:t>三同时</w:t>
            </w:r>
            <w:r>
              <w:rPr>
                <w:rFonts w:asciiTheme="minorEastAsia" w:hAnsiTheme="minorEastAsia" w:eastAsiaTheme="minorEastAsia"/>
                <w:bCs/>
                <w:kern w:val="0"/>
                <w:sz w:val="24"/>
                <w:szCs w:val="20"/>
                <w:lang w:val="zh-CN" w:eastAsia="zh-CN"/>
              </w:rPr>
              <w:t>”</w:t>
            </w:r>
            <w:r>
              <w:rPr>
                <w:bCs/>
                <w:kern w:val="0"/>
                <w:sz w:val="24"/>
                <w:szCs w:val="20"/>
                <w:lang w:val="zh-CN" w:eastAsia="zh-CN"/>
              </w:rPr>
              <w:t>制度情况下，各项</w:t>
            </w:r>
            <w:r>
              <w:rPr>
                <w:kern w:val="0"/>
                <w:sz w:val="24"/>
                <w:szCs w:val="20"/>
                <w:lang w:val="zh-CN" w:eastAsia="zh-CN"/>
              </w:rPr>
              <w:t>污染治理措施能够满足环保管理的要求，废气、废水、噪声、固体废物均能实现达标排放和合理处置，</w:t>
            </w:r>
            <w:r>
              <w:rPr>
                <w:rFonts w:hint="eastAsia"/>
                <w:kern w:val="0"/>
                <w:sz w:val="24"/>
                <w:szCs w:val="20"/>
                <w:lang w:val="zh-CN" w:eastAsia="zh-CN"/>
              </w:rPr>
              <w:t>对大气环境、声环境、地表水环境、地下水和土壤环境的影响较小。通过采取有针对性的风险防范措施，项目的环境风险可控。从环境影响角度分析，该项目的建设是可行的</w:t>
            </w:r>
            <w:r>
              <w:rPr>
                <w:bCs/>
                <w:kern w:val="0"/>
                <w:sz w:val="24"/>
                <w:szCs w:val="20"/>
                <w:lang w:eastAsia="zh-CN"/>
              </w:rPr>
              <w:t>。</w:t>
            </w:r>
          </w:p>
        </w:tc>
      </w:tr>
    </w:tbl>
    <w:p w14:paraId="7C471C1D">
      <w:pPr>
        <w:tabs>
          <w:tab w:val="left" w:pos="952"/>
        </w:tabs>
        <w:sectPr>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pPr>
    </w:p>
    <w:p w14:paraId="39201560">
      <w:pPr>
        <w:pStyle w:val="53"/>
        <w:adjustRightInd w:val="0"/>
        <w:snapToGrid w:val="0"/>
        <w:spacing w:before="0" w:beforeAutospacing="0" w:after="0" w:afterAutospacing="0"/>
        <w:outlineLvl w:val="0"/>
        <w:rPr>
          <w:rFonts w:ascii="Times New Roman" w:hAnsi="Times New Roman"/>
          <w:b/>
          <w:snapToGrid w:val="0"/>
          <w:sz w:val="32"/>
          <w:szCs w:val="32"/>
        </w:rPr>
      </w:pPr>
      <w:r>
        <w:rPr>
          <w:rFonts w:hint="eastAsia" w:ascii="Times New Roman" w:hAnsi="Times New Roman"/>
          <w:b/>
          <w:snapToGrid w:val="0"/>
          <w:sz w:val="32"/>
          <w:szCs w:val="32"/>
        </w:rPr>
        <w:t>附表</w:t>
      </w:r>
    </w:p>
    <w:p w14:paraId="1EE0D10E">
      <w:pPr>
        <w:pStyle w:val="53"/>
        <w:adjustRightInd w:val="0"/>
        <w:snapToGrid w:val="0"/>
        <w:spacing w:before="0" w:beforeAutospacing="0" w:after="0" w:afterAutospacing="0"/>
        <w:jc w:val="center"/>
        <w:rPr>
          <w:rFonts w:ascii="Times New Roman" w:hAnsi="Times New Roman"/>
          <w:snapToGrid w:val="0"/>
          <w:sz w:val="38"/>
          <w:szCs w:val="38"/>
        </w:rPr>
      </w:pPr>
      <w:r>
        <w:rPr>
          <w:rFonts w:hint="eastAsia" w:ascii="Times New Roman" w:hAnsi="Times New Roman"/>
          <w:snapToGrid w:val="0"/>
          <w:sz w:val="38"/>
          <w:szCs w:val="38"/>
        </w:rPr>
        <w:t>建设项目污染物排放量汇总表（t/a）</w:t>
      </w:r>
    </w:p>
    <w:tbl>
      <w:tblPr>
        <w:tblStyle w:val="58"/>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752"/>
        <w:gridCol w:w="1701"/>
        <w:gridCol w:w="1168"/>
        <w:gridCol w:w="1401"/>
        <w:gridCol w:w="1960"/>
        <w:gridCol w:w="1401"/>
        <w:gridCol w:w="1648"/>
        <w:gridCol w:w="1442"/>
      </w:tblGrid>
      <w:tr w14:paraId="08727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148" w:type="dxa"/>
            <w:tcBorders>
              <w:tl2br w:val="single" w:color="auto" w:sz="4" w:space="0"/>
            </w:tcBorders>
            <w:tcMar>
              <w:left w:w="28" w:type="dxa"/>
              <w:right w:w="28" w:type="dxa"/>
            </w:tcMar>
            <w:vAlign w:val="center"/>
          </w:tcPr>
          <w:p w14:paraId="31C0BD02">
            <w:pPr>
              <w:pStyle w:val="86"/>
              <w:spacing w:beforeLines="0" w:afterLines="0" w:line="240" w:lineRule="auto"/>
              <w:jc w:val="right"/>
              <w:rPr>
                <w:rFonts w:ascii="Times New Roman"/>
                <w:snapToGrid w:val="0"/>
                <w:spacing w:val="-6"/>
                <w:kern w:val="21"/>
                <w:szCs w:val="21"/>
              </w:rPr>
            </w:pPr>
            <w:r>
              <w:rPr>
                <w:rFonts w:ascii="Times New Roman"/>
                <w:snapToGrid w:val="0"/>
                <w:spacing w:val="-6"/>
                <w:kern w:val="21"/>
                <w:szCs w:val="21"/>
              </w:rPr>
              <w:t>项目</w:t>
            </w:r>
          </w:p>
          <w:p w14:paraId="4A1FD509">
            <w:pPr>
              <w:pStyle w:val="86"/>
              <w:spacing w:beforeLines="0" w:afterLines="0" w:line="240" w:lineRule="auto"/>
              <w:jc w:val="left"/>
              <w:rPr>
                <w:rFonts w:ascii="Times New Roman"/>
                <w:snapToGrid w:val="0"/>
                <w:spacing w:val="-6"/>
                <w:kern w:val="21"/>
                <w:szCs w:val="21"/>
              </w:rPr>
            </w:pPr>
            <w:r>
              <w:rPr>
                <w:rFonts w:ascii="Times New Roman"/>
                <w:snapToGrid w:val="0"/>
                <w:spacing w:val="-6"/>
                <w:kern w:val="21"/>
                <w:szCs w:val="21"/>
              </w:rPr>
              <w:t>分类</w:t>
            </w:r>
          </w:p>
        </w:tc>
        <w:tc>
          <w:tcPr>
            <w:tcW w:w="1752" w:type="dxa"/>
            <w:tcMar>
              <w:left w:w="28" w:type="dxa"/>
              <w:right w:w="28" w:type="dxa"/>
            </w:tcMar>
            <w:vAlign w:val="center"/>
          </w:tcPr>
          <w:p w14:paraId="423C95E8">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污染物名称</w:t>
            </w:r>
          </w:p>
        </w:tc>
        <w:tc>
          <w:tcPr>
            <w:tcW w:w="1701" w:type="dxa"/>
            <w:tcMar>
              <w:left w:w="28" w:type="dxa"/>
              <w:right w:w="28" w:type="dxa"/>
            </w:tcMar>
            <w:vAlign w:val="center"/>
          </w:tcPr>
          <w:p w14:paraId="294FC4BE">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kern w:val="2"/>
                <w:szCs w:val="21"/>
              </w:rPr>
              <w:t>①</w:t>
            </w:r>
            <w:r>
              <w:rPr>
                <w:rFonts w:ascii="Times New Roman"/>
                <w:snapToGrid w:val="0"/>
                <w:spacing w:val="-6"/>
                <w:kern w:val="21"/>
                <w:szCs w:val="21"/>
              </w:rPr>
              <w:fldChar w:fldCharType="end"/>
            </w:r>
          </w:p>
        </w:tc>
        <w:tc>
          <w:tcPr>
            <w:tcW w:w="1168" w:type="dxa"/>
            <w:tcMar>
              <w:left w:w="28" w:type="dxa"/>
              <w:right w:w="28" w:type="dxa"/>
            </w:tcMar>
            <w:vAlign w:val="center"/>
          </w:tcPr>
          <w:p w14:paraId="743B703B">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现有工程许可排放量</w:t>
            </w:r>
            <w:r>
              <w:rPr>
                <w:rFonts w:ascii="Times New Roman"/>
                <w:snapToGrid w:val="0"/>
                <w:spacing w:val="-6"/>
                <w:kern w:val="21"/>
                <w:szCs w:val="21"/>
              </w:rPr>
              <w:fldChar w:fldCharType="begin"/>
            </w:r>
            <w:r>
              <w:rPr>
                <w:rFonts w:ascii="Times New Roman"/>
                <w:snapToGrid w:val="0"/>
                <w:spacing w:val="-6"/>
                <w:kern w:val="21"/>
                <w:szCs w:val="21"/>
              </w:rPr>
              <w:instrText xml:space="preserve"> = 2 \* GB3 \* MERGEFORMAT </w:instrText>
            </w:r>
            <w:r>
              <w:rPr>
                <w:rFonts w:ascii="Times New Roman"/>
                <w:snapToGrid w:val="0"/>
                <w:spacing w:val="-6"/>
                <w:kern w:val="21"/>
                <w:szCs w:val="21"/>
              </w:rPr>
              <w:fldChar w:fldCharType="separate"/>
            </w:r>
            <w:r>
              <w:rPr>
                <w:rFonts w:hint="eastAsia" w:hAnsi="宋体" w:cs="宋体"/>
                <w:snapToGrid w:val="0"/>
                <w:spacing w:val="-6"/>
                <w:kern w:val="21"/>
                <w:szCs w:val="21"/>
              </w:rPr>
              <w:t>②</w:t>
            </w:r>
            <w:r>
              <w:rPr>
                <w:rFonts w:ascii="Times New Roman"/>
                <w:snapToGrid w:val="0"/>
                <w:spacing w:val="-6"/>
                <w:kern w:val="21"/>
                <w:szCs w:val="21"/>
              </w:rPr>
              <w:fldChar w:fldCharType="end"/>
            </w:r>
          </w:p>
        </w:tc>
        <w:tc>
          <w:tcPr>
            <w:tcW w:w="1401" w:type="dxa"/>
            <w:tcMar>
              <w:left w:w="28" w:type="dxa"/>
              <w:right w:w="28" w:type="dxa"/>
            </w:tcMar>
            <w:vAlign w:val="center"/>
          </w:tcPr>
          <w:p w14:paraId="274D8504">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在建工程排放量（固体废物产生量）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kern w:val="2"/>
                <w:szCs w:val="21"/>
              </w:rPr>
              <w:t>③</w:t>
            </w:r>
            <w:r>
              <w:rPr>
                <w:rFonts w:ascii="Times New Roman"/>
                <w:snapToGrid w:val="0"/>
                <w:spacing w:val="-6"/>
                <w:kern w:val="21"/>
                <w:szCs w:val="21"/>
              </w:rPr>
              <w:fldChar w:fldCharType="end"/>
            </w:r>
          </w:p>
        </w:tc>
        <w:tc>
          <w:tcPr>
            <w:tcW w:w="1960" w:type="dxa"/>
            <w:tcMar>
              <w:left w:w="28" w:type="dxa"/>
              <w:right w:w="28" w:type="dxa"/>
            </w:tcMar>
            <w:vAlign w:val="center"/>
          </w:tcPr>
          <w:p w14:paraId="63F4AE69">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本项目排放量（固体废物产生量）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kern w:val="2"/>
                <w:szCs w:val="21"/>
              </w:rPr>
              <w:t>④</w:t>
            </w:r>
            <w:r>
              <w:rPr>
                <w:rFonts w:ascii="Times New Roman"/>
                <w:snapToGrid w:val="0"/>
                <w:spacing w:val="-6"/>
                <w:kern w:val="21"/>
                <w:szCs w:val="21"/>
              </w:rPr>
              <w:fldChar w:fldCharType="end"/>
            </w:r>
          </w:p>
        </w:tc>
        <w:tc>
          <w:tcPr>
            <w:tcW w:w="1401" w:type="dxa"/>
            <w:tcMar>
              <w:left w:w="28" w:type="dxa"/>
              <w:right w:w="28" w:type="dxa"/>
            </w:tcMar>
            <w:vAlign w:val="center"/>
          </w:tcPr>
          <w:p w14:paraId="3CD3E8AE">
            <w:pPr>
              <w:pStyle w:val="86"/>
              <w:spacing w:beforeLines="0" w:afterLines="0" w:line="240" w:lineRule="auto"/>
              <w:rPr>
                <w:rFonts w:ascii="Times New Roman"/>
                <w:snapToGrid w:val="0"/>
                <w:kern w:val="21"/>
                <w:szCs w:val="21"/>
              </w:rPr>
            </w:pPr>
            <w:r>
              <w:rPr>
                <w:rFonts w:ascii="Times New Roman"/>
                <w:snapToGrid w:val="0"/>
                <w:kern w:val="21"/>
                <w:szCs w:val="21"/>
              </w:rPr>
              <w:t>以新带老削减量（新建项目不填）</w:t>
            </w:r>
            <w:r>
              <w:rPr>
                <w:rFonts w:ascii="Times New Roman"/>
                <w:snapToGrid w:val="0"/>
                <w:kern w:val="21"/>
                <w:szCs w:val="21"/>
              </w:rPr>
              <w:fldChar w:fldCharType="begin"/>
            </w:r>
            <w:r>
              <w:rPr>
                <w:rFonts w:ascii="Times New Roman"/>
                <w:snapToGrid w:val="0"/>
                <w:kern w:val="21"/>
                <w:szCs w:val="21"/>
              </w:rPr>
              <w:instrText xml:space="preserve"> = 5 \* GB3 \* MERGEFORMAT </w:instrText>
            </w:r>
            <w:r>
              <w:rPr>
                <w:rFonts w:ascii="Times New Roman"/>
                <w:snapToGrid w:val="0"/>
                <w:kern w:val="21"/>
                <w:szCs w:val="21"/>
              </w:rPr>
              <w:fldChar w:fldCharType="separate"/>
            </w:r>
            <w:r>
              <w:rPr>
                <w:rFonts w:hint="eastAsia" w:hAnsi="宋体" w:cs="宋体"/>
                <w:kern w:val="2"/>
                <w:szCs w:val="21"/>
              </w:rPr>
              <w:t>⑤</w:t>
            </w:r>
            <w:r>
              <w:rPr>
                <w:rFonts w:ascii="Times New Roman"/>
                <w:snapToGrid w:val="0"/>
                <w:kern w:val="21"/>
                <w:szCs w:val="21"/>
              </w:rPr>
              <w:fldChar w:fldCharType="end"/>
            </w:r>
          </w:p>
        </w:tc>
        <w:tc>
          <w:tcPr>
            <w:tcW w:w="1648" w:type="dxa"/>
            <w:tcMar>
              <w:left w:w="28" w:type="dxa"/>
              <w:right w:w="28" w:type="dxa"/>
            </w:tcMar>
            <w:vAlign w:val="center"/>
          </w:tcPr>
          <w:p w14:paraId="289242B0">
            <w:pPr>
              <w:pStyle w:val="86"/>
              <w:spacing w:beforeLines="0" w:afterLines="0" w:line="240" w:lineRule="auto"/>
              <w:rPr>
                <w:rFonts w:ascii="Times New Roman"/>
                <w:snapToGrid w:val="0"/>
                <w:kern w:val="21"/>
                <w:szCs w:val="21"/>
              </w:rPr>
            </w:pPr>
            <w:r>
              <w:rPr>
                <w:rFonts w:ascii="Times New Roman"/>
                <w:snapToGrid w:val="0"/>
                <w:kern w:val="21"/>
                <w:szCs w:val="21"/>
              </w:rPr>
              <w:t>本项目建成后全厂排放量（固体废物产生量）</w:t>
            </w:r>
            <w:r>
              <w:rPr>
                <w:rFonts w:ascii="Times New Roman"/>
                <w:snapToGrid w:val="0"/>
                <w:kern w:val="21"/>
                <w:szCs w:val="21"/>
              </w:rPr>
              <w:fldChar w:fldCharType="begin"/>
            </w:r>
            <w:r>
              <w:rPr>
                <w:rFonts w:ascii="Times New Roman"/>
                <w:snapToGrid w:val="0"/>
                <w:kern w:val="21"/>
                <w:szCs w:val="21"/>
              </w:rPr>
              <w:instrText xml:space="preserve"> = 6 \* GB3 \* MERGEFORMAT </w:instrText>
            </w:r>
            <w:r>
              <w:rPr>
                <w:rFonts w:ascii="Times New Roman"/>
                <w:snapToGrid w:val="0"/>
                <w:kern w:val="21"/>
                <w:szCs w:val="21"/>
              </w:rPr>
              <w:fldChar w:fldCharType="separate"/>
            </w:r>
            <w:r>
              <w:rPr>
                <w:rFonts w:hint="eastAsia" w:hAnsi="宋体" w:cs="宋体"/>
                <w:kern w:val="2"/>
                <w:szCs w:val="21"/>
              </w:rPr>
              <w:t>⑥</w:t>
            </w:r>
            <w:r>
              <w:rPr>
                <w:rFonts w:ascii="Times New Roman"/>
                <w:snapToGrid w:val="0"/>
                <w:kern w:val="21"/>
                <w:szCs w:val="21"/>
              </w:rPr>
              <w:fldChar w:fldCharType="end"/>
            </w:r>
          </w:p>
        </w:tc>
        <w:tc>
          <w:tcPr>
            <w:tcW w:w="1442" w:type="dxa"/>
            <w:tcMar>
              <w:left w:w="28" w:type="dxa"/>
              <w:right w:w="28" w:type="dxa"/>
            </w:tcMar>
            <w:vAlign w:val="center"/>
          </w:tcPr>
          <w:p w14:paraId="0E152DDC">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t>变化量</w:t>
            </w:r>
          </w:p>
          <w:p w14:paraId="5D8D152E">
            <w:pPr>
              <w:pStyle w:val="86"/>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kern w:val="2"/>
                <w:szCs w:val="21"/>
              </w:rPr>
              <w:t>⑦</w:t>
            </w:r>
            <w:r>
              <w:rPr>
                <w:rFonts w:ascii="Times New Roman"/>
                <w:snapToGrid w:val="0"/>
                <w:spacing w:val="-6"/>
                <w:kern w:val="21"/>
                <w:szCs w:val="21"/>
              </w:rPr>
              <w:fldChar w:fldCharType="end"/>
            </w:r>
          </w:p>
        </w:tc>
      </w:tr>
      <w:tr w14:paraId="20BA8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148" w:type="dxa"/>
            <w:vMerge w:val="restart"/>
            <w:vAlign w:val="center"/>
          </w:tcPr>
          <w:p w14:paraId="2982F678">
            <w:pPr>
              <w:pStyle w:val="86"/>
              <w:spacing w:beforeLines="0" w:afterLines="0" w:line="240" w:lineRule="auto"/>
              <w:rPr>
                <w:rFonts w:ascii="Times New Roman"/>
                <w:snapToGrid w:val="0"/>
                <w:kern w:val="21"/>
                <w:szCs w:val="21"/>
              </w:rPr>
            </w:pPr>
            <w:r>
              <w:rPr>
                <w:rFonts w:ascii="Times New Roman"/>
                <w:snapToGrid w:val="0"/>
                <w:kern w:val="21"/>
                <w:szCs w:val="21"/>
              </w:rPr>
              <w:t>废气</w:t>
            </w:r>
          </w:p>
        </w:tc>
        <w:tc>
          <w:tcPr>
            <w:tcW w:w="1752" w:type="dxa"/>
            <w:vAlign w:val="center"/>
          </w:tcPr>
          <w:p w14:paraId="20362F04">
            <w:pPr>
              <w:jc w:val="center"/>
              <w:rPr>
                <w:rFonts w:hint="default" w:eastAsia="宋体"/>
                <w:szCs w:val="21"/>
                <w:lang w:val="en-US" w:eastAsia="zh-CN"/>
              </w:rPr>
            </w:pPr>
            <w:r>
              <w:rPr>
                <w:rFonts w:hint="eastAsia"/>
                <w:szCs w:val="21"/>
                <w:lang w:val="en-US" w:eastAsia="zh-CN"/>
              </w:rPr>
              <w:t>非甲烷总烃</w:t>
            </w:r>
          </w:p>
        </w:tc>
        <w:tc>
          <w:tcPr>
            <w:tcW w:w="1701" w:type="dxa"/>
            <w:vAlign w:val="center"/>
          </w:tcPr>
          <w:p w14:paraId="59B662A0">
            <w:pPr>
              <w:jc w:val="center"/>
              <w:textAlignment w:val="center"/>
              <w:rPr>
                <w:szCs w:val="21"/>
              </w:rPr>
            </w:pPr>
            <w:r>
              <w:rPr>
                <w:rFonts w:ascii="Times New Roman"/>
                <w:snapToGrid w:val="0"/>
                <w:kern w:val="21"/>
                <w:szCs w:val="21"/>
              </w:rPr>
              <w:t>/</w:t>
            </w:r>
          </w:p>
        </w:tc>
        <w:tc>
          <w:tcPr>
            <w:tcW w:w="1168" w:type="dxa"/>
            <w:vAlign w:val="center"/>
          </w:tcPr>
          <w:p w14:paraId="44F27A7A">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55178CF">
            <w:pPr>
              <w:jc w:val="center"/>
              <w:rPr>
                <w:szCs w:val="21"/>
              </w:rPr>
            </w:pPr>
            <w:r>
              <w:rPr>
                <w:szCs w:val="21"/>
              </w:rPr>
              <w:t>0</w:t>
            </w:r>
          </w:p>
        </w:tc>
        <w:tc>
          <w:tcPr>
            <w:tcW w:w="1960" w:type="dxa"/>
            <w:vAlign w:val="center"/>
          </w:tcPr>
          <w:p w14:paraId="4194528C">
            <w:pPr>
              <w:keepNext w:val="0"/>
              <w:keepLines w:val="0"/>
              <w:widowControl/>
              <w:suppressLineNumbers w:val="0"/>
              <w:jc w:val="center"/>
              <w:textAlignment w:val="center"/>
              <w:rPr>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0.338</w:t>
            </w:r>
          </w:p>
        </w:tc>
        <w:tc>
          <w:tcPr>
            <w:tcW w:w="1401" w:type="dxa"/>
            <w:vAlign w:val="center"/>
          </w:tcPr>
          <w:p w14:paraId="722FAB49">
            <w:pPr>
              <w:jc w:val="center"/>
              <w:rPr>
                <w:szCs w:val="21"/>
              </w:rPr>
            </w:pPr>
            <w:r>
              <w:rPr>
                <w:rFonts w:ascii="Times New Roman"/>
                <w:snapToGrid w:val="0"/>
                <w:kern w:val="21"/>
                <w:szCs w:val="21"/>
              </w:rPr>
              <w:t>/</w:t>
            </w:r>
          </w:p>
        </w:tc>
        <w:tc>
          <w:tcPr>
            <w:tcW w:w="1648" w:type="dxa"/>
            <w:vAlign w:val="center"/>
          </w:tcPr>
          <w:p w14:paraId="29CAF4F9">
            <w:pPr>
              <w:keepNext w:val="0"/>
              <w:keepLines w:val="0"/>
              <w:widowControl/>
              <w:suppressLineNumbers w:val="0"/>
              <w:jc w:val="center"/>
              <w:textAlignment w:val="center"/>
              <w:rPr>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0.338</w:t>
            </w:r>
          </w:p>
        </w:tc>
        <w:tc>
          <w:tcPr>
            <w:tcW w:w="1442" w:type="dxa"/>
            <w:vAlign w:val="center"/>
          </w:tcPr>
          <w:p w14:paraId="6A24CC32">
            <w:pPr>
              <w:keepNext w:val="0"/>
              <w:keepLines w:val="0"/>
              <w:widowControl/>
              <w:suppressLineNumbers w:val="0"/>
              <w:jc w:val="center"/>
              <w:textAlignment w:val="center"/>
              <w:rPr>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+0.338</w:t>
            </w:r>
          </w:p>
        </w:tc>
      </w:tr>
      <w:tr w14:paraId="66A02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148" w:type="dxa"/>
            <w:vMerge w:val="continue"/>
            <w:vAlign w:val="center"/>
          </w:tcPr>
          <w:p w14:paraId="30090D9C">
            <w:pPr>
              <w:pStyle w:val="86"/>
              <w:spacing w:beforeLines="0" w:afterLines="0" w:line="240" w:lineRule="auto"/>
              <w:rPr>
                <w:rFonts w:ascii="Times New Roman"/>
                <w:snapToGrid w:val="0"/>
                <w:kern w:val="21"/>
                <w:szCs w:val="21"/>
              </w:rPr>
            </w:pPr>
          </w:p>
        </w:tc>
        <w:tc>
          <w:tcPr>
            <w:tcW w:w="1752" w:type="dxa"/>
            <w:vAlign w:val="center"/>
          </w:tcPr>
          <w:p w14:paraId="665BDD68">
            <w:pPr>
              <w:jc w:val="center"/>
              <w:rPr>
                <w:szCs w:val="21"/>
              </w:rPr>
            </w:pPr>
            <w:r>
              <w:rPr>
                <w:rFonts w:hint="eastAsia" w:ascii="Times New Roman" w:hAnsi="Times New Roman" w:eastAsia="宋体" w:cs="Times New Roman"/>
                <w:bCs/>
                <w:szCs w:val="21"/>
                <w:lang w:val="en-US" w:eastAsia="zh-CN"/>
              </w:rPr>
              <w:t>酚类</w:t>
            </w:r>
          </w:p>
        </w:tc>
        <w:tc>
          <w:tcPr>
            <w:tcW w:w="1701" w:type="dxa"/>
            <w:vAlign w:val="center"/>
          </w:tcPr>
          <w:p w14:paraId="6D49C069">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41676FFC">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383FE97E">
            <w:pPr>
              <w:jc w:val="center"/>
              <w:rPr>
                <w:szCs w:val="21"/>
              </w:rPr>
            </w:pPr>
            <w:r>
              <w:rPr>
                <w:szCs w:val="21"/>
              </w:rPr>
              <w:t>0</w:t>
            </w:r>
          </w:p>
        </w:tc>
        <w:tc>
          <w:tcPr>
            <w:tcW w:w="1960" w:type="dxa"/>
            <w:vAlign w:val="center"/>
          </w:tcPr>
          <w:p w14:paraId="06ED638A">
            <w:pPr>
              <w:widowControl/>
              <w:jc w:val="center"/>
              <w:rPr>
                <w:rFonts w:hint="default"/>
                <w:szCs w:val="21"/>
                <w:lang w:val="en-US"/>
              </w:rPr>
            </w:pPr>
            <w:r>
              <w:rPr>
                <w:rFonts w:hint="eastAsia" w:cs="Times New Roman"/>
                <w:b w:val="0"/>
                <w:bCs/>
                <w:sz w:val="21"/>
                <w:szCs w:val="21"/>
                <w:lang w:val="en-US" w:eastAsia="zh-CN"/>
              </w:rPr>
              <w:t>0.0415</w:t>
            </w:r>
          </w:p>
        </w:tc>
        <w:tc>
          <w:tcPr>
            <w:tcW w:w="1401" w:type="dxa"/>
            <w:vAlign w:val="center"/>
          </w:tcPr>
          <w:p w14:paraId="5C1053A9">
            <w:pPr>
              <w:jc w:val="center"/>
              <w:rPr>
                <w:szCs w:val="21"/>
              </w:rPr>
            </w:pPr>
            <w:r>
              <w:rPr>
                <w:rFonts w:ascii="Times New Roman"/>
                <w:snapToGrid w:val="0"/>
                <w:kern w:val="21"/>
                <w:szCs w:val="21"/>
              </w:rPr>
              <w:t>/</w:t>
            </w:r>
          </w:p>
        </w:tc>
        <w:tc>
          <w:tcPr>
            <w:tcW w:w="1648" w:type="dxa"/>
            <w:vAlign w:val="center"/>
          </w:tcPr>
          <w:p w14:paraId="796672E0">
            <w:pPr>
              <w:widowControl/>
              <w:jc w:val="center"/>
              <w:rPr>
                <w:szCs w:val="21"/>
              </w:rPr>
            </w:pPr>
            <w:r>
              <w:rPr>
                <w:rFonts w:hint="eastAsia" w:cs="Times New Roman"/>
                <w:b w:val="0"/>
                <w:bCs/>
                <w:sz w:val="21"/>
                <w:szCs w:val="21"/>
                <w:lang w:val="en-US" w:eastAsia="zh-CN"/>
              </w:rPr>
              <w:t>0.0415</w:t>
            </w:r>
          </w:p>
        </w:tc>
        <w:tc>
          <w:tcPr>
            <w:tcW w:w="1442" w:type="dxa"/>
            <w:vAlign w:val="center"/>
          </w:tcPr>
          <w:p w14:paraId="6A51FE92">
            <w:pPr>
              <w:widowControl/>
              <w:jc w:val="center"/>
              <w:rPr>
                <w:szCs w:val="21"/>
              </w:rPr>
            </w:pPr>
            <w:r>
              <w:rPr>
                <w:rFonts w:hint="eastAsia" w:cs="Times New Roman"/>
                <w:b w:val="0"/>
                <w:bCs/>
                <w:sz w:val="21"/>
                <w:szCs w:val="21"/>
                <w:lang w:val="en-US" w:eastAsia="zh-CN"/>
              </w:rPr>
              <w:t>+0.0415</w:t>
            </w:r>
          </w:p>
        </w:tc>
      </w:tr>
      <w:tr w14:paraId="6203D9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148" w:type="dxa"/>
            <w:vMerge w:val="continue"/>
            <w:vAlign w:val="center"/>
          </w:tcPr>
          <w:p w14:paraId="295EC393">
            <w:pPr>
              <w:pStyle w:val="86"/>
              <w:spacing w:beforeLines="0" w:afterLines="0" w:line="240" w:lineRule="auto"/>
              <w:rPr>
                <w:rFonts w:ascii="Times New Roman"/>
                <w:snapToGrid w:val="0"/>
                <w:kern w:val="21"/>
                <w:szCs w:val="21"/>
              </w:rPr>
            </w:pPr>
          </w:p>
        </w:tc>
        <w:tc>
          <w:tcPr>
            <w:tcW w:w="1752" w:type="dxa"/>
            <w:vAlign w:val="center"/>
          </w:tcPr>
          <w:p w14:paraId="3381B77E">
            <w:pPr>
              <w:jc w:val="center"/>
              <w:rPr>
                <w:szCs w:val="21"/>
              </w:rPr>
            </w:pPr>
            <w:r>
              <w:rPr>
                <w:rFonts w:hint="eastAsia" w:ascii="Times New Roman" w:hAnsi="Times New Roman" w:eastAsia="宋体" w:cs="Times New Roman"/>
                <w:bCs/>
                <w:szCs w:val="21"/>
                <w:lang w:val="en-US" w:eastAsia="zh-CN"/>
              </w:rPr>
              <w:t>氯苯类</w:t>
            </w:r>
          </w:p>
        </w:tc>
        <w:tc>
          <w:tcPr>
            <w:tcW w:w="1701" w:type="dxa"/>
            <w:vAlign w:val="center"/>
          </w:tcPr>
          <w:p w14:paraId="1269357E">
            <w:pPr>
              <w:jc w:val="center"/>
              <w:textAlignment w:val="center"/>
              <w:rPr>
                <w:szCs w:val="21"/>
              </w:rPr>
            </w:pPr>
            <w:r>
              <w:rPr>
                <w:rFonts w:ascii="Times New Roman"/>
                <w:snapToGrid w:val="0"/>
                <w:kern w:val="21"/>
                <w:szCs w:val="21"/>
              </w:rPr>
              <w:t>/</w:t>
            </w:r>
          </w:p>
        </w:tc>
        <w:tc>
          <w:tcPr>
            <w:tcW w:w="1168" w:type="dxa"/>
            <w:vAlign w:val="center"/>
          </w:tcPr>
          <w:p w14:paraId="6935D8A5">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51C522C8">
            <w:pPr>
              <w:jc w:val="center"/>
              <w:rPr>
                <w:szCs w:val="21"/>
              </w:rPr>
            </w:pPr>
            <w:r>
              <w:rPr>
                <w:szCs w:val="21"/>
              </w:rPr>
              <w:t>0</w:t>
            </w:r>
          </w:p>
        </w:tc>
        <w:tc>
          <w:tcPr>
            <w:tcW w:w="1960" w:type="dxa"/>
            <w:vAlign w:val="center"/>
          </w:tcPr>
          <w:p w14:paraId="12D441A1">
            <w:pPr>
              <w:widowControl/>
              <w:jc w:val="center"/>
              <w:rPr>
                <w:rFonts w:hint="default"/>
                <w:szCs w:val="21"/>
                <w:lang w:val="en-US"/>
              </w:rPr>
            </w:pPr>
            <w:r>
              <w:rPr>
                <w:rFonts w:hint="eastAsia" w:cs="Times New Roman"/>
                <w:b w:val="0"/>
                <w:bCs/>
                <w:sz w:val="21"/>
                <w:szCs w:val="21"/>
                <w:lang w:val="en-US" w:eastAsia="zh-CN"/>
              </w:rPr>
              <w:t>0.043</w:t>
            </w:r>
          </w:p>
        </w:tc>
        <w:tc>
          <w:tcPr>
            <w:tcW w:w="1401" w:type="dxa"/>
            <w:vAlign w:val="center"/>
          </w:tcPr>
          <w:p w14:paraId="73E67156">
            <w:pPr>
              <w:jc w:val="center"/>
              <w:rPr>
                <w:szCs w:val="21"/>
              </w:rPr>
            </w:pPr>
            <w:r>
              <w:rPr>
                <w:rFonts w:ascii="Times New Roman"/>
                <w:snapToGrid w:val="0"/>
                <w:kern w:val="21"/>
                <w:szCs w:val="21"/>
              </w:rPr>
              <w:t>/</w:t>
            </w:r>
          </w:p>
        </w:tc>
        <w:tc>
          <w:tcPr>
            <w:tcW w:w="1648" w:type="dxa"/>
            <w:vAlign w:val="center"/>
          </w:tcPr>
          <w:p w14:paraId="6A96E4C1">
            <w:pPr>
              <w:widowControl/>
              <w:jc w:val="center"/>
              <w:rPr>
                <w:szCs w:val="21"/>
              </w:rPr>
            </w:pPr>
            <w:r>
              <w:rPr>
                <w:rFonts w:hint="eastAsia" w:cs="Times New Roman"/>
                <w:b w:val="0"/>
                <w:bCs/>
                <w:sz w:val="21"/>
                <w:szCs w:val="21"/>
                <w:lang w:val="en-US" w:eastAsia="zh-CN"/>
              </w:rPr>
              <w:t>0.043</w:t>
            </w:r>
          </w:p>
        </w:tc>
        <w:tc>
          <w:tcPr>
            <w:tcW w:w="1442" w:type="dxa"/>
            <w:vAlign w:val="center"/>
          </w:tcPr>
          <w:p w14:paraId="39D2AB56">
            <w:pPr>
              <w:widowControl/>
              <w:jc w:val="center"/>
              <w:rPr>
                <w:szCs w:val="21"/>
              </w:rPr>
            </w:pPr>
            <w:r>
              <w:rPr>
                <w:rFonts w:hint="eastAsia" w:cs="Times New Roman"/>
                <w:b w:val="0"/>
                <w:bCs/>
                <w:sz w:val="21"/>
                <w:szCs w:val="21"/>
                <w:lang w:val="en-US" w:eastAsia="zh-CN"/>
              </w:rPr>
              <w:t>+0.043</w:t>
            </w:r>
          </w:p>
        </w:tc>
      </w:tr>
      <w:tr w14:paraId="3F2CA1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48" w:type="dxa"/>
            <w:vMerge w:val="continue"/>
            <w:vAlign w:val="center"/>
          </w:tcPr>
          <w:p w14:paraId="48B48816">
            <w:pPr>
              <w:pStyle w:val="86"/>
              <w:spacing w:beforeLines="0" w:afterLines="0" w:line="240" w:lineRule="auto"/>
              <w:rPr>
                <w:rFonts w:ascii="Times New Roman"/>
                <w:snapToGrid w:val="0"/>
                <w:kern w:val="21"/>
                <w:szCs w:val="21"/>
              </w:rPr>
            </w:pPr>
          </w:p>
        </w:tc>
        <w:tc>
          <w:tcPr>
            <w:tcW w:w="1752" w:type="dxa"/>
            <w:vAlign w:val="center"/>
          </w:tcPr>
          <w:p w14:paraId="50D58C68">
            <w:pPr>
              <w:jc w:val="center"/>
              <w:rPr>
                <w:szCs w:val="21"/>
              </w:rPr>
            </w:pPr>
            <w:r>
              <w:rPr>
                <w:rFonts w:hint="eastAsia" w:ascii="Times New Roman" w:hAnsi="Times New Roman" w:eastAsia="宋体" w:cs="Times New Roman"/>
                <w:bCs/>
                <w:szCs w:val="21"/>
                <w:lang w:val="en-US" w:eastAsia="zh-CN"/>
              </w:rPr>
              <w:t>甲苯</w:t>
            </w:r>
          </w:p>
        </w:tc>
        <w:tc>
          <w:tcPr>
            <w:tcW w:w="1701" w:type="dxa"/>
            <w:vAlign w:val="center"/>
          </w:tcPr>
          <w:p w14:paraId="2B785882">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42E84E31">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650C74E8">
            <w:pPr>
              <w:jc w:val="center"/>
              <w:rPr>
                <w:szCs w:val="21"/>
              </w:rPr>
            </w:pPr>
            <w:r>
              <w:rPr>
                <w:szCs w:val="21"/>
              </w:rPr>
              <w:t>0</w:t>
            </w:r>
          </w:p>
        </w:tc>
        <w:tc>
          <w:tcPr>
            <w:tcW w:w="1960" w:type="dxa"/>
            <w:vAlign w:val="center"/>
          </w:tcPr>
          <w:p w14:paraId="29EDD095">
            <w:pPr>
              <w:widowControl/>
              <w:jc w:val="center"/>
              <w:rPr>
                <w:szCs w:val="21"/>
              </w:rPr>
            </w:pPr>
            <w:r>
              <w:rPr>
                <w:rFonts w:hint="eastAsia" w:ascii="Times New Roman" w:hAnsi="Times New Roman" w:eastAsia="宋体" w:cs="Times New Roman"/>
                <w:b w:val="0"/>
                <w:bCs/>
                <w:sz w:val="21"/>
                <w:szCs w:val="21"/>
                <w:lang w:val="en-US" w:eastAsia="zh-CN"/>
              </w:rPr>
              <w:t>7</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6*10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7</w:t>
            </w:r>
          </w:p>
        </w:tc>
        <w:tc>
          <w:tcPr>
            <w:tcW w:w="1401" w:type="dxa"/>
            <w:vAlign w:val="center"/>
          </w:tcPr>
          <w:p w14:paraId="2367B7FA">
            <w:pPr>
              <w:jc w:val="center"/>
              <w:rPr>
                <w:szCs w:val="21"/>
              </w:rPr>
            </w:pPr>
            <w:r>
              <w:rPr>
                <w:rFonts w:ascii="Times New Roman"/>
                <w:snapToGrid w:val="0"/>
                <w:kern w:val="21"/>
                <w:szCs w:val="21"/>
              </w:rPr>
              <w:t>/</w:t>
            </w:r>
          </w:p>
        </w:tc>
        <w:tc>
          <w:tcPr>
            <w:tcW w:w="1648" w:type="dxa"/>
            <w:vAlign w:val="center"/>
          </w:tcPr>
          <w:p w14:paraId="5D09AF1C">
            <w:pPr>
              <w:widowControl/>
              <w:jc w:val="center"/>
              <w:rPr>
                <w:szCs w:val="21"/>
              </w:rPr>
            </w:pPr>
            <w:r>
              <w:rPr>
                <w:rFonts w:hint="eastAsia" w:ascii="Times New Roman" w:hAnsi="Times New Roman" w:eastAsia="宋体" w:cs="Times New Roman"/>
                <w:b w:val="0"/>
                <w:bCs/>
                <w:sz w:val="21"/>
                <w:szCs w:val="21"/>
                <w:lang w:val="en-US" w:eastAsia="zh-CN"/>
              </w:rPr>
              <w:t>7.6*10</w:t>
            </w:r>
            <w:r>
              <w:rPr>
                <w:rFonts w:hint="eastAsia" w:ascii="Times New Roman" w:hAnsi="Times New Roman" w:eastAsia="宋体" w:cs="Times New Roman"/>
                <w:b w:val="0"/>
                <w:bCs/>
                <w:sz w:val="21"/>
                <w:szCs w:val="21"/>
                <w:vertAlign w:val="superscript"/>
                <w:lang w:val="en-US" w:eastAsia="zh-CN"/>
              </w:rPr>
              <w:t>-7</w:t>
            </w:r>
          </w:p>
        </w:tc>
        <w:tc>
          <w:tcPr>
            <w:tcW w:w="1442" w:type="dxa"/>
            <w:vAlign w:val="center"/>
          </w:tcPr>
          <w:p w14:paraId="578FB557">
            <w:pPr>
              <w:widowControl/>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sz w:val="21"/>
                <w:szCs w:val="21"/>
                <w:lang w:val="en-US" w:eastAsia="zh-CN"/>
              </w:rPr>
              <w:t>7.6*10</w:t>
            </w:r>
            <w:r>
              <w:rPr>
                <w:rFonts w:hint="eastAsia" w:ascii="Times New Roman" w:hAnsi="Times New Roman" w:eastAsia="宋体" w:cs="Times New Roman"/>
                <w:b w:val="0"/>
                <w:bCs/>
                <w:sz w:val="21"/>
                <w:szCs w:val="21"/>
                <w:vertAlign w:val="superscript"/>
                <w:lang w:val="en-US" w:eastAsia="zh-CN"/>
              </w:rPr>
              <w:t>-7</w:t>
            </w:r>
          </w:p>
        </w:tc>
      </w:tr>
      <w:tr w14:paraId="67758C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48" w:type="dxa"/>
            <w:vMerge w:val="continue"/>
            <w:vAlign w:val="center"/>
          </w:tcPr>
          <w:p w14:paraId="687730C5">
            <w:pPr>
              <w:pStyle w:val="86"/>
              <w:spacing w:beforeLines="0" w:afterLines="0" w:line="240" w:lineRule="auto"/>
              <w:rPr>
                <w:rFonts w:ascii="Times New Roman"/>
                <w:snapToGrid w:val="0"/>
                <w:kern w:val="21"/>
                <w:szCs w:val="21"/>
              </w:rPr>
            </w:pPr>
          </w:p>
        </w:tc>
        <w:tc>
          <w:tcPr>
            <w:tcW w:w="1752" w:type="dxa"/>
            <w:vAlign w:val="center"/>
          </w:tcPr>
          <w:p w14:paraId="7678984D">
            <w:pPr>
              <w:jc w:val="center"/>
              <w:rPr>
                <w:szCs w:val="21"/>
              </w:rPr>
            </w:pPr>
            <w:r>
              <w:rPr>
                <w:rFonts w:hint="eastAsia" w:ascii="Times New Roman" w:hAnsi="Times New Roman" w:eastAsia="宋体" w:cs="Times New Roman"/>
                <w:bCs/>
                <w:szCs w:val="21"/>
                <w:lang w:val="en-US" w:eastAsia="zh-CN"/>
              </w:rPr>
              <w:t>乙苯</w:t>
            </w:r>
          </w:p>
        </w:tc>
        <w:tc>
          <w:tcPr>
            <w:tcW w:w="1701" w:type="dxa"/>
            <w:vAlign w:val="center"/>
          </w:tcPr>
          <w:p w14:paraId="0FC6BF96">
            <w:pPr>
              <w:spacing w:beforeLines="0" w:afterLines="0" w:line="240" w:lineRule="auto"/>
              <w:jc w:val="center"/>
              <w:rPr>
                <w:rFonts w:hint="eastAsia" w:ascii="Times New Roman" w:eastAsia="宋体"/>
                <w:snapToGrid w:val="0"/>
                <w:kern w:val="21"/>
                <w:szCs w:val="21"/>
                <w:lang w:val="en-US" w:eastAsia="zh-CN"/>
              </w:rPr>
            </w:pPr>
            <w:r>
              <w:rPr>
                <w:rFonts w:ascii="Times New Roman"/>
                <w:snapToGrid w:val="0"/>
                <w:kern w:val="21"/>
                <w:szCs w:val="21"/>
              </w:rPr>
              <w:t>/</w:t>
            </w:r>
          </w:p>
        </w:tc>
        <w:tc>
          <w:tcPr>
            <w:tcW w:w="1168" w:type="dxa"/>
            <w:vAlign w:val="center"/>
          </w:tcPr>
          <w:p w14:paraId="6251760D">
            <w:pPr>
              <w:pStyle w:val="86"/>
              <w:spacing w:beforeLines="0" w:afterLines="0" w:line="240" w:lineRule="auto"/>
              <w:jc w:val="center"/>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w:t>
            </w:r>
          </w:p>
        </w:tc>
        <w:tc>
          <w:tcPr>
            <w:tcW w:w="1401" w:type="dxa"/>
            <w:vAlign w:val="center"/>
          </w:tcPr>
          <w:p w14:paraId="02DA0381">
            <w:pPr>
              <w:jc w:val="center"/>
              <w:rPr>
                <w:rFonts w:hint="eastAsia" w:eastAsia="宋体"/>
                <w:szCs w:val="21"/>
                <w:lang w:val="en-US" w:eastAsia="zh-CN"/>
              </w:rPr>
            </w:pPr>
            <w:r>
              <w:rPr>
                <w:rFonts w:hint="eastAsia"/>
                <w:szCs w:val="21"/>
                <w:lang w:val="en-US" w:eastAsia="zh-CN"/>
              </w:rPr>
              <w:t>0</w:t>
            </w:r>
          </w:p>
        </w:tc>
        <w:tc>
          <w:tcPr>
            <w:tcW w:w="1960" w:type="dxa"/>
            <w:vAlign w:val="center"/>
          </w:tcPr>
          <w:p w14:paraId="32E5AA2A">
            <w:pPr>
              <w:widowControl/>
              <w:jc w:val="center"/>
              <w:rPr>
                <w:rFonts w:hint="eastAsia"/>
                <w:szCs w:val="21"/>
              </w:rPr>
            </w:pPr>
            <w:r>
              <w:rPr>
                <w:rFonts w:hint="eastAsia" w:ascii="Times New Roman" w:hAnsi="Times New Roman" w:eastAsia="宋体" w:cs="Times New Roman"/>
                <w:b w:val="0"/>
                <w:bCs/>
                <w:sz w:val="21"/>
                <w:szCs w:val="21"/>
                <w:lang w:val="en-US" w:eastAsia="zh-CN"/>
              </w:rPr>
              <w:t>5</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7</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7</w:t>
            </w:r>
          </w:p>
        </w:tc>
        <w:tc>
          <w:tcPr>
            <w:tcW w:w="1401" w:type="dxa"/>
            <w:vAlign w:val="center"/>
          </w:tcPr>
          <w:p w14:paraId="06E3EA73">
            <w:pPr>
              <w:jc w:val="center"/>
              <w:rPr>
                <w:rFonts w:hint="eastAsia" w:eastAsia="宋体"/>
                <w:szCs w:val="21"/>
                <w:lang w:val="en-US" w:eastAsia="zh-CN"/>
              </w:rPr>
            </w:pPr>
            <w:r>
              <w:rPr>
                <w:rFonts w:ascii="Times New Roman"/>
                <w:snapToGrid w:val="0"/>
                <w:kern w:val="21"/>
                <w:szCs w:val="21"/>
              </w:rPr>
              <w:t>/</w:t>
            </w:r>
          </w:p>
        </w:tc>
        <w:tc>
          <w:tcPr>
            <w:tcW w:w="1648" w:type="dxa"/>
            <w:vAlign w:val="center"/>
          </w:tcPr>
          <w:p w14:paraId="01FE0BFD">
            <w:pPr>
              <w:widowControl/>
              <w:jc w:val="center"/>
              <w:rPr>
                <w:rFonts w:hint="eastAsia"/>
                <w:szCs w:val="21"/>
              </w:rPr>
            </w:pPr>
            <w:r>
              <w:rPr>
                <w:rFonts w:hint="eastAsia" w:ascii="Times New Roman" w:hAnsi="Times New Roman" w:eastAsia="宋体" w:cs="Times New Roman"/>
                <w:b w:val="0"/>
                <w:bCs/>
                <w:sz w:val="21"/>
                <w:szCs w:val="21"/>
                <w:lang w:val="en-US" w:eastAsia="zh-CN"/>
              </w:rPr>
              <w:t>5.7*10</w:t>
            </w:r>
            <w:r>
              <w:rPr>
                <w:rFonts w:hint="eastAsia" w:ascii="Times New Roman" w:hAnsi="Times New Roman" w:eastAsia="宋体" w:cs="Times New Roman"/>
                <w:b w:val="0"/>
                <w:bCs/>
                <w:sz w:val="21"/>
                <w:szCs w:val="21"/>
                <w:vertAlign w:val="superscript"/>
                <w:lang w:val="en-US" w:eastAsia="zh-CN"/>
              </w:rPr>
              <w:t>-7</w:t>
            </w:r>
          </w:p>
        </w:tc>
        <w:tc>
          <w:tcPr>
            <w:tcW w:w="1442" w:type="dxa"/>
            <w:vAlign w:val="center"/>
          </w:tcPr>
          <w:p w14:paraId="04FC9754">
            <w:pPr>
              <w:widowControl/>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sz w:val="21"/>
                <w:szCs w:val="21"/>
                <w:lang w:val="en-US" w:eastAsia="zh-CN"/>
              </w:rPr>
              <w:t>5.7*10</w:t>
            </w:r>
            <w:r>
              <w:rPr>
                <w:rFonts w:hint="eastAsia" w:ascii="Times New Roman" w:hAnsi="Times New Roman" w:eastAsia="宋体" w:cs="Times New Roman"/>
                <w:b w:val="0"/>
                <w:bCs/>
                <w:sz w:val="21"/>
                <w:szCs w:val="21"/>
                <w:vertAlign w:val="superscript"/>
                <w:lang w:val="en-US" w:eastAsia="zh-CN"/>
              </w:rPr>
              <w:t>-7</w:t>
            </w:r>
          </w:p>
        </w:tc>
      </w:tr>
      <w:tr w14:paraId="443EB6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48" w:type="dxa"/>
            <w:vMerge w:val="continue"/>
            <w:vAlign w:val="center"/>
          </w:tcPr>
          <w:p w14:paraId="76CD83E9">
            <w:pPr>
              <w:pStyle w:val="86"/>
              <w:spacing w:beforeLines="0" w:afterLines="0" w:line="240" w:lineRule="auto"/>
              <w:rPr>
                <w:rFonts w:ascii="Times New Roman"/>
                <w:snapToGrid w:val="0"/>
                <w:kern w:val="21"/>
                <w:szCs w:val="21"/>
              </w:rPr>
            </w:pPr>
          </w:p>
        </w:tc>
        <w:tc>
          <w:tcPr>
            <w:tcW w:w="1752" w:type="dxa"/>
            <w:vAlign w:val="center"/>
          </w:tcPr>
          <w:p w14:paraId="79130185">
            <w:pPr>
              <w:jc w:val="center"/>
              <w:rPr>
                <w:szCs w:val="21"/>
              </w:rPr>
            </w:pPr>
            <w:r>
              <w:rPr>
                <w:rFonts w:hint="eastAsia" w:ascii="Times New Roman" w:hAnsi="Times New Roman" w:eastAsia="宋体" w:cs="Times New Roman"/>
                <w:bCs/>
                <w:szCs w:val="21"/>
                <w:lang w:val="en-US" w:eastAsia="zh-CN"/>
              </w:rPr>
              <w:t>苯乙烯</w:t>
            </w:r>
          </w:p>
        </w:tc>
        <w:tc>
          <w:tcPr>
            <w:tcW w:w="1701" w:type="dxa"/>
            <w:vAlign w:val="center"/>
          </w:tcPr>
          <w:p w14:paraId="5E9514AD">
            <w:pPr>
              <w:spacing w:beforeLines="0" w:afterLines="0" w:line="240" w:lineRule="auto"/>
              <w:jc w:val="center"/>
              <w:rPr>
                <w:rFonts w:hint="eastAsia" w:ascii="Times New Roman" w:eastAsia="宋体"/>
                <w:snapToGrid w:val="0"/>
                <w:kern w:val="21"/>
                <w:szCs w:val="21"/>
                <w:lang w:val="en-US" w:eastAsia="zh-CN"/>
              </w:rPr>
            </w:pPr>
            <w:r>
              <w:rPr>
                <w:rFonts w:ascii="Times New Roman"/>
                <w:snapToGrid w:val="0"/>
                <w:kern w:val="21"/>
                <w:szCs w:val="21"/>
              </w:rPr>
              <w:t>/</w:t>
            </w:r>
          </w:p>
        </w:tc>
        <w:tc>
          <w:tcPr>
            <w:tcW w:w="1168" w:type="dxa"/>
            <w:vAlign w:val="center"/>
          </w:tcPr>
          <w:p w14:paraId="24146DAD">
            <w:pPr>
              <w:pStyle w:val="86"/>
              <w:spacing w:beforeLines="0" w:afterLines="0" w:line="240" w:lineRule="auto"/>
              <w:jc w:val="center"/>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w:t>
            </w:r>
          </w:p>
        </w:tc>
        <w:tc>
          <w:tcPr>
            <w:tcW w:w="1401" w:type="dxa"/>
            <w:vAlign w:val="center"/>
          </w:tcPr>
          <w:p w14:paraId="1F284BF9">
            <w:pPr>
              <w:jc w:val="center"/>
              <w:rPr>
                <w:rFonts w:hint="eastAsia" w:eastAsia="宋体"/>
                <w:szCs w:val="21"/>
                <w:lang w:val="en-US" w:eastAsia="zh-CN"/>
              </w:rPr>
            </w:pPr>
            <w:r>
              <w:rPr>
                <w:rFonts w:hint="eastAsia"/>
                <w:szCs w:val="21"/>
                <w:lang w:val="en-US" w:eastAsia="zh-CN"/>
              </w:rPr>
              <w:t>0</w:t>
            </w:r>
          </w:p>
        </w:tc>
        <w:tc>
          <w:tcPr>
            <w:tcW w:w="1960" w:type="dxa"/>
            <w:vAlign w:val="center"/>
          </w:tcPr>
          <w:p w14:paraId="556E711C">
            <w:pPr>
              <w:widowControl/>
              <w:jc w:val="center"/>
              <w:rPr>
                <w:rFonts w:hint="eastAsia"/>
                <w:szCs w:val="21"/>
              </w:rPr>
            </w:pP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7</w:t>
            </w:r>
          </w:p>
        </w:tc>
        <w:tc>
          <w:tcPr>
            <w:tcW w:w="1401" w:type="dxa"/>
            <w:vAlign w:val="center"/>
          </w:tcPr>
          <w:p w14:paraId="25328B2D">
            <w:pPr>
              <w:jc w:val="center"/>
              <w:rPr>
                <w:rFonts w:hint="eastAsia" w:eastAsia="宋体"/>
                <w:szCs w:val="21"/>
                <w:lang w:val="en-US" w:eastAsia="zh-CN"/>
              </w:rPr>
            </w:pPr>
            <w:r>
              <w:rPr>
                <w:rFonts w:ascii="Times New Roman"/>
                <w:snapToGrid w:val="0"/>
                <w:kern w:val="21"/>
                <w:szCs w:val="21"/>
              </w:rPr>
              <w:t>/</w:t>
            </w:r>
          </w:p>
        </w:tc>
        <w:tc>
          <w:tcPr>
            <w:tcW w:w="1648" w:type="dxa"/>
            <w:vAlign w:val="center"/>
          </w:tcPr>
          <w:p w14:paraId="17EF6B97">
            <w:pPr>
              <w:widowControl/>
              <w:jc w:val="center"/>
              <w:rPr>
                <w:rFonts w:hint="eastAsia"/>
                <w:szCs w:val="21"/>
              </w:rPr>
            </w:pP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7</w:t>
            </w:r>
          </w:p>
        </w:tc>
        <w:tc>
          <w:tcPr>
            <w:tcW w:w="1442" w:type="dxa"/>
            <w:vAlign w:val="center"/>
          </w:tcPr>
          <w:p w14:paraId="70FC1A9A">
            <w:pPr>
              <w:widowControl/>
              <w:jc w:val="center"/>
              <w:rPr>
                <w:rFonts w:hint="default"/>
                <w:szCs w:val="21"/>
                <w:lang w:val="en-US"/>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4</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 xml:space="preserve">7 </w:t>
            </w:r>
          </w:p>
        </w:tc>
      </w:tr>
      <w:tr w14:paraId="4DCA9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48" w:type="dxa"/>
            <w:vMerge w:val="continue"/>
            <w:vAlign w:val="center"/>
          </w:tcPr>
          <w:p w14:paraId="5E37BBE1">
            <w:pPr>
              <w:pStyle w:val="86"/>
              <w:spacing w:beforeLines="0" w:afterLines="0" w:line="240" w:lineRule="auto"/>
              <w:rPr>
                <w:rFonts w:ascii="Times New Roman"/>
                <w:snapToGrid w:val="0"/>
                <w:kern w:val="21"/>
                <w:szCs w:val="21"/>
              </w:rPr>
            </w:pPr>
          </w:p>
        </w:tc>
        <w:tc>
          <w:tcPr>
            <w:tcW w:w="1752" w:type="dxa"/>
            <w:vAlign w:val="center"/>
          </w:tcPr>
          <w:p w14:paraId="2CBA325D">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二氯甲烷</w:t>
            </w:r>
          </w:p>
        </w:tc>
        <w:tc>
          <w:tcPr>
            <w:tcW w:w="1701" w:type="dxa"/>
            <w:vAlign w:val="center"/>
          </w:tcPr>
          <w:p w14:paraId="5E5B244A">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2C8C147F">
            <w:pPr>
              <w:pStyle w:val="86"/>
              <w:spacing w:beforeLines="0" w:afterLines="0" w:line="240" w:lineRule="auto"/>
              <w:jc w:val="center"/>
              <w:rPr>
                <w:rFonts w:hint="eastAsia" w:ascii="Times New Roman"/>
                <w:snapToGrid w:val="0"/>
                <w:kern w:val="21"/>
                <w:szCs w:val="21"/>
                <w:lang w:val="en-US" w:eastAsia="zh-CN"/>
              </w:rPr>
            </w:pPr>
            <w:r>
              <w:rPr>
                <w:rFonts w:hint="eastAsia" w:ascii="Times New Roman"/>
                <w:snapToGrid w:val="0"/>
                <w:kern w:val="21"/>
                <w:szCs w:val="21"/>
                <w:lang w:val="en-US" w:eastAsia="zh-CN"/>
              </w:rPr>
              <w:t>/</w:t>
            </w:r>
          </w:p>
        </w:tc>
        <w:tc>
          <w:tcPr>
            <w:tcW w:w="1401" w:type="dxa"/>
            <w:vAlign w:val="center"/>
          </w:tcPr>
          <w:p w14:paraId="6973F881">
            <w:pPr>
              <w:jc w:val="center"/>
              <w:rPr>
                <w:rFonts w:hint="default"/>
                <w:szCs w:val="21"/>
                <w:lang w:val="en-US" w:eastAsia="zh-CN"/>
              </w:rPr>
            </w:pPr>
            <w:r>
              <w:rPr>
                <w:rFonts w:hint="eastAsia"/>
                <w:szCs w:val="21"/>
                <w:lang w:val="en-US" w:eastAsia="zh-CN"/>
              </w:rPr>
              <w:t>0</w:t>
            </w:r>
          </w:p>
        </w:tc>
        <w:tc>
          <w:tcPr>
            <w:tcW w:w="1960" w:type="dxa"/>
            <w:vAlign w:val="center"/>
          </w:tcPr>
          <w:p w14:paraId="64D8361B">
            <w:pPr>
              <w:widowControl/>
              <w:jc w:val="center"/>
              <w:rPr>
                <w:rFonts w:hint="eastAsia" w:ascii="Times New Roman" w:hAnsi="Times New Roman" w:eastAsia="宋体" w:cs="Times New Roman"/>
                <w:b w:val="0"/>
                <w:bCs/>
                <w:sz w:val="21"/>
                <w:szCs w:val="21"/>
                <w:lang w:val="en-US" w:eastAsia="zh-CN"/>
              </w:rPr>
            </w:pPr>
            <w:r>
              <w:rPr>
                <w:rFonts w:hint="default" w:ascii="Times New Roman" w:hAnsi="Times New Roman" w:cs="Times New Roman"/>
                <w:b w:val="0"/>
                <w:bCs/>
                <w:sz w:val="21"/>
                <w:szCs w:val="21"/>
                <w:lang w:val="en-US" w:eastAsia="zh-CN"/>
              </w:rPr>
              <w:t>0.038</w:t>
            </w:r>
          </w:p>
        </w:tc>
        <w:tc>
          <w:tcPr>
            <w:tcW w:w="1401" w:type="dxa"/>
            <w:vAlign w:val="center"/>
          </w:tcPr>
          <w:p w14:paraId="5AD3F25C">
            <w:pPr>
              <w:jc w:val="center"/>
              <w:rPr>
                <w:rFonts w:hint="eastAsia" w:ascii="Times New Roman" w:eastAsia="宋体"/>
                <w:snapToGrid w:val="0"/>
                <w:kern w:val="21"/>
                <w:szCs w:val="21"/>
                <w:lang w:val="en-US" w:eastAsia="zh-CN"/>
              </w:rPr>
            </w:pPr>
            <w:r>
              <w:rPr>
                <w:rFonts w:hint="eastAsia"/>
                <w:snapToGrid w:val="0"/>
                <w:kern w:val="21"/>
                <w:szCs w:val="21"/>
                <w:lang w:val="en-US" w:eastAsia="zh-CN"/>
              </w:rPr>
              <w:t>/</w:t>
            </w:r>
          </w:p>
        </w:tc>
        <w:tc>
          <w:tcPr>
            <w:tcW w:w="1648" w:type="dxa"/>
            <w:vAlign w:val="center"/>
          </w:tcPr>
          <w:p w14:paraId="1BEB77EA">
            <w:pPr>
              <w:widowControl/>
              <w:jc w:val="center"/>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0.038</w:t>
            </w:r>
          </w:p>
        </w:tc>
        <w:tc>
          <w:tcPr>
            <w:tcW w:w="1442" w:type="dxa"/>
            <w:vAlign w:val="center"/>
          </w:tcPr>
          <w:p w14:paraId="2E9426DE">
            <w:pPr>
              <w:widowControl/>
              <w:jc w:val="center"/>
              <w:rPr>
                <w:rFonts w:hint="default"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+0.038</w:t>
            </w:r>
          </w:p>
        </w:tc>
      </w:tr>
      <w:tr w14:paraId="321B0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148" w:type="dxa"/>
            <w:vMerge w:val="restart"/>
            <w:vAlign w:val="center"/>
          </w:tcPr>
          <w:p w14:paraId="2E31E0A6">
            <w:pPr>
              <w:pStyle w:val="86"/>
              <w:spacing w:beforeLines="0" w:afterLines="0" w:line="240" w:lineRule="auto"/>
              <w:rPr>
                <w:rFonts w:ascii="Times New Roman"/>
                <w:snapToGrid w:val="0"/>
                <w:kern w:val="21"/>
                <w:szCs w:val="21"/>
              </w:rPr>
            </w:pPr>
            <w:r>
              <w:rPr>
                <w:rFonts w:ascii="Times New Roman"/>
                <w:snapToGrid w:val="0"/>
                <w:kern w:val="21"/>
                <w:szCs w:val="21"/>
              </w:rPr>
              <w:t>废水</w:t>
            </w:r>
          </w:p>
        </w:tc>
        <w:tc>
          <w:tcPr>
            <w:tcW w:w="1752" w:type="dxa"/>
            <w:vAlign w:val="center"/>
          </w:tcPr>
          <w:p w14:paraId="4A840B15">
            <w:pPr>
              <w:ind w:left="-105" w:leftChars="-50" w:right="-105" w:rightChars="-50"/>
              <w:jc w:val="center"/>
              <w:rPr>
                <w:szCs w:val="21"/>
              </w:rPr>
            </w:pPr>
            <w:r>
              <w:rPr>
                <w:szCs w:val="21"/>
              </w:rPr>
              <w:t>废水量</w:t>
            </w:r>
          </w:p>
        </w:tc>
        <w:tc>
          <w:tcPr>
            <w:tcW w:w="1701" w:type="dxa"/>
            <w:vAlign w:val="center"/>
          </w:tcPr>
          <w:p w14:paraId="46AA091C">
            <w:pPr>
              <w:jc w:val="center"/>
              <w:textAlignment w:val="center"/>
              <w:rPr>
                <w:szCs w:val="21"/>
              </w:rPr>
            </w:pPr>
            <w:r>
              <w:rPr>
                <w:rFonts w:ascii="Times New Roman"/>
                <w:snapToGrid w:val="0"/>
                <w:kern w:val="21"/>
                <w:szCs w:val="21"/>
              </w:rPr>
              <w:t>/</w:t>
            </w:r>
          </w:p>
        </w:tc>
        <w:tc>
          <w:tcPr>
            <w:tcW w:w="1168" w:type="dxa"/>
            <w:vAlign w:val="center"/>
          </w:tcPr>
          <w:p w14:paraId="042C40E8">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30C2AD91">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378970BD">
            <w:pPr>
              <w:jc w:val="center"/>
              <w:rPr>
                <w:rFonts w:hint="default" w:eastAsia="宋体"/>
                <w:szCs w:val="21"/>
                <w:lang w:val="en-US" w:eastAsia="zh-CN"/>
              </w:rPr>
            </w:pPr>
            <w:r>
              <w:rPr>
                <w:rFonts w:hint="eastAsia"/>
                <w:szCs w:val="21"/>
                <w:lang w:val="en-US" w:eastAsia="zh-CN"/>
              </w:rPr>
              <w:t>180</w:t>
            </w:r>
          </w:p>
        </w:tc>
        <w:tc>
          <w:tcPr>
            <w:tcW w:w="1401" w:type="dxa"/>
            <w:vAlign w:val="center"/>
          </w:tcPr>
          <w:p w14:paraId="2EB6CD1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5E5C6D0">
            <w:pPr>
              <w:jc w:val="center"/>
              <w:rPr>
                <w:kern w:val="0"/>
                <w:szCs w:val="21"/>
              </w:rPr>
            </w:pPr>
            <w:r>
              <w:rPr>
                <w:rFonts w:hint="eastAsia"/>
                <w:szCs w:val="21"/>
                <w:lang w:val="en-US" w:eastAsia="zh-CN"/>
              </w:rPr>
              <w:t>180</w:t>
            </w:r>
          </w:p>
        </w:tc>
        <w:tc>
          <w:tcPr>
            <w:tcW w:w="1442" w:type="dxa"/>
            <w:vAlign w:val="center"/>
          </w:tcPr>
          <w:p w14:paraId="4B08F7E6">
            <w:pPr>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szCs w:val="21"/>
                <w:lang w:val="en-US" w:eastAsia="zh-CN"/>
              </w:rPr>
              <w:t>180</w:t>
            </w:r>
          </w:p>
        </w:tc>
      </w:tr>
      <w:tr w14:paraId="50CE8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1148" w:type="dxa"/>
            <w:vMerge w:val="continue"/>
            <w:vAlign w:val="center"/>
          </w:tcPr>
          <w:p w14:paraId="50E8852F">
            <w:pPr>
              <w:jc w:val="center"/>
              <w:rPr>
                <w:snapToGrid w:val="0"/>
                <w:kern w:val="21"/>
                <w:szCs w:val="21"/>
              </w:rPr>
            </w:pPr>
          </w:p>
        </w:tc>
        <w:tc>
          <w:tcPr>
            <w:tcW w:w="1752" w:type="dxa"/>
            <w:vAlign w:val="center"/>
          </w:tcPr>
          <w:p w14:paraId="034A40C8">
            <w:pPr>
              <w:ind w:left="-105" w:leftChars="-50" w:right="-105" w:rightChars="-50"/>
              <w:jc w:val="center"/>
              <w:rPr>
                <w:szCs w:val="21"/>
              </w:rPr>
            </w:pPr>
            <w:r>
              <w:rPr>
                <w:szCs w:val="21"/>
              </w:rPr>
              <w:t>COD</w:t>
            </w:r>
          </w:p>
        </w:tc>
        <w:tc>
          <w:tcPr>
            <w:tcW w:w="1701" w:type="dxa"/>
            <w:vAlign w:val="center"/>
          </w:tcPr>
          <w:p w14:paraId="52A3F0ED">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765E9DBF">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6D69D94">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1267ED8B">
            <w:pPr>
              <w:ind w:left="-105" w:leftChars="-50" w:right="-105" w:rightChars="-50"/>
              <w:jc w:val="center"/>
              <w:rPr>
                <w:bCs/>
                <w:kern w:val="0"/>
                <w:szCs w:val="21"/>
              </w:rPr>
            </w:pPr>
            <w:r>
              <w:rPr>
                <w:rFonts w:hint="eastAsia" w:ascii="Times New Roman" w:hAnsi="Times New Roman" w:eastAsia="宋体" w:cs="Times New Roman"/>
                <w:szCs w:val="21"/>
                <w:lang w:val="en-US" w:eastAsia="zh-CN"/>
              </w:rPr>
              <w:t>0.054</w:t>
            </w:r>
          </w:p>
        </w:tc>
        <w:tc>
          <w:tcPr>
            <w:tcW w:w="1401" w:type="dxa"/>
            <w:vAlign w:val="center"/>
          </w:tcPr>
          <w:p w14:paraId="3810988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6FB770BD">
            <w:pPr>
              <w:ind w:left="-105" w:leftChars="-50" w:right="-105" w:rightChars="-50"/>
              <w:jc w:val="center"/>
              <w:rPr>
                <w:bCs/>
                <w:kern w:val="0"/>
                <w:szCs w:val="21"/>
              </w:rPr>
            </w:pPr>
            <w:r>
              <w:rPr>
                <w:rFonts w:hint="eastAsia" w:ascii="Times New Roman" w:hAnsi="Times New Roman" w:eastAsia="宋体" w:cs="Times New Roman"/>
                <w:szCs w:val="21"/>
                <w:lang w:val="en-US" w:eastAsia="zh-CN"/>
              </w:rPr>
              <w:t>0.054</w:t>
            </w:r>
          </w:p>
        </w:tc>
        <w:tc>
          <w:tcPr>
            <w:tcW w:w="1442" w:type="dxa"/>
            <w:vAlign w:val="center"/>
          </w:tcPr>
          <w:p w14:paraId="6B6D07BB">
            <w:pPr>
              <w:ind w:left="-105" w:leftChars="-50" w:right="-105" w:rightChars="-50"/>
              <w:jc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0.054</w:t>
            </w:r>
          </w:p>
        </w:tc>
      </w:tr>
      <w:tr w14:paraId="7F52F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148" w:type="dxa"/>
            <w:vMerge w:val="continue"/>
            <w:vAlign w:val="center"/>
          </w:tcPr>
          <w:p w14:paraId="1D4CD85D">
            <w:pPr>
              <w:jc w:val="center"/>
              <w:rPr>
                <w:snapToGrid w:val="0"/>
                <w:kern w:val="21"/>
                <w:szCs w:val="21"/>
              </w:rPr>
            </w:pPr>
          </w:p>
        </w:tc>
        <w:tc>
          <w:tcPr>
            <w:tcW w:w="1752" w:type="dxa"/>
            <w:vAlign w:val="center"/>
          </w:tcPr>
          <w:p w14:paraId="28152EF8">
            <w:pPr>
              <w:ind w:left="-105" w:leftChars="-50" w:right="-105" w:rightChars="-50"/>
              <w:jc w:val="center"/>
              <w:rPr>
                <w:szCs w:val="21"/>
              </w:rPr>
            </w:pPr>
            <w:r>
              <w:rPr>
                <w:rFonts w:eastAsia="黑体"/>
                <w:szCs w:val="21"/>
              </w:rPr>
              <w:t>BOD</w:t>
            </w:r>
            <w:r>
              <w:rPr>
                <w:rFonts w:eastAsia="黑体"/>
                <w:szCs w:val="21"/>
                <w:vertAlign w:val="subscript"/>
              </w:rPr>
              <w:t>5</w:t>
            </w:r>
          </w:p>
        </w:tc>
        <w:tc>
          <w:tcPr>
            <w:tcW w:w="1701" w:type="dxa"/>
            <w:vAlign w:val="center"/>
          </w:tcPr>
          <w:p w14:paraId="4FB7A900">
            <w:pPr>
              <w:jc w:val="center"/>
              <w:textAlignment w:val="center"/>
              <w:rPr>
                <w:szCs w:val="21"/>
              </w:rPr>
            </w:pPr>
            <w:r>
              <w:rPr>
                <w:rFonts w:ascii="Times New Roman"/>
                <w:snapToGrid w:val="0"/>
                <w:kern w:val="21"/>
                <w:szCs w:val="21"/>
              </w:rPr>
              <w:t>/</w:t>
            </w:r>
          </w:p>
        </w:tc>
        <w:tc>
          <w:tcPr>
            <w:tcW w:w="1168" w:type="dxa"/>
            <w:vAlign w:val="center"/>
          </w:tcPr>
          <w:p w14:paraId="53DB34B9">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1B82813D">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78A4C771">
            <w:pPr>
              <w:ind w:left="-105" w:leftChars="-50" w:right="-105" w:rightChars="-50"/>
              <w:jc w:val="center"/>
              <w:rPr>
                <w:szCs w:val="21"/>
              </w:rPr>
            </w:pPr>
            <w:r>
              <w:rPr>
                <w:rFonts w:hint="eastAsia" w:ascii="Times New Roman" w:hAnsi="Times New Roman" w:eastAsia="宋体" w:cs="Times New Roman"/>
                <w:szCs w:val="21"/>
                <w:lang w:val="en-US" w:eastAsia="zh-CN"/>
              </w:rPr>
              <w:t>0.027</w:t>
            </w:r>
          </w:p>
        </w:tc>
        <w:tc>
          <w:tcPr>
            <w:tcW w:w="1401" w:type="dxa"/>
            <w:vAlign w:val="center"/>
          </w:tcPr>
          <w:p w14:paraId="6484226D">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C298A7C">
            <w:pPr>
              <w:ind w:left="-105" w:leftChars="-50" w:right="-105" w:rightChars="-50"/>
              <w:jc w:val="center"/>
              <w:rPr>
                <w:szCs w:val="21"/>
              </w:rPr>
            </w:pPr>
            <w:r>
              <w:rPr>
                <w:rFonts w:hint="eastAsia" w:ascii="Times New Roman" w:hAnsi="Times New Roman" w:eastAsia="宋体" w:cs="Times New Roman"/>
                <w:szCs w:val="21"/>
                <w:lang w:val="en-US" w:eastAsia="zh-CN"/>
              </w:rPr>
              <w:t>0.027</w:t>
            </w:r>
          </w:p>
        </w:tc>
        <w:tc>
          <w:tcPr>
            <w:tcW w:w="1442" w:type="dxa"/>
            <w:vAlign w:val="center"/>
          </w:tcPr>
          <w:p w14:paraId="20B29D8D">
            <w:pPr>
              <w:ind w:left="-105" w:leftChars="-50" w:right="-105" w:rightChars="-50"/>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0.027</w:t>
            </w:r>
          </w:p>
        </w:tc>
      </w:tr>
      <w:tr w14:paraId="7FD12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8" w:type="dxa"/>
            <w:vMerge w:val="continue"/>
            <w:vAlign w:val="center"/>
          </w:tcPr>
          <w:p w14:paraId="2BD8CDA1">
            <w:pPr>
              <w:jc w:val="center"/>
              <w:rPr>
                <w:snapToGrid w:val="0"/>
                <w:kern w:val="21"/>
                <w:szCs w:val="21"/>
              </w:rPr>
            </w:pPr>
          </w:p>
        </w:tc>
        <w:tc>
          <w:tcPr>
            <w:tcW w:w="1752" w:type="dxa"/>
            <w:vAlign w:val="center"/>
          </w:tcPr>
          <w:p w14:paraId="37555A74">
            <w:pPr>
              <w:ind w:left="-105" w:leftChars="-50" w:right="-105" w:rightChars="-50"/>
              <w:jc w:val="center"/>
              <w:rPr>
                <w:szCs w:val="21"/>
              </w:rPr>
            </w:pPr>
            <w:r>
              <w:rPr>
                <w:szCs w:val="21"/>
              </w:rPr>
              <w:t>氨氮</w:t>
            </w:r>
          </w:p>
        </w:tc>
        <w:tc>
          <w:tcPr>
            <w:tcW w:w="1701" w:type="dxa"/>
            <w:vAlign w:val="center"/>
          </w:tcPr>
          <w:p w14:paraId="607BDA1F">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0A6BCA21">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643618EC">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0A66F3C6">
            <w:pPr>
              <w:ind w:left="-105" w:leftChars="-50" w:right="-105" w:rightChars="-50"/>
              <w:jc w:val="center"/>
              <w:rPr>
                <w:szCs w:val="21"/>
              </w:rPr>
            </w:pPr>
            <w:r>
              <w:rPr>
                <w:rFonts w:hint="eastAsia" w:ascii="Times New Roman" w:hAnsi="Times New Roman" w:eastAsia="宋体" w:cs="Times New Roman"/>
                <w:szCs w:val="21"/>
                <w:lang w:val="en-US" w:eastAsia="zh-CN"/>
              </w:rPr>
              <w:t>0.0063</w:t>
            </w:r>
          </w:p>
        </w:tc>
        <w:tc>
          <w:tcPr>
            <w:tcW w:w="1401" w:type="dxa"/>
            <w:vAlign w:val="center"/>
          </w:tcPr>
          <w:p w14:paraId="2AA2A4D5">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C9A582B">
            <w:pPr>
              <w:ind w:left="-105" w:leftChars="-50" w:right="-105" w:rightChars="-50"/>
              <w:jc w:val="center"/>
              <w:rPr>
                <w:szCs w:val="21"/>
              </w:rPr>
            </w:pPr>
            <w:r>
              <w:rPr>
                <w:rFonts w:hint="eastAsia" w:ascii="Times New Roman" w:hAnsi="Times New Roman" w:eastAsia="宋体" w:cs="Times New Roman"/>
                <w:szCs w:val="21"/>
                <w:lang w:val="en-US" w:eastAsia="zh-CN"/>
              </w:rPr>
              <w:t>0.0063</w:t>
            </w:r>
          </w:p>
        </w:tc>
        <w:tc>
          <w:tcPr>
            <w:tcW w:w="1442" w:type="dxa"/>
            <w:vAlign w:val="center"/>
          </w:tcPr>
          <w:p w14:paraId="08354CD4">
            <w:pPr>
              <w:ind w:left="-105" w:leftChars="-50" w:right="-105" w:rightChars="-50"/>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0.0063</w:t>
            </w:r>
          </w:p>
        </w:tc>
      </w:tr>
      <w:tr w14:paraId="473A0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48" w:type="dxa"/>
            <w:vMerge w:val="continue"/>
            <w:vAlign w:val="center"/>
          </w:tcPr>
          <w:p w14:paraId="15E056DC">
            <w:pPr>
              <w:jc w:val="center"/>
              <w:rPr>
                <w:snapToGrid w:val="0"/>
                <w:kern w:val="21"/>
                <w:szCs w:val="21"/>
              </w:rPr>
            </w:pPr>
          </w:p>
        </w:tc>
        <w:tc>
          <w:tcPr>
            <w:tcW w:w="1752" w:type="dxa"/>
            <w:vAlign w:val="center"/>
          </w:tcPr>
          <w:p w14:paraId="5A70E666">
            <w:pPr>
              <w:ind w:left="-105" w:leftChars="-50" w:right="-105" w:rightChars="-50"/>
              <w:jc w:val="center"/>
              <w:rPr>
                <w:szCs w:val="21"/>
              </w:rPr>
            </w:pPr>
            <w:r>
              <w:rPr>
                <w:szCs w:val="21"/>
              </w:rPr>
              <w:t>SS</w:t>
            </w:r>
          </w:p>
        </w:tc>
        <w:tc>
          <w:tcPr>
            <w:tcW w:w="1701" w:type="dxa"/>
            <w:vAlign w:val="center"/>
          </w:tcPr>
          <w:p w14:paraId="3843C4E6">
            <w:pPr>
              <w:jc w:val="center"/>
              <w:textAlignment w:val="center"/>
              <w:rPr>
                <w:szCs w:val="21"/>
              </w:rPr>
            </w:pPr>
            <w:r>
              <w:rPr>
                <w:rFonts w:ascii="Times New Roman"/>
                <w:snapToGrid w:val="0"/>
                <w:kern w:val="21"/>
                <w:szCs w:val="21"/>
              </w:rPr>
              <w:t>/</w:t>
            </w:r>
          </w:p>
        </w:tc>
        <w:tc>
          <w:tcPr>
            <w:tcW w:w="1168" w:type="dxa"/>
            <w:vAlign w:val="center"/>
          </w:tcPr>
          <w:p w14:paraId="1AE59056">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73DEF27B">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4B093E36">
            <w:pPr>
              <w:ind w:left="-105" w:leftChars="-50" w:right="-105" w:rightChars="-50"/>
              <w:jc w:val="center"/>
              <w:rPr>
                <w:szCs w:val="21"/>
              </w:rPr>
            </w:pPr>
            <w:r>
              <w:rPr>
                <w:rFonts w:hint="eastAsia" w:ascii="Times New Roman" w:hAnsi="Times New Roman" w:eastAsia="宋体" w:cs="Times New Roman"/>
                <w:szCs w:val="21"/>
                <w:lang w:val="en-US" w:eastAsia="zh-CN"/>
              </w:rPr>
              <w:t>0.0288</w:t>
            </w:r>
          </w:p>
        </w:tc>
        <w:tc>
          <w:tcPr>
            <w:tcW w:w="1401" w:type="dxa"/>
            <w:vAlign w:val="center"/>
          </w:tcPr>
          <w:p w14:paraId="3CA47C4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0D3F8CE7">
            <w:pPr>
              <w:ind w:left="-105" w:leftChars="-50" w:right="-105" w:rightChars="-50"/>
              <w:jc w:val="center"/>
              <w:rPr>
                <w:szCs w:val="21"/>
              </w:rPr>
            </w:pPr>
            <w:r>
              <w:rPr>
                <w:rFonts w:hint="eastAsia" w:ascii="Times New Roman" w:hAnsi="Times New Roman" w:eastAsia="宋体" w:cs="Times New Roman"/>
                <w:szCs w:val="21"/>
                <w:lang w:val="en-US" w:eastAsia="zh-CN"/>
              </w:rPr>
              <w:t>0.0288</w:t>
            </w:r>
          </w:p>
        </w:tc>
        <w:tc>
          <w:tcPr>
            <w:tcW w:w="1442" w:type="dxa"/>
            <w:vAlign w:val="center"/>
          </w:tcPr>
          <w:p w14:paraId="5A0D31BD">
            <w:pPr>
              <w:ind w:left="-105" w:leftChars="-50" w:right="-105" w:rightChars="-50"/>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0.0288</w:t>
            </w:r>
          </w:p>
        </w:tc>
      </w:tr>
      <w:tr w14:paraId="4E970C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8" w:type="dxa"/>
            <w:vMerge w:val="restart"/>
            <w:vAlign w:val="center"/>
          </w:tcPr>
          <w:p w14:paraId="17FFBFD6">
            <w:pPr>
              <w:pStyle w:val="86"/>
              <w:spacing w:beforeLines="0" w:afterLines="0" w:line="240" w:lineRule="auto"/>
              <w:rPr>
                <w:rFonts w:ascii="Times New Roman"/>
                <w:snapToGrid w:val="0"/>
                <w:kern w:val="21"/>
                <w:szCs w:val="21"/>
              </w:rPr>
            </w:pPr>
            <w:r>
              <w:rPr>
                <w:rFonts w:ascii="Times New Roman"/>
                <w:snapToGrid w:val="0"/>
                <w:kern w:val="21"/>
                <w:szCs w:val="21"/>
              </w:rPr>
              <w:t>一般工业</w:t>
            </w:r>
          </w:p>
          <w:p w14:paraId="496F3255">
            <w:pPr>
              <w:pStyle w:val="86"/>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1752" w:type="dxa"/>
            <w:vAlign w:val="center"/>
          </w:tcPr>
          <w:p w14:paraId="49EACC8E">
            <w:pPr>
              <w:jc w:val="center"/>
              <w:rPr>
                <w:spacing w:val="-4"/>
                <w:szCs w:val="21"/>
              </w:rPr>
            </w:pPr>
            <w:r>
              <w:rPr>
                <w:rFonts w:hint="eastAsia"/>
                <w:szCs w:val="21"/>
                <w:lang w:val="en-US" w:eastAsia="zh-CN"/>
              </w:rPr>
              <w:t>废边角料</w:t>
            </w:r>
          </w:p>
        </w:tc>
        <w:tc>
          <w:tcPr>
            <w:tcW w:w="1701" w:type="dxa"/>
            <w:vAlign w:val="center"/>
          </w:tcPr>
          <w:p w14:paraId="4FB65015">
            <w:pPr>
              <w:jc w:val="center"/>
              <w:textAlignment w:val="center"/>
              <w:rPr>
                <w:szCs w:val="21"/>
              </w:rPr>
            </w:pPr>
            <w:r>
              <w:rPr>
                <w:rFonts w:ascii="Times New Roman"/>
                <w:snapToGrid w:val="0"/>
                <w:kern w:val="21"/>
                <w:szCs w:val="21"/>
              </w:rPr>
              <w:t>/</w:t>
            </w:r>
          </w:p>
        </w:tc>
        <w:tc>
          <w:tcPr>
            <w:tcW w:w="1168" w:type="dxa"/>
            <w:vAlign w:val="center"/>
          </w:tcPr>
          <w:p w14:paraId="202B1012">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F143F3B">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36CA9938">
            <w:pPr>
              <w:jc w:val="center"/>
              <w:textAlignment w:val="center"/>
              <w:rPr>
                <w:bCs/>
                <w:kern w:val="0"/>
                <w:szCs w:val="21"/>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3.3</w:t>
            </w:r>
          </w:p>
        </w:tc>
        <w:tc>
          <w:tcPr>
            <w:tcW w:w="1401" w:type="dxa"/>
            <w:vAlign w:val="center"/>
          </w:tcPr>
          <w:p w14:paraId="1564CA92">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56BBF29E">
            <w:pPr>
              <w:jc w:val="center"/>
              <w:textAlignment w:val="center"/>
              <w:rPr>
                <w:bCs/>
                <w:kern w:val="0"/>
                <w:szCs w:val="21"/>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3.3</w:t>
            </w:r>
          </w:p>
        </w:tc>
        <w:tc>
          <w:tcPr>
            <w:tcW w:w="1442" w:type="dxa"/>
            <w:vAlign w:val="center"/>
          </w:tcPr>
          <w:p w14:paraId="03577E5B">
            <w:pPr>
              <w:jc w:val="center"/>
              <w:textAlignment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3.3</w:t>
            </w:r>
          </w:p>
        </w:tc>
      </w:tr>
      <w:tr w14:paraId="07523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48" w:type="dxa"/>
            <w:vMerge w:val="continue"/>
            <w:vAlign w:val="center"/>
          </w:tcPr>
          <w:p w14:paraId="13BBE1A3">
            <w:pPr>
              <w:pStyle w:val="86"/>
              <w:spacing w:beforeLines="0" w:afterLines="0" w:line="240" w:lineRule="auto"/>
              <w:rPr>
                <w:rFonts w:ascii="Times New Roman"/>
                <w:snapToGrid w:val="0"/>
                <w:kern w:val="21"/>
                <w:szCs w:val="21"/>
              </w:rPr>
            </w:pPr>
          </w:p>
        </w:tc>
        <w:tc>
          <w:tcPr>
            <w:tcW w:w="1752" w:type="dxa"/>
            <w:vAlign w:val="center"/>
          </w:tcPr>
          <w:p w14:paraId="29CBED47">
            <w:pPr>
              <w:jc w:val="center"/>
              <w:rPr>
                <w:szCs w:val="21"/>
              </w:rPr>
            </w:pPr>
            <w:r>
              <w:rPr>
                <w:rFonts w:hint="eastAsia"/>
                <w:kern w:val="0"/>
                <w:szCs w:val="21"/>
                <w:lang w:val="en-US" w:eastAsia="zh-CN"/>
              </w:rPr>
              <w:t>不合格品</w:t>
            </w:r>
          </w:p>
        </w:tc>
        <w:tc>
          <w:tcPr>
            <w:tcW w:w="1701" w:type="dxa"/>
            <w:vAlign w:val="center"/>
          </w:tcPr>
          <w:p w14:paraId="0F5A8613">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1ED6531B">
            <w:pPr>
              <w:pStyle w:val="86"/>
              <w:spacing w:beforeLines="0" w:afterLines="0" w:line="240" w:lineRule="auto"/>
              <w:jc w:val="center"/>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w:t>
            </w:r>
          </w:p>
        </w:tc>
        <w:tc>
          <w:tcPr>
            <w:tcW w:w="1401" w:type="dxa"/>
            <w:vAlign w:val="center"/>
          </w:tcPr>
          <w:p w14:paraId="1F3F023C">
            <w:pPr>
              <w:pStyle w:val="86"/>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4F457FF4">
            <w:pPr>
              <w:jc w:val="center"/>
              <w:textAlignment w:val="center"/>
              <w:rPr>
                <w:bCs/>
                <w:kern w:val="0"/>
                <w:szCs w:val="21"/>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1.32</w:t>
            </w:r>
          </w:p>
        </w:tc>
        <w:tc>
          <w:tcPr>
            <w:tcW w:w="1401" w:type="dxa"/>
            <w:vAlign w:val="center"/>
          </w:tcPr>
          <w:p w14:paraId="384A8A69">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1EAC9EA9">
            <w:pPr>
              <w:jc w:val="center"/>
              <w:textAlignment w:val="center"/>
              <w:rPr>
                <w:bCs/>
                <w:kern w:val="0"/>
                <w:szCs w:val="21"/>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1.32</w:t>
            </w:r>
          </w:p>
        </w:tc>
        <w:tc>
          <w:tcPr>
            <w:tcW w:w="1442" w:type="dxa"/>
            <w:vAlign w:val="center"/>
          </w:tcPr>
          <w:p w14:paraId="5F4F7BEE">
            <w:pPr>
              <w:jc w:val="center"/>
              <w:textAlignment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1.32</w:t>
            </w:r>
          </w:p>
        </w:tc>
      </w:tr>
      <w:tr w14:paraId="78287F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148" w:type="dxa"/>
            <w:vMerge w:val="restart"/>
            <w:vAlign w:val="center"/>
          </w:tcPr>
          <w:p w14:paraId="718B5306">
            <w:pPr>
              <w:pStyle w:val="86"/>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1752" w:type="dxa"/>
            <w:vAlign w:val="center"/>
          </w:tcPr>
          <w:p w14:paraId="08FCF94E">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1701" w:type="dxa"/>
            <w:vAlign w:val="center"/>
          </w:tcPr>
          <w:p w14:paraId="6BF4DD01">
            <w:pPr>
              <w:jc w:val="center"/>
              <w:textAlignment w:val="center"/>
              <w:rPr>
                <w:szCs w:val="21"/>
              </w:rPr>
            </w:pPr>
            <w:r>
              <w:rPr>
                <w:rFonts w:ascii="Times New Roman"/>
                <w:snapToGrid w:val="0"/>
                <w:kern w:val="21"/>
                <w:szCs w:val="21"/>
              </w:rPr>
              <w:t>/</w:t>
            </w:r>
          </w:p>
        </w:tc>
        <w:tc>
          <w:tcPr>
            <w:tcW w:w="1168" w:type="dxa"/>
            <w:vAlign w:val="center"/>
          </w:tcPr>
          <w:p w14:paraId="2BCF6DFE">
            <w:pPr>
              <w:pStyle w:val="86"/>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4FBB8236">
            <w:pPr>
              <w:pStyle w:val="86"/>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677F42C2">
            <w:pPr>
              <w:jc w:val="center"/>
              <w:textAlignment w:val="center"/>
              <w:rPr>
                <w:szCs w:val="21"/>
                <w:shd w:val="clear" w:color="auto" w:fill="FFFFFF"/>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0.03</w:t>
            </w:r>
          </w:p>
        </w:tc>
        <w:tc>
          <w:tcPr>
            <w:tcW w:w="1401" w:type="dxa"/>
            <w:vAlign w:val="center"/>
          </w:tcPr>
          <w:p w14:paraId="1830F0F5">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2898B0BC">
            <w:pPr>
              <w:jc w:val="center"/>
              <w:textAlignment w:val="center"/>
              <w:rPr>
                <w:szCs w:val="21"/>
                <w:shd w:val="clear" w:color="auto" w:fill="FFFFFF"/>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0.03</w:t>
            </w:r>
          </w:p>
        </w:tc>
        <w:tc>
          <w:tcPr>
            <w:tcW w:w="1442" w:type="dxa"/>
            <w:vAlign w:val="center"/>
          </w:tcPr>
          <w:p w14:paraId="04C0EBF3">
            <w:pPr>
              <w:jc w:val="center"/>
              <w:textAlignment w:val="center"/>
              <w:rPr>
                <w:szCs w:val="21"/>
                <w:shd w:val="clear" w:color="auto" w:fill="FFFFFF"/>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0.03</w:t>
            </w:r>
          </w:p>
        </w:tc>
      </w:tr>
      <w:tr w14:paraId="74F4C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148" w:type="dxa"/>
            <w:vMerge w:val="continue"/>
            <w:vAlign w:val="center"/>
          </w:tcPr>
          <w:p w14:paraId="3B12A859">
            <w:pPr>
              <w:pStyle w:val="86"/>
              <w:spacing w:beforeLines="0" w:afterLines="0" w:line="240" w:lineRule="auto"/>
              <w:rPr>
                <w:rFonts w:ascii="Times New Roman"/>
                <w:snapToGrid w:val="0"/>
                <w:kern w:val="21"/>
                <w:szCs w:val="21"/>
              </w:rPr>
            </w:pPr>
          </w:p>
        </w:tc>
        <w:tc>
          <w:tcPr>
            <w:tcW w:w="1752" w:type="dxa"/>
            <w:vAlign w:val="center"/>
          </w:tcPr>
          <w:p w14:paraId="55D13805">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1701" w:type="dxa"/>
            <w:vAlign w:val="center"/>
          </w:tcPr>
          <w:p w14:paraId="565F0D61">
            <w:pPr>
              <w:jc w:val="center"/>
              <w:textAlignment w:val="center"/>
              <w:rPr>
                <w:szCs w:val="21"/>
              </w:rPr>
            </w:pPr>
            <w:r>
              <w:rPr>
                <w:rFonts w:ascii="Times New Roman"/>
                <w:snapToGrid w:val="0"/>
                <w:kern w:val="21"/>
                <w:szCs w:val="21"/>
              </w:rPr>
              <w:t>/</w:t>
            </w:r>
          </w:p>
        </w:tc>
        <w:tc>
          <w:tcPr>
            <w:tcW w:w="1168" w:type="dxa"/>
            <w:vAlign w:val="center"/>
          </w:tcPr>
          <w:p w14:paraId="17911BDB">
            <w:pPr>
              <w:pStyle w:val="86"/>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34E65D54">
            <w:pPr>
              <w:pStyle w:val="86"/>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04971EE9">
            <w:pPr>
              <w:jc w:val="center"/>
              <w:textAlignment w:val="cente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0.005</w:t>
            </w:r>
          </w:p>
        </w:tc>
        <w:tc>
          <w:tcPr>
            <w:tcW w:w="1401" w:type="dxa"/>
            <w:vAlign w:val="center"/>
          </w:tcPr>
          <w:p w14:paraId="34897762">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18B5C0EC">
            <w:pPr>
              <w:jc w:val="center"/>
              <w:textAlignment w:val="cente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0.005</w:t>
            </w:r>
          </w:p>
        </w:tc>
        <w:tc>
          <w:tcPr>
            <w:tcW w:w="1442" w:type="dxa"/>
            <w:vAlign w:val="center"/>
          </w:tcPr>
          <w:p w14:paraId="0FB6DACE">
            <w:pPr>
              <w:jc w:val="center"/>
              <w:textAlignment w:val="center"/>
              <w:rPr>
                <w:bCs/>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0.005</w:t>
            </w:r>
          </w:p>
        </w:tc>
      </w:tr>
      <w:tr w14:paraId="5ACDC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148" w:type="dxa"/>
            <w:vMerge w:val="continue"/>
            <w:vAlign w:val="center"/>
          </w:tcPr>
          <w:p w14:paraId="58C7D8E7">
            <w:pPr>
              <w:pStyle w:val="86"/>
              <w:spacing w:beforeLines="0" w:afterLines="0" w:line="240" w:lineRule="auto"/>
              <w:rPr>
                <w:rFonts w:ascii="Times New Roman"/>
                <w:snapToGrid w:val="0"/>
                <w:kern w:val="21"/>
                <w:szCs w:val="21"/>
              </w:rPr>
            </w:pPr>
          </w:p>
        </w:tc>
        <w:tc>
          <w:tcPr>
            <w:tcW w:w="1752" w:type="dxa"/>
            <w:vAlign w:val="center"/>
          </w:tcPr>
          <w:p w14:paraId="05D90125">
            <w:pPr>
              <w:jc w:val="center"/>
              <w:rPr>
                <w:szCs w:val="21"/>
              </w:rPr>
            </w:pPr>
            <w:r>
              <w:rPr>
                <w:rFonts w:hint="default" w:ascii="Times New Roman" w:hAnsi="Times New Roman" w:cs="Times New Roman"/>
                <w:caps w:val="0"/>
                <w:color w:val="000000" w:themeColor="text1"/>
                <w:highlight w:val="none"/>
                <w:lang w:val="en-US" w:eastAsia="zh-CN"/>
                <w14:textFill>
                  <w14:solidFill>
                    <w14:schemeClr w14:val="tx1"/>
                  </w14:solidFill>
                </w14:textFill>
              </w:rPr>
              <w:t>废活性炭</w:t>
            </w:r>
          </w:p>
        </w:tc>
        <w:tc>
          <w:tcPr>
            <w:tcW w:w="1701" w:type="dxa"/>
            <w:vAlign w:val="center"/>
          </w:tcPr>
          <w:p w14:paraId="710D9924">
            <w:pPr>
              <w:jc w:val="center"/>
              <w:textAlignment w:val="center"/>
              <w:rPr>
                <w:szCs w:val="21"/>
              </w:rPr>
            </w:pPr>
            <w:r>
              <w:rPr>
                <w:rFonts w:ascii="Times New Roman"/>
                <w:snapToGrid w:val="0"/>
                <w:kern w:val="21"/>
                <w:szCs w:val="21"/>
              </w:rPr>
              <w:t>/</w:t>
            </w:r>
          </w:p>
        </w:tc>
        <w:tc>
          <w:tcPr>
            <w:tcW w:w="1168" w:type="dxa"/>
            <w:vAlign w:val="center"/>
          </w:tcPr>
          <w:p w14:paraId="31B8FCD4">
            <w:pPr>
              <w:pStyle w:val="86"/>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20C82982">
            <w:pPr>
              <w:pStyle w:val="86"/>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39ED278F">
            <w:pPr>
              <w:jc w:val="center"/>
              <w:textAlignment w:val="cente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6.24</w:t>
            </w:r>
          </w:p>
        </w:tc>
        <w:tc>
          <w:tcPr>
            <w:tcW w:w="1401" w:type="dxa"/>
            <w:vAlign w:val="center"/>
          </w:tcPr>
          <w:p w14:paraId="5A136FCA">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6B4863B">
            <w:pPr>
              <w:jc w:val="center"/>
              <w:textAlignment w:val="cente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6.24</w:t>
            </w:r>
          </w:p>
        </w:tc>
        <w:tc>
          <w:tcPr>
            <w:tcW w:w="1442" w:type="dxa"/>
            <w:vAlign w:val="center"/>
          </w:tcPr>
          <w:p w14:paraId="468E43D9">
            <w:pPr>
              <w:jc w:val="center"/>
              <w:textAlignment w:val="center"/>
              <w:rPr>
                <w:bCs/>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6.24</w:t>
            </w:r>
          </w:p>
        </w:tc>
      </w:tr>
      <w:tr w14:paraId="4B3E8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148" w:type="dxa"/>
            <w:vAlign w:val="center"/>
          </w:tcPr>
          <w:p w14:paraId="44C26439">
            <w:pPr>
              <w:pStyle w:val="86"/>
              <w:spacing w:beforeLines="0" w:afterLines="0" w:line="240" w:lineRule="auto"/>
              <w:rPr>
                <w:rFonts w:ascii="Times New Roman"/>
                <w:snapToGrid w:val="0"/>
                <w:kern w:val="21"/>
                <w:szCs w:val="21"/>
              </w:rPr>
            </w:pPr>
            <w:r>
              <w:rPr>
                <w:rFonts w:ascii="Times New Roman"/>
                <w:snapToGrid w:val="0"/>
                <w:kern w:val="21"/>
                <w:szCs w:val="21"/>
              </w:rPr>
              <w:t>生活垃圾</w:t>
            </w:r>
          </w:p>
        </w:tc>
        <w:tc>
          <w:tcPr>
            <w:tcW w:w="1752" w:type="dxa"/>
            <w:vAlign w:val="center"/>
          </w:tcPr>
          <w:p w14:paraId="708BC6C8">
            <w:pPr>
              <w:jc w:val="center"/>
              <w:rPr>
                <w:rFonts w:eastAsiaTheme="minorEastAsia"/>
                <w:szCs w:val="21"/>
              </w:rPr>
            </w:pPr>
            <w:r>
              <w:rPr>
                <w:rFonts w:hint="eastAsia" w:eastAsiaTheme="minorEastAsia"/>
                <w:szCs w:val="21"/>
              </w:rPr>
              <w:t>生活垃圾</w:t>
            </w:r>
          </w:p>
        </w:tc>
        <w:tc>
          <w:tcPr>
            <w:tcW w:w="1701" w:type="dxa"/>
            <w:vAlign w:val="center"/>
          </w:tcPr>
          <w:p w14:paraId="3D55CBF6">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1F7E6606">
            <w:pPr>
              <w:pStyle w:val="86"/>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4F1CBCDC">
            <w:pPr>
              <w:pStyle w:val="86"/>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1C86251B">
            <w:pPr>
              <w:jc w:val="center"/>
              <w:textAlignment w:val="center"/>
              <w:rPr>
                <w:szCs w:val="21"/>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25</w:t>
            </w:r>
          </w:p>
        </w:tc>
        <w:tc>
          <w:tcPr>
            <w:tcW w:w="1401" w:type="dxa"/>
            <w:vAlign w:val="center"/>
          </w:tcPr>
          <w:p w14:paraId="614A46D6">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798C6B43">
            <w:pPr>
              <w:jc w:val="center"/>
              <w:textAlignment w:val="center"/>
              <w:rPr>
                <w:szCs w:val="21"/>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25</w:t>
            </w:r>
          </w:p>
        </w:tc>
        <w:tc>
          <w:tcPr>
            <w:tcW w:w="1442" w:type="dxa"/>
            <w:vAlign w:val="center"/>
          </w:tcPr>
          <w:p w14:paraId="1AFBDC48">
            <w:pPr>
              <w:jc w:val="center"/>
              <w:textAlignment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25</w:t>
            </w:r>
          </w:p>
        </w:tc>
      </w:tr>
    </w:tbl>
    <w:p w14:paraId="34D9F6D9">
      <w:pPr>
        <w:pStyle w:val="86"/>
        <w:spacing w:before="192" w:beforeLines="80" w:after="24"/>
        <w:jc w:val="left"/>
        <w:rPr>
          <w:sz w:val="24"/>
        </w:rPr>
        <w:sectPr>
          <w:footerReference r:id="rId7"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0" w:num="1"/>
          <w:rtlGutter w:val="0"/>
          <w:docGrid w:linePitch="312" w:charSpace="0"/>
        </w:sect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r>
        <w:tab/>
      </w:r>
    </w:p>
    <w:tbl>
      <w:tblPr>
        <w:tblStyle w:val="58"/>
        <w:tblW w:w="9151"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151"/>
      </w:tblGrid>
      <w:tr w14:paraId="7E6F41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689" w:hRule="atLeast"/>
        </w:trPr>
        <w:tc>
          <w:tcPr>
            <w:tcW w:w="9151" w:type="dxa"/>
          </w:tcPr>
          <w:p w14:paraId="73389E45">
            <w:pPr>
              <w:rPr>
                <w:sz w:val="28"/>
              </w:rPr>
            </w:pPr>
            <w:r>
              <w:rPr>
                <w:sz w:val="28"/>
              </w:rPr>
              <w:t>预审意见：</w:t>
            </w:r>
          </w:p>
          <w:p w14:paraId="5E1CAAFC">
            <w:pPr>
              <w:rPr>
                <w:sz w:val="28"/>
              </w:rPr>
            </w:pPr>
          </w:p>
          <w:p w14:paraId="0CD8715F">
            <w:pPr>
              <w:rPr>
                <w:sz w:val="28"/>
              </w:rPr>
            </w:pPr>
          </w:p>
          <w:p w14:paraId="66820B99">
            <w:pPr>
              <w:rPr>
                <w:sz w:val="28"/>
              </w:rPr>
            </w:pPr>
          </w:p>
          <w:p w14:paraId="2603CE5E">
            <w:pPr>
              <w:rPr>
                <w:sz w:val="28"/>
              </w:rPr>
            </w:pPr>
          </w:p>
          <w:p w14:paraId="7B10A132">
            <w:pPr>
              <w:rPr>
                <w:sz w:val="28"/>
              </w:rPr>
            </w:pPr>
          </w:p>
          <w:p w14:paraId="4804EC15">
            <w:pPr>
              <w:rPr>
                <w:sz w:val="28"/>
              </w:rPr>
            </w:pPr>
          </w:p>
          <w:p w14:paraId="7FE1B146">
            <w:pPr>
              <w:rPr>
                <w:sz w:val="28"/>
              </w:rPr>
            </w:pPr>
          </w:p>
          <w:p w14:paraId="105ACDDB">
            <w:pPr>
              <w:rPr>
                <w:sz w:val="28"/>
              </w:rPr>
            </w:pPr>
          </w:p>
          <w:p w14:paraId="0698151E">
            <w:pPr>
              <w:rPr>
                <w:sz w:val="28"/>
              </w:rPr>
            </w:pPr>
          </w:p>
          <w:p w14:paraId="136EC91D">
            <w:pPr>
              <w:rPr>
                <w:sz w:val="28"/>
              </w:rPr>
            </w:pPr>
          </w:p>
          <w:p w14:paraId="1C260D44">
            <w:pPr>
              <w:rPr>
                <w:sz w:val="28"/>
              </w:rPr>
            </w:pPr>
          </w:p>
          <w:p w14:paraId="7AD7B83A">
            <w:pPr>
              <w:rPr>
                <w:sz w:val="28"/>
              </w:rPr>
            </w:pPr>
          </w:p>
          <w:p w14:paraId="40C370B2">
            <w:pPr>
              <w:rPr>
                <w:sz w:val="28"/>
              </w:rPr>
            </w:pPr>
          </w:p>
          <w:p w14:paraId="24C73E99">
            <w:pPr>
              <w:rPr>
                <w:sz w:val="28"/>
              </w:rPr>
            </w:pPr>
            <w:r>
              <w:rPr>
                <w:sz w:val="28"/>
              </w:rPr>
              <w:t xml:space="preserve">                                                 公章</w:t>
            </w:r>
          </w:p>
          <w:p w14:paraId="0AB93692">
            <w:pPr>
              <w:rPr>
                <w:sz w:val="28"/>
              </w:rPr>
            </w:pPr>
            <w:r>
              <w:rPr>
                <w:sz w:val="28"/>
              </w:rPr>
              <w:t>经办人：                                    年   月   日</w:t>
            </w:r>
          </w:p>
        </w:tc>
      </w:tr>
      <w:tr w14:paraId="164AB8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94" w:hRule="atLeast"/>
        </w:trPr>
        <w:tc>
          <w:tcPr>
            <w:tcW w:w="9151" w:type="dxa"/>
          </w:tcPr>
          <w:p w14:paraId="0D2AEA06">
            <w:pPr>
              <w:rPr>
                <w:sz w:val="28"/>
              </w:rPr>
            </w:pPr>
            <w:r>
              <w:rPr>
                <w:sz w:val="28"/>
              </w:rPr>
              <w:t>下一级行政主管部门审查意见：</w:t>
            </w:r>
          </w:p>
          <w:p w14:paraId="426090DE">
            <w:pPr>
              <w:rPr>
                <w:sz w:val="28"/>
              </w:rPr>
            </w:pPr>
          </w:p>
          <w:p w14:paraId="0DA26054">
            <w:pPr>
              <w:rPr>
                <w:sz w:val="28"/>
              </w:rPr>
            </w:pPr>
          </w:p>
          <w:p w14:paraId="29563B87">
            <w:pPr>
              <w:rPr>
                <w:sz w:val="28"/>
              </w:rPr>
            </w:pPr>
          </w:p>
          <w:p w14:paraId="6C3668AE">
            <w:pPr>
              <w:rPr>
                <w:sz w:val="28"/>
              </w:rPr>
            </w:pPr>
          </w:p>
          <w:p w14:paraId="7E5AD5B7">
            <w:pPr>
              <w:rPr>
                <w:sz w:val="28"/>
              </w:rPr>
            </w:pPr>
          </w:p>
          <w:p w14:paraId="7DC5CD14">
            <w:pPr>
              <w:rPr>
                <w:sz w:val="28"/>
              </w:rPr>
            </w:pPr>
          </w:p>
          <w:p w14:paraId="2859855B">
            <w:pPr>
              <w:rPr>
                <w:sz w:val="28"/>
              </w:rPr>
            </w:pPr>
          </w:p>
          <w:p w14:paraId="0D5DCF1A">
            <w:pPr>
              <w:rPr>
                <w:sz w:val="28"/>
              </w:rPr>
            </w:pPr>
          </w:p>
          <w:p w14:paraId="62DEC028">
            <w:pPr>
              <w:rPr>
                <w:sz w:val="28"/>
              </w:rPr>
            </w:pPr>
          </w:p>
          <w:p w14:paraId="167EA2B7">
            <w:pPr>
              <w:rPr>
                <w:sz w:val="28"/>
              </w:rPr>
            </w:pPr>
          </w:p>
          <w:p w14:paraId="1334F457">
            <w:pPr>
              <w:rPr>
                <w:sz w:val="28"/>
              </w:rPr>
            </w:pPr>
          </w:p>
          <w:p w14:paraId="718E675F">
            <w:pPr>
              <w:rPr>
                <w:sz w:val="28"/>
              </w:rPr>
            </w:pPr>
          </w:p>
          <w:p w14:paraId="7F20A96F">
            <w:pPr>
              <w:rPr>
                <w:sz w:val="28"/>
              </w:rPr>
            </w:pPr>
          </w:p>
          <w:p w14:paraId="23110654">
            <w:pPr>
              <w:rPr>
                <w:sz w:val="28"/>
              </w:rPr>
            </w:pPr>
          </w:p>
          <w:p w14:paraId="5F2C99DB">
            <w:pPr>
              <w:rPr>
                <w:sz w:val="28"/>
              </w:rPr>
            </w:pPr>
          </w:p>
          <w:p w14:paraId="4D17627D">
            <w:pPr>
              <w:rPr>
                <w:sz w:val="28"/>
              </w:rPr>
            </w:pPr>
          </w:p>
          <w:p w14:paraId="152A3FE3">
            <w:pPr>
              <w:rPr>
                <w:sz w:val="28"/>
              </w:rPr>
            </w:pPr>
          </w:p>
          <w:p w14:paraId="10E19F37">
            <w:pPr>
              <w:rPr>
                <w:sz w:val="28"/>
              </w:rPr>
            </w:pPr>
          </w:p>
          <w:p w14:paraId="3AA5B9DA">
            <w:pPr>
              <w:rPr>
                <w:sz w:val="28"/>
              </w:rPr>
            </w:pPr>
            <w:r>
              <w:rPr>
                <w:sz w:val="28"/>
              </w:rPr>
              <w:t xml:space="preserve">                                                 公章</w:t>
            </w:r>
          </w:p>
          <w:p w14:paraId="02D7B4DE">
            <w:pPr>
              <w:rPr>
                <w:sz w:val="28"/>
              </w:rPr>
            </w:pPr>
            <w:r>
              <w:rPr>
                <w:sz w:val="28"/>
              </w:rPr>
              <w:t>经办人：                                    年   月   日</w:t>
            </w:r>
          </w:p>
          <w:p w14:paraId="284265DE">
            <w:pPr>
              <w:rPr>
                <w:sz w:val="28"/>
              </w:rPr>
            </w:pPr>
          </w:p>
        </w:tc>
      </w:tr>
      <w:tr w14:paraId="0E4169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94" w:hRule="atLeast"/>
        </w:trPr>
        <w:tc>
          <w:tcPr>
            <w:tcW w:w="9151" w:type="dxa"/>
          </w:tcPr>
          <w:p w14:paraId="4B945ECA">
            <w:pPr>
              <w:rPr>
                <w:sz w:val="28"/>
              </w:rPr>
            </w:pPr>
            <w:r>
              <w:rPr>
                <w:sz w:val="28"/>
              </w:rPr>
              <w:t>审批意见：</w:t>
            </w:r>
          </w:p>
          <w:p w14:paraId="16053AE2">
            <w:pPr>
              <w:rPr>
                <w:sz w:val="28"/>
              </w:rPr>
            </w:pPr>
          </w:p>
          <w:p w14:paraId="61B0BF39">
            <w:pPr>
              <w:rPr>
                <w:sz w:val="28"/>
              </w:rPr>
            </w:pPr>
          </w:p>
          <w:p w14:paraId="54A4E6B7">
            <w:pPr>
              <w:rPr>
                <w:sz w:val="28"/>
              </w:rPr>
            </w:pPr>
          </w:p>
          <w:p w14:paraId="5533E1BB">
            <w:pPr>
              <w:rPr>
                <w:sz w:val="28"/>
              </w:rPr>
            </w:pPr>
          </w:p>
          <w:p w14:paraId="4267A850">
            <w:pPr>
              <w:rPr>
                <w:sz w:val="28"/>
              </w:rPr>
            </w:pPr>
          </w:p>
          <w:p w14:paraId="1DB0D5B0">
            <w:pPr>
              <w:rPr>
                <w:sz w:val="28"/>
              </w:rPr>
            </w:pPr>
          </w:p>
          <w:p w14:paraId="24028580">
            <w:pPr>
              <w:rPr>
                <w:sz w:val="28"/>
              </w:rPr>
            </w:pPr>
          </w:p>
          <w:p w14:paraId="0FC83AB2">
            <w:pPr>
              <w:rPr>
                <w:sz w:val="28"/>
              </w:rPr>
            </w:pPr>
          </w:p>
          <w:p w14:paraId="0F80852D">
            <w:pPr>
              <w:rPr>
                <w:sz w:val="28"/>
              </w:rPr>
            </w:pPr>
          </w:p>
          <w:p w14:paraId="5081BFE7">
            <w:pPr>
              <w:rPr>
                <w:sz w:val="28"/>
              </w:rPr>
            </w:pPr>
          </w:p>
          <w:p w14:paraId="1CABCF5F">
            <w:pPr>
              <w:rPr>
                <w:sz w:val="28"/>
              </w:rPr>
            </w:pPr>
          </w:p>
          <w:p w14:paraId="063F29CF">
            <w:pPr>
              <w:rPr>
                <w:sz w:val="28"/>
              </w:rPr>
            </w:pPr>
          </w:p>
          <w:p w14:paraId="4033A9D0">
            <w:pPr>
              <w:rPr>
                <w:sz w:val="28"/>
              </w:rPr>
            </w:pPr>
          </w:p>
          <w:p w14:paraId="19067292">
            <w:pPr>
              <w:rPr>
                <w:sz w:val="28"/>
              </w:rPr>
            </w:pPr>
          </w:p>
          <w:p w14:paraId="276614FF">
            <w:pPr>
              <w:rPr>
                <w:sz w:val="28"/>
              </w:rPr>
            </w:pPr>
          </w:p>
          <w:p w14:paraId="124038D5">
            <w:pPr>
              <w:rPr>
                <w:sz w:val="28"/>
              </w:rPr>
            </w:pPr>
          </w:p>
          <w:p w14:paraId="44D0EDB7">
            <w:pPr>
              <w:rPr>
                <w:sz w:val="28"/>
              </w:rPr>
            </w:pPr>
          </w:p>
          <w:p w14:paraId="1E3C5103">
            <w:pPr>
              <w:rPr>
                <w:sz w:val="28"/>
              </w:rPr>
            </w:pPr>
          </w:p>
          <w:p w14:paraId="0AFC972A">
            <w:pPr>
              <w:rPr>
                <w:sz w:val="28"/>
              </w:rPr>
            </w:pPr>
          </w:p>
          <w:p w14:paraId="173FED25">
            <w:pPr>
              <w:rPr>
                <w:sz w:val="28"/>
              </w:rPr>
            </w:pPr>
          </w:p>
          <w:p w14:paraId="0A79517A">
            <w:pPr>
              <w:rPr>
                <w:sz w:val="28"/>
              </w:rPr>
            </w:pPr>
          </w:p>
          <w:p w14:paraId="6B376F2A">
            <w:pPr>
              <w:rPr>
                <w:sz w:val="28"/>
              </w:rPr>
            </w:pPr>
          </w:p>
          <w:p w14:paraId="48B080CA">
            <w:pPr>
              <w:rPr>
                <w:sz w:val="28"/>
              </w:rPr>
            </w:pPr>
          </w:p>
          <w:p w14:paraId="364999D4">
            <w:pPr>
              <w:rPr>
                <w:sz w:val="28"/>
              </w:rPr>
            </w:pPr>
          </w:p>
          <w:p w14:paraId="409F28B1">
            <w:pPr>
              <w:rPr>
                <w:sz w:val="28"/>
              </w:rPr>
            </w:pPr>
          </w:p>
          <w:p w14:paraId="34E8DD80">
            <w:pPr>
              <w:rPr>
                <w:sz w:val="28"/>
              </w:rPr>
            </w:pPr>
          </w:p>
          <w:p w14:paraId="6486511D">
            <w:pPr>
              <w:rPr>
                <w:sz w:val="28"/>
              </w:rPr>
            </w:pPr>
          </w:p>
          <w:p w14:paraId="0FE2A8AB">
            <w:pPr>
              <w:rPr>
                <w:sz w:val="28"/>
              </w:rPr>
            </w:pPr>
          </w:p>
          <w:p w14:paraId="056D6784">
            <w:pPr>
              <w:rPr>
                <w:sz w:val="28"/>
              </w:rPr>
            </w:pPr>
          </w:p>
          <w:p w14:paraId="5128D9B1">
            <w:pPr>
              <w:rPr>
                <w:sz w:val="28"/>
              </w:rPr>
            </w:pPr>
          </w:p>
          <w:p w14:paraId="2734319F">
            <w:pPr>
              <w:rPr>
                <w:sz w:val="28"/>
              </w:rPr>
            </w:pPr>
          </w:p>
          <w:p w14:paraId="18605DD5">
            <w:pPr>
              <w:rPr>
                <w:sz w:val="28"/>
              </w:rPr>
            </w:pPr>
          </w:p>
          <w:p w14:paraId="43FC6947">
            <w:pPr>
              <w:rPr>
                <w:sz w:val="28"/>
              </w:rPr>
            </w:pPr>
          </w:p>
          <w:p w14:paraId="455FABC6">
            <w:pPr>
              <w:rPr>
                <w:sz w:val="28"/>
              </w:rPr>
            </w:pPr>
          </w:p>
          <w:p w14:paraId="024DA2C0">
            <w:pPr>
              <w:rPr>
                <w:sz w:val="28"/>
              </w:rPr>
            </w:pPr>
          </w:p>
          <w:p w14:paraId="77694EBA">
            <w:pPr>
              <w:rPr>
                <w:sz w:val="28"/>
              </w:rPr>
            </w:pPr>
          </w:p>
          <w:p w14:paraId="1DFE3182">
            <w:pPr>
              <w:rPr>
                <w:sz w:val="28"/>
              </w:rPr>
            </w:pPr>
            <w:r>
              <w:rPr>
                <w:sz w:val="28"/>
              </w:rPr>
              <w:t xml:space="preserve">                                                 公章</w:t>
            </w:r>
          </w:p>
          <w:p w14:paraId="3BBDFD0D">
            <w:pPr>
              <w:rPr>
                <w:sz w:val="28"/>
              </w:rPr>
            </w:pPr>
            <w:r>
              <w:rPr>
                <w:sz w:val="28"/>
              </w:rPr>
              <w:t>经办人：                                    年   月   日</w:t>
            </w:r>
          </w:p>
          <w:p w14:paraId="02A1B7BD">
            <w:pPr>
              <w:rPr>
                <w:sz w:val="28"/>
              </w:rPr>
            </w:pPr>
          </w:p>
          <w:p w14:paraId="1112833D">
            <w:pPr>
              <w:rPr>
                <w:sz w:val="28"/>
              </w:rPr>
            </w:pPr>
          </w:p>
        </w:tc>
      </w:tr>
    </w:tbl>
    <w:p w14:paraId="1E06CFCA">
      <w:pPr>
        <w:widowControl/>
        <w:spacing w:line="440" w:lineRule="exact"/>
        <w:jc w:val="left"/>
        <w:rPr>
          <w:b/>
          <w:kern w:val="0"/>
          <w:sz w:val="24"/>
        </w:rPr>
        <w:sectPr>
          <w:footerReference r:id="rId8" w:type="default"/>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pPr>
    </w:p>
    <w:p w14:paraId="14115743">
      <w:pPr>
        <w:widowControl/>
        <w:spacing w:line="440" w:lineRule="exact"/>
        <w:jc w:val="left"/>
        <w:rPr>
          <w:b/>
          <w:kern w:val="0"/>
          <w:sz w:val="24"/>
        </w:rPr>
      </w:pPr>
      <w:r>
        <w:rPr>
          <w:rFonts w:hint="eastAsia"/>
          <w:b/>
          <w:kern w:val="0"/>
          <w:sz w:val="24"/>
        </w:rPr>
        <w:t>附件:</w:t>
      </w:r>
    </w:p>
    <w:p w14:paraId="784D5C1C">
      <w:pPr>
        <w:spacing w:line="460" w:lineRule="exact"/>
        <w:ind w:firstLine="700" w:firstLineChars="292"/>
        <w:rPr>
          <w:sz w:val="24"/>
        </w:rPr>
      </w:pPr>
      <w:r>
        <w:rPr>
          <w:sz w:val="24"/>
        </w:rPr>
        <w:t>附件</w:t>
      </w:r>
      <w:r>
        <w:rPr>
          <w:rFonts w:hint="eastAsia"/>
          <w:sz w:val="24"/>
          <w:lang w:val="en-US" w:eastAsia="zh-CN"/>
        </w:rPr>
        <w:t>1</w:t>
      </w:r>
      <w:r>
        <w:rPr>
          <w:sz w:val="24"/>
        </w:rPr>
        <w:t xml:space="preserve">  委托书</w:t>
      </w:r>
    </w:p>
    <w:p w14:paraId="4AD395E8">
      <w:pPr>
        <w:spacing w:line="460" w:lineRule="exact"/>
        <w:ind w:firstLine="700" w:firstLineChars="292"/>
        <w:rPr>
          <w:sz w:val="24"/>
        </w:rPr>
      </w:pPr>
      <w:r>
        <w:rPr>
          <w:sz w:val="24"/>
        </w:rPr>
        <w:t>附件</w:t>
      </w:r>
      <w:r>
        <w:rPr>
          <w:rFonts w:hint="eastAsia"/>
          <w:sz w:val="24"/>
          <w:lang w:val="en-US" w:eastAsia="zh-CN"/>
        </w:rPr>
        <w:t>2</w:t>
      </w:r>
      <w:r>
        <w:rPr>
          <w:sz w:val="24"/>
        </w:rPr>
        <w:t xml:space="preserve">  声明</w:t>
      </w:r>
    </w:p>
    <w:p w14:paraId="322AC950">
      <w:pPr>
        <w:spacing w:line="460" w:lineRule="exact"/>
        <w:ind w:firstLine="700" w:firstLineChars="292"/>
        <w:rPr>
          <w:sz w:val="24"/>
        </w:rPr>
      </w:pPr>
      <w:r>
        <w:rPr>
          <w:sz w:val="24"/>
        </w:rPr>
        <w:t>附件</w:t>
      </w:r>
      <w:r>
        <w:rPr>
          <w:rFonts w:hint="eastAsia"/>
          <w:sz w:val="24"/>
          <w:lang w:val="en-US" w:eastAsia="zh-CN"/>
        </w:rPr>
        <w:t>3</w:t>
      </w:r>
      <w:r>
        <w:rPr>
          <w:sz w:val="24"/>
        </w:rPr>
        <w:t xml:space="preserve">  立项文件</w:t>
      </w:r>
    </w:p>
    <w:p w14:paraId="2E79C859">
      <w:pPr>
        <w:spacing w:line="460" w:lineRule="exact"/>
        <w:ind w:firstLine="700" w:firstLineChars="292"/>
        <w:rPr>
          <w:sz w:val="24"/>
        </w:rPr>
      </w:pPr>
      <w:r>
        <w:rPr>
          <w:sz w:val="24"/>
        </w:rPr>
        <w:t>附件</w:t>
      </w:r>
      <w:r>
        <w:rPr>
          <w:rFonts w:hint="eastAsia"/>
          <w:sz w:val="24"/>
          <w:lang w:val="en-US" w:eastAsia="zh-CN"/>
        </w:rPr>
        <w:t>4</w:t>
      </w:r>
      <w:r>
        <w:rPr>
          <w:sz w:val="24"/>
        </w:rPr>
        <w:t xml:space="preserve">  营业执照</w:t>
      </w:r>
    </w:p>
    <w:p w14:paraId="1107C059">
      <w:pPr>
        <w:spacing w:line="460" w:lineRule="exact"/>
        <w:ind w:firstLine="700" w:firstLineChars="292"/>
        <w:rPr>
          <w:sz w:val="24"/>
        </w:rPr>
      </w:pPr>
      <w:r>
        <w:rPr>
          <w:sz w:val="24"/>
        </w:rPr>
        <w:t>附件</w:t>
      </w:r>
      <w:r>
        <w:rPr>
          <w:rFonts w:hint="eastAsia"/>
          <w:sz w:val="24"/>
          <w:lang w:val="en-US" w:eastAsia="zh-CN"/>
        </w:rPr>
        <w:t>5</w:t>
      </w:r>
      <w:r>
        <w:rPr>
          <w:sz w:val="24"/>
        </w:rPr>
        <w:t xml:space="preserve">  法人身份证</w:t>
      </w:r>
    </w:p>
    <w:p w14:paraId="716ACAC7">
      <w:pPr>
        <w:spacing w:line="460" w:lineRule="exact"/>
        <w:ind w:firstLine="700" w:firstLineChars="292"/>
        <w:rPr>
          <w:rFonts w:hint="default" w:eastAsia="宋体"/>
          <w:sz w:val="24"/>
          <w:lang w:val="en-US" w:eastAsia="zh-CN"/>
        </w:rPr>
      </w:pPr>
      <w:r>
        <w:rPr>
          <w:sz w:val="24"/>
        </w:rPr>
        <w:t>附件</w:t>
      </w:r>
      <w:r>
        <w:rPr>
          <w:rFonts w:hint="eastAsia"/>
          <w:sz w:val="24"/>
          <w:lang w:val="en-US" w:eastAsia="zh-CN"/>
        </w:rPr>
        <w:t>6</w:t>
      </w:r>
      <w:r>
        <w:rPr>
          <w:rFonts w:hint="eastAsia"/>
          <w:sz w:val="24"/>
        </w:rPr>
        <w:t xml:space="preserve"> </w:t>
      </w:r>
      <w:r>
        <w:rPr>
          <w:sz w:val="24"/>
        </w:rPr>
        <w:t xml:space="preserve"> </w:t>
      </w:r>
      <w:r>
        <w:rPr>
          <w:rFonts w:hint="eastAsia"/>
          <w:sz w:val="24"/>
          <w:lang w:val="en-US" w:eastAsia="zh-CN"/>
        </w:rPr>
        <w:t>产权证</w:t>
      </w:r>
    </w:p>
    <w:p w14:paraId="28F23A31">
      <w:pPr>
        <w:spacing w:line="460" w:lineRule="exact"/>
        <w:ind w:firstLine="700" w:firstLineChars="292"/>
        <w:rPr>
          <w:rFonts w:hint="default" w:eastAsia="宋体"/>
          <w:color w:val="auto"/>
          <w:sz w:val="24"/>
          <w:lang w:val="en-US" w:eastAsia="zh-CN"/>
        </w:rPr>
      </w:pPr>
      <w:r>
        <w:rPr>
          <w:color w:val="auto"/>
          <w:sz w:val="24"/>
        </w:rPr>
        <w:t>附件</w:t>
      </w:r>
      <w:r>
        <w:rPr>
          <w:rFonts w:hint="eastAsia"/>
          <w:color w:val="auto"/>
          <w:sz w:val="24"/>
          <w:lang w:val="en-US" w:eastAsia="zh-CN"/>
        </w:rPr>
        <w:t>7</w:t>
      </w:r>
      <w:r>
        <w:rPr>
          <w:rFonts w:hint="eastAsia"/>
          <w:color w:val="auto"/>
          <w:sz w:val="24"/>
        </w:rPr>
        <w:t xml:space="preserve"> </w:t>
      </w:r>
      <w:r>
        <w:rPr>
          <w:color w:val="auto"/>
          <w:sz w:val="24"/>
        </w:rPr>
        <w:t xml:space="preserve"> </w:t>
      </w:r>
      <w:r>
        <w:rPr>
          <w:rFonts w:hint="eastAsia"/>
          <w:color w:val="auto"/>
          <w:sz w:val="24"/>
          <w:lang w:val="en-US" w:eastAsia="zh-CN"/>
        </w:rPr>
        <w:t>租赁协议</w:t>
      </w:r>
    </w:p>
    <w:p w14:paraId="6FAF340D">
      <w:pPr>
        <w:spacing w:line="460" w:lineRule="exact"/>
        <w:ind w:firstLine="700" w:firstLineChars="292"/>
        <w:rPr>
          <w:rFonts w:hint="eastAsia"/>
          <w:color w:val="auto"/>
          <w:sz w:val="24"/>
        </w:rPr>
      </w:pPr>
      <w:r>
        <w:rPr>
          <w:color w:val="auto"/>
          <w:sz w:val="24"/>
        </w:rPr>
        <w:t>附件</w:t>
      </w:r>
      <w:r>
        <w:rPr>
          <w:rFonts w:hint="eastAsia"/>
          <w:color w:val="auto"/>
          <w:sz w:val="24"/>
          <w:lang w:val="en-US" w:eastAsia="zh-CN"/>
        </w:rPr>
        <w:t>8</w:t>
      </w:r>
      <w:r>
        <w:rPr>
          <w:rFonts w:hint="eastAsia"/>
          <w:color w:val="auto"/>
          <w:sz w:val="24"/>
        </w:rPr>
        <w:t xml:space="preserve"> </w:t>
      </w:r>
      <w:r>
        <w:rPr>
          <w:color w:val="auto"/>
          <w:sz w:val="24"/>
        </w:rPr>
        <w:t xml:space="preserve"> </w:t>
      </w:r>
      <w:r>
        <w:rPr>
          <w:rFonts w:hint="eastAsia"/>
          <w:color w:val="auto"/>
          <w:sz w:val="24"/>
        </w:rPr>
        <w:t>排污许可登记回执</w:t>
      </w:r>
    </w:p>
    <w:p w14:paraId="70AF1655">
      <w:pPr>
        <w:spacing w:line="460" w:lineRule="exact"/>
        <w:ind w:firstLine="700" w:firstLineChars="292"/>
        <w:rPr>
          <w:rFonts w:hint="default" w:eastAsia="宋体"/>
          <w:color w:val="auto"/>
          <w:sz w:val="24"/>
          <w:lang w:val="en-US" w:eastAsia="zh-CN"/>
        </w:rPr>
      </w:pPr>
      <w:r>
        <w:rPr>
          <w:rFonts w:hint="eastAsia"/>
          <w:color w:val="auto"/>
          <w:sz w:val="24"/>
          <w:lang w:val="en-US" w:eastAsia="zh-CN"/>
        </w:rPr>
        <w:t>附件9  计算说明</w:t>
      </w:r>
    </w:p>
    <w:p w14:paraId="0234F984">
      <w:pPr>
        <w:widowControl/>
        <w:spacing w:line="360" w:lineRule="auto"/>
        <w:jc w:val="left"/>
        <w:rPr>
          <w:rFonts w:hint="eastAsia"/>
          <w:b/>
          <w:kern w:val="0"/>
          <w:sz w:val="24"/>
        </w:rPr>
      </w:pPr>
    </w:p>
    <w:p w14:paraId="1A71D68F">
      <w:pPr>
        <w:widowControl/>
        <w:spacing w:line="360" w:lineRule="auto"/>
        <w:jc w:val="left"/>
        <w:rPr>
          <w:rFonts w:hint="eastAsia"/>
          <w:b/>
          <w:kern w:val="0"/>
          <w:sz w:val="24"/>
        </w:rPr>
      </w:pPr>
    </w:p>
    <w:p w14:paraId="72FF5AC4">
      <w:pPr>
        <w:widowControl/>
        <w:spacing w:line="360" w:lineRule="auto"/>
        <w:jc w:val="left"/>
        <w:rPr>
          <w:b/>
          <w:kern w:val="0"/>
          <w:sz w:val="24"/>
        </w:rPr>
      </w:pPr>
      <w:r>
        <w:rPr>
          <w:rFonts w:hint="eastAsia"/>
          <w:b/>
          <w:kern w:val="0"/>
          <w:sz w:val="24"/>
        </w:rPr>
        <w:t>附图:</w:t>
      </w:r>
    </w:p>
    <w:p w14:paraId="494A0771">
      <w:pPr>
        <w:spacing w:line="460" w:lineRule="exact"/>
        <w:ind w:firstLine="700" w:firstLineChars="292"/>
        <w:rPr>
          <w:sz w:val="24"/>
        </w:rPr>
      </w:pPr>
      <w:r>
        <w:rPr>
          <w:sz w:val="24"/>
        </w:rPr>
        <w:t>附图一  项目地理位置图</w:t>
      </w:r>
    </w:p>
    <w:p w14:paraId="380C45CE">
      <w:pPr>
        <w:spacing w:line="460" w:lineRule="exact"/>
        <w:ind w:firstLine="700" w:firstLineChars="292"/>
        <w:rPr>
          <w:rFonts w:hint="default" w:eastAsia="宋体"/>
          <w:sz w:val="24"/>
          <w:lang w:val="en-US" w:eastAsia="zh-CN"/>
        </w:rPr>
      </w:pPr>
      <w:r>
        <w:rPr>
          <w:rFonts w:hint="eastAsia"/>
          <w:sz w:val="24"/>
        </w:rPr>
        <w:t xml:space="preserve">附图二  </w:t>
      </w:r>
      <w:r>
        <w:rPr>
          <w:rFonts w:hint="eastAsia"/>
          <w:sz w:val="24"/>
          <w:lang w:val="en-US" w:eastAsia="zh-CN"/>
        </w:rPr>
        <w:t>周边环境关系图</w:t>
      </w:r>
    </w:p>
    <w:p w14:paraId="49DEBBD0">
      <w:pPr>
        <w:spacing w:line="460" w:lineRule="exact"/>
        <w:ind w:firstLine="700" w:firstLineChars="292"/>
        <w:rPr>
          <w:rFonts w:hint="eastAsia" w:eastAsia="宋体"/>
          <w:sz w:val="24"/>
          <w:lang w:val="en-US" w:eastAsia="zh-CN"/>
        </w:rPr>
      </w:pPr>
      <w:r>
        <w:rPr>
          <w:sz w:val="24"/>
        </w:rPr>
        <w:t>附图三</w:t>
      </w:r>
      <w:r>
        <w:rPr>
          <w:rFonts w:hint="eastAsia"/>
          <w:sz w:val="24"/>
        </w:rPr>
        <w:t xml:space="preserve"> </w:t>
      </w:r>
      <w:r>
        <w:rPr>
          <w:sz w:val="24"/>
        </w:rPr>
        <w:t xml:space="preserve"> </w:t>
      </w:r>
      <w:r>
        <w:rPr>
          <w:rFonts w:hint="eastAsia"/>
          <w:sz w:val="24"/>
          <w:lang w:val="en-US" w:eastAsia="zh-CN"/>
        </w:rPr>
        <w:t>平面布置图</w:t>
      </w:r>
    </w:p>
    <w:p w14:paraId="54B71C36">
      <w:pPr>
        <w:spacing w:line="460" w:lineRule="exact"/>
        <w:ind w:firstLine="700" w:firstLineChars="292"/>
        <w:rPr>
          <w:rFonts w:hint="default" w:eastAsia="宋体"/>
          <w:sz w:val="24"/>
          <w:lang w:val="en-US" w:eastAsia="zh-CN"/>
        </w:rPr>
      </w:pPr>
      <w:r>
        <w:rPr>
          <w:sz w:val="24"/>
        </w:rPr>
        <w:t>附图四</w:t>
      </w:r>
      <w:r>
        <w:rPr>
          <w:rFonts w:hint="eastAsia"/>
          <w:sz w:val="24"/>
        </w:rPr>
        <w:t xml:space="preserve"> </w:t>
      </w:r>
      <w:r>
        <w:rPr>
          <w:sz w:val="24"/>
        </w:rPr>
        <w:t xml:space="preserve"> </w:t>
      </w:r>
      <w:r>
        <w:rPr>
          <w:rFonts w:hint="eastAsia"/>
          <w:sz w:val="24"/>
          <w:lang w:val="en-US" w:eastAsia="zh-CN"/>
        </w:rPr>
        <w:t>项目与芜湖市土地利用现状相对位置图</w:t>
      </w:r>
    </w:p>
    <w:p w14:paraId="1D686950">
      <w:pPr>
        <w:spacing w:line="460" w:lineRule="exact"/>
        <w:ind w:firstLine="700" w:firstLineChars="292"/>
        <w:rPr>
          <w:rFonts w:hint="eastAsia"/>
          <w:sz w:val="24"/>
          <w:lang w:val="en-US" w:eastAsia="zh-CN"/>
        </w:rPr>
      </w:pPr>
      <w:r>
        <w:rPr>
          <w:sz w:val="24"/>
        </w:rPr>
        <w:t>附图五</w:t>
      </w:r>
      <w:r>
        <w:rPr>
          <w:rFonts w:hint="eastAsia"/>
          <w:sz w:val="24"/>
        </w:rPr>
        <w:t xml:space="preserve"> </w:t>
      </w:r>
      <w:r>
        <w:rPr>
          <w:sz w:val="24"/>
        </w:rPr>
        <w:t xml:space="preserve"> </w:t>
      </w:r>
      <w:r>
        <w:rPr>
          <w:rFonts w:hint="eastAsia"/>
          <w:sz w:val="24"/>
          <w:lang w:val="en-US" w:eastAsia="zh-CN"/>
        </w:rPr>
        <w:t>生态红线图</w:t>
      </w:r>
    </w:p>
    <w:p w14:paraId="5478D925">
      <w:pPr>
        <w:spacing w:line="460" w:lineRule="exact"/>
        <w:ind w:firstLine="700" w:firstLineChars="292"/>
        <w:rPr>
          <w:rFonts w:hint="eastAsia"/>
          <w:sz w:val="24"/>
          <w:lang w:val="en-US" w:eastAsia="zh-CN"/>
        </w:rPr>
      </w:pPr>
      <w:r>
        <w:rPr>
          <w:sz w:val="24"/>
        </w:rPr>
        <w:t>附图</w:t>
      </w:r>
      <w:r>
        <w:rPr>
          <w:rFonts w:hint="eastAsia"/>
          <w:sz w:val="24"/>
          <w:lang w:val="en-US" w:eastAsia="zh-CN"/>
        </w:rPr>
        <w:t>六</w:t>
      </w:r>
      <w:r>
        <w:rPr>
          <w:rFonts w:hint="eastAsia"/>
          <w:sz w:val="24"/>
        </w:rPr>
        <w:t xml:space="preserve"> </w:t>
      </w:r>
      <w:r>
        <w:rPr>
          <w:sz w:val="24"/>
        </w:rPr>
        <w:t xml:space="preserve"> </w:t>
      </w:r>
      <w:r>
        <w:rPr>
          <w:rFonts w:hint="eastAsia"/>
          <w:sz w:val="24"/>
          <w:lang w:val="en-US" w:eastAsia="zh-CN"/>
        </w:rPr>
        <w:t>芜湖市“三区三线”图</w:t>
      </w:r>
    </w:p>
    <w:p w14:paraId="1D5FB7B3">
      <w:pPr>
        <w:spacing w:line="460" w:lineRule="exact"/>
        <w:ind w:firstLine="700" w:firstLineChars="292"/>
        <w:rPr>
          <w:rFonts w:hint="eastAsia"/>
          <w:sz w:val="24"/>
          <w:lang w:val="en-US" w:eastAsia="zh-CN"/>
        </w:rPr>
      </w:pPr>
      <w:r>
        <w:rPr>
          <w:rFonts w:hint="eastAsia"/>
          <w:sz w:val="24"/>
          <w:lang w:val="en-US" w:eastAsia="zh-CN"/>
        </w:rPr>
        <w:t>附图七  项目与芜湖市分区管控相对位置图</w:t>
      </w:r>
    </w:p>
    <w:p w14:paraId="179114AA">
      <w:pPr>
        <w:spacing w:line="460" w:lineRule="exact"/>
        <w:ind w:firstLine="700" w:firstLineChars="292"/>
        <w:rPr>
          <w:rFonts w:hint="default"/>
          <w:sz w:val="24"/>
          <w:lang w:val="en-US" w:eastAsia="zh-CN"/>
        </w:rPr>
      </w:pPr>
      <w:r>
        <w:rPr>
          <w:rFonts w:hint="eastAsia"/>
          <w:sz w:val="24"/>
          <w:lang w:val="en-US" w:eastAsia="zh-CN"/>
        </w:rPr>
        <w:t>附图八  项目与芜湖市生态管控单元相对位置图</w:t>
      </w:r>
    </w:p>
    <w:p w14:paraId="55B49E4D">
      <w:pPr>
        <w:spacing w:line="460" w:lineRule="exact"/>
        <w:ind w:firstLine="700" w:firstLineChars="292"/>
        <w:rPr>
          <w:rFonts w:hint="eastAsia"/>
          <w:sz w:val="24"/>
          <w:lang w:val="en-US" w:eastAsia="zh-CN"/>
        </w:rPr>
      </w:pPr>
      <w:r>
        <w:rPr>
          <w:rFonts w:hint="eastAsia"/>
          <w:sz w:val="24"/>
          <w:lang w:val="en-US" w:eastAsia="zh-CN"/>
        </w:rPr>
        <w:t>附图九  芜湖经济技术开发区总体规划图</w:t>
      </w:r>
    </w:p>
    <w:p w14:paraId="34CDFC45">
      <w:pPr>
        <w:spacing w:line="460" w:lineRule="exact"/>
        <w:ind w:firstLine="700" w:firstLineChars="292"/>
        <w:rPr>
          <w:rFonts w:hint="eastAsia"/>
          <w:sz w:val="24"/>
          <w:lang w:val="en-US" w:eastAsia="zh-CN"/>
        </w:rPr>
      </w:pPr>
      <w:r>
        <w:rPr>
          <w:rFonts w:hint="eastAsia"/>
          <w:sz w:val="24"/>
          <w:lang w:val="en-US" w:eastAsia="zh-CN"/>
        </w:rPr>
        <w:t>附图十  控制性详细规划图</w:t>
      </w:r>
    </w:p>
    <w:p w14:paraId="0B86F947">
      <w:pPr>
        <w:pStyle w:val="6"/>
        <w:rPr>
          <w:rFonts w:hint="eastAsia"/>
          <w:lang w:val="en-US" w:eastAsia="zh-CN"/>
        </w:rPr>
      </w:pPr>
    </w:p>
    <w:p w14:paraId="2BE29586">
      <w:pPr>
        <w:pStyle w:val="6"/>
        <w:rPr>
          <w:rFonts w:hint="default"/>
          <w:lang w:val="en-US" w:eastAsia="zh-CN"/>
        </w:rPr>
      </w:pPr>
    </w:p>
    <w:sectPr>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Arial Unicode MS">
    <w:altName w:val="宋体"/>
    <w:panose1 w:val="020B0604020202020204"/>
    <w:charset w:val="86"/>
    <w:family w:val="swiss"/>
    <w:pitch w:val="default"/>
    <w:sig w:usb0="00000000" w:usb1="00000000" w:usb2="0000007F" w:usb3="00000000" w:csb0="203F01FF" w:csb1="DFFF0000"/>
  </w:font>
  <w:font w:name="Tahoma">
    <w:panose1 w:val="020B0604030504040204"/>
    <w:charset w:val="00"/>
    <w:family w:val="swiss"/>
    <w:pitch w:val="default"/>
    <w:sig w:usb0="E1002EFF" w:usb1="C000605B" w:usb2="00000029" w:usb3="00000000" w:csb0="200101FF" w:csb1="20280000"/>
  </w:font>
  <w:font w:name="TimesNewRoman">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ˎ̥">
    <w:altName w:val="Times New Roman"/>
    <w:panose1 w:val="00000000000000000000"/>
    <w:charset w:val="00"/>
    <w:family w:val="roman"/>
    <w:pitch w:val="default"/>
    <w:sig w:usb0="00000000" w:usb1="00000000" w:usb2="00000000" w:usb3="00000000" w:csb0="00000000"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TimesNewRomanPSMT">
    <w:altName w:val="方正舒体"/>
    <w:panose1 w:val="00000000000000000000"/>
    <w:charset w:val="86"/>
    <w:family w:val="auto"/>
    <w:pitch w:val="default"/>
    <w:sig w:usb0="00000000" w:usb1="00000000" w:usb2="00000010" w:usb3="00000000" w:csb0="00060000" w:csb1="00000000"/>
  </w:font>
  <w:font w:name="方正舒体">
    <w:panose1 w:val="02010601030101010101"/>
    <w:charset w:val="86"/>
    <w:family w:val="auto"/>
    <w:pitch w:val="default"/>
    <w:sig w:usb0="00000003" w:usb1="080E0000" w:usb2="00000000" w:usb3="00000000" w:csb0="00040000" w:csb1="00000000"/>
  </w:font>
  <w:font w:name="font-weight : 400">
    <w:altName w:val="Adobe 仿宋 Std R"/>
    <w:panose1 w:val="00000000000000000000"/>
    <w:charset w:val="00"/>
    <w:family w:val="auto"/>
    <w:pitch w:val="default"/>
    <w:sig w:usb0="00000000" w:usb1="00000000" w:usb2="00000000" w:usb3="00000000" w:csb0="00040001" w:csb1="00000000"/>
  </w:font>
  <w:font w:name="Adobe 仿宋 Std R">
    <w:panose1 w:val="02020400000000000000"/>
    <w:charset w:val="86"/>
    <w:family w:val="auto"/>
    <w:pitch w:val="default"/>
    <w:sig w:usb0="00000001" w:usb1="0A0F1810" w:usb2="00000016" w:usb3="00000000" w:csb0="00060007" w:csb1="00000000"/>
  </w:font>
  <w:font w:name="FZShuSong-Z01">
    <w:altName w:val="宋体"/>
    <w:panose1 w:val="00000000000000000000"/>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0" w:csb1="00000000"/>
  </w:font>
  <w:font w:name="Times">
    <w:altName w:val="CG Times"/>
    <w:panose1 w:val="02020603050405020304"/>
    <w:charset w:val="00"/>
    <w:family w:val="roman"/>
    <w:pitch w:val="default"/>
    <w:sig w:usb0="00000000" w:usb1="00000000" w:usb2="00000009" w:usb3="00000000" w:csb0="000001FF" w:csb1="00000000"/>
  </w:font>
  <w:font w:name="CG Times">
    <w:panose1 w:val="02020603050405020304"/>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 w:name="CID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FZXiaoBiaoSong-B05">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E3947">
    <w:pPr>
      <w:pStyle w:val="3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97925">
    <w:pPr>
      <w:pStyle w:val="38"/>
      <w:framePr w:wrap="around" w:vAnchor="text" w:hAnchor="margin" w:xAlign="center" w:y="1"/>
      <w:rPr>
        <w:rStyle w:val="67"/>
      </w:rPr>
    </w:pPr>
    <w:r>
      <w:fldChar w:fldCharType="begin"/>
    </w:r>
    <w:r>
      <w:rPr>
        <w:rStyle w:val="67"/>
      </w:rPr>
      <w:instrText xml:space="preserve">PAGE  </w:instrText>
    </w:r>
    <w:r>
      <w:fldChar w:fldCharType="end"/>
    </w:r>
  </w:p>
  <w:p w14:paraId="037933FF">
    <w:pPr>
      <w:pStyle w:val="3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C15EC">
    <w:pPr>
      <w:pStyle w:val="38"/>
      <w:jc w:val="center"/>
    </w:pPr>
    <w:r>
      <w:fldChar w:fldCharType="begin"/>
    </w:r>
    <w:r>
      <w:instrText xml:space="preserve">PAGE   \* MERGEFORMAT</w:instrText>
    </w:r>
    <w:r>
      <w:fldChar w:fldCharType="separate"/>
    </w:r>
    <w:r>
      <w:rPr>
        <w:lang w:val="zh-CN"/>
      </w:rPr>
      <w:t>32</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CA5A">
    <w:pPr>
      <w:pStyle w:val="38"/>
      <w:jc w:val="center"/>
    </w:pPr>
    <w:r>
      <w:fldChar w:fldCharType="begin"/>
    </w:r>
    <w:r>
      <w:instrText xml:space="preserve">PAGE   \* MERGEFORMAT</w:instrText>
    </w:r>
    <w:r>
      <w:fldChar w:fldCharType="separate"/>
    </w:r>
    <w:r>
      <w:rPr>
        <w:lang w:val="zh-CN"/>
      </w:rPr>
      <w:t>42</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29903">
    <w:pPr>
      <w:pStyle w:val="38"/>
      <w:jc w:val="center"/>
    </w:pPr>
    <w:r>
      <w:fldChar w:fldCharType="begin"/>
    </w:r>
    <w:r>
      <w:instrText xml:space="preserve">PAGE   \* MERGEFORMAT</w:instrText>
    </w:r>
    <w:r>
      <w:fldChar w:fldCharType="separate"/>
    </w:r>
    <w:r>
      <w:rPr>
        <w:lang w:val="zh-CN"/>
      </w:rPr>
      <w:t>56</w:t>
    </w:r>
    <w:r>
      <w:fldChar w:fldCharType="end"/>
    </w:r>
  </w:p>
  <w:p w14:paraId="795502E5">
    <w:pPr>
      <w:pStyle w:val="38"/>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18695">
    <w:pPr>
      <w:pStyle w:val="38"/>
      <w:jc w:val="center"/>
    </w:pPr>
    <w:r>
      <w:fldChar w:fldCharType="begin"/>
    </w:r>
    <w:r>
      <w:instrText xml:space="preserve">PAGE   \* MERGEFORMAT</w:instrText>
    </w:r>
    <w:r>
      <w:fldChar w:fldCharType="separate"/>
    </w:r>
    <w:r>
      <w:rPr>
        <w:lang w:val="zh-CN"/>
      </w:rPr>
      <w:t>59</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DB4325"/>
    <w:multiLevelType w:val="singleLevel"/>
    <w:tmpl w:val="D1DB4325"/>
    <w:lvl w:ilvl="0" w:tentative="0">
      <w:start w:val="5"/>
      <w:numFmt w:val="decimal"/>
      <w:suff w:val="nothing"/>
      <w:lvlText w:val="%1、"/>
      <w:lvlJc w:val="left"/>
    </w:lvl>
  </w:abstractNum>
  <w:abstractNum w:abstractNumId="1">
    <w:nsid w:val="169A4481"/>
    <w:multiLevelType w:val="multilevel"/>
    <w:tmpl w:val="169A4481"/>
    <w:lvl w:ilvl="0" w:tentative="0">
      <w:start w:val="1"/>
      <w:numFmt w:val="decimal"/>
      <w:pStyle w:val="1045"/>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2">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4"/>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214E1B0"/>
    <w:multiLevelType w:val="singleLevel"/>
    <w:tmpl w:val="3214E1B0"/>
    <w:lvl w:ilvl="0" w:tentative="0">
      <w:start w:val="13"/>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00F"/>
    <w:rsid w:val="00002635"/>
    <w:rsid w:val="0000341A"/>
    <w:rsid w:val="000039D4"/>
    <w:rsid w:val="00003D80"/>
    <w:rsid w:val="00003F50"/>
    <w:rsid w:val="00004E8B"/>
    <w:rsid w:val="000060B3"/>
    <w:rsid w:val="00011C27"/>
    <w:rsid w:val="00011E5D"/>
    <w:rsid w:val="0001307F"/>
    <w:rsid w:val="0001312D"/>
    <w:rsid w:val="00013188"/>
    <w:rsid w:val="00014915"/>
    <w:rsid w:val="00017C2C"/>
    <w:rsid w:val="000206EC"/>
    <w:rsid w:val="00020799"/>
    <w:rsid w:val="00022415"/>
    <w:rsid w:val="00022E34"/>
    <w:rsid w:val="00022FCF"/>
    <w:rsid w:val="00023261"/>
    <w:rsid w:val="0002391C"/>
    <w:rsid w:val="00024629"/>
    <w:rsid w:val="0002481C"/>
    <w:rsid w:val="00024D6F"/>
    <w:rsid w:val="00025BF1"/>
    <w:rsid w:val="00031419"/>
    <w:rsid w:val="00031663"/>
    <w:rsid w:val="000318D9"/>
    <w:rsid w:val="00031DB5"/>
    <w:rsid w:val="00031FEA"/>
    <w:rsid w:val="00032120"/>
    <w:rsid w:val="000321A7"/>
    <w:rsid w:val="00036FC1"/>
    <w:rsid w:val="0003702C"/>
    <w:rsid w:val="00037E7B"/>
    <w:rsid w:val="000402C9"/>
    <w:rsid w:val="000406E1"/>
    <w:rsid w:val="00040B36"/>
    <w:rsid w:val="00040F2F"/>
    <w:rsid w:val="00041C54"/>
    <w:rsid w:val="00041EC1"/>
    <w:rsid w:val="000421B2"/>
    <w:rsid w:val="0004364B"/>
    <w:rsid w:val="000472AA"/>
    <w:rsid w:val="000473F4"/>
    <w:rsid w:val="00047EA5"/>
    <w:rsid w:val="0005127F"/>
    <w:rsid w:val="000516F6"/>
    <w:rsid w:val="00051BBE"/>
    <w:rsid w:val="00054DDA"/>
    <w:rsid w:val="00056045"/>
    <w:rsid w:val="00056066"/>
    <w:rsid w:val="00056694"/>
    <w:rsid w:val="000566C7"/>
    <w:rsid w:val="00061B1F"/>
    <w:rsid w:val="00062DD5"/>
    <w:rsid w:val="0006332D"/>
    <w:rsid w:val="000636A3"/>
    <w:rsid w:val="000639C2"/>
    <w:rsid w:val="0006406C"/>
    <w:rsid w:val="00065146"/>
    <w:rsid w:val="00065BA3"/>
    <w:rsid w:val="00065D2F"/>
    <w:rsid w:val="00067061"/>
    <w:rsid w:val="0006727C"/>
    <w:rsid w:val="0007012A"/>
    <w:rsid w:val="0007275F"/>
    <w:rsid w:val="000733C4"/>
    <w:rsid w:val="00074112"/>
    <w:rsid w:val="00074783"/>
    <w:rsid w:val="00074BD8"/>
    <w:rsid w:val="00077807"/>
    <w:rsid w:val="00077A0A"/>
    <w:rsid w:val="000806E3"/>
    <w:rsid w:val="0008070B"/>
    <w:rsid w:val="00080B5F"/>
    <w:rsid w:val="000810AC"/>
    <w:rsid w:val="00081651"/>
    <w:rsid w:val="00081A02"/>
    <w:rsid w:val="00082231"/>
    <w:rsid w:val="000825F5"/>
    <w:rsid w:val="00083128"/>
    <w:rsid w:val="000837AB"/>
    <w:rsid w:val="00084569"/>
    <w:rsid w:val="00084BAB"/>
    <w:rsid w:val="00085DA7"/>
    <w:rsid w:val="00087300"/>
    <w:rsid w:val="00087B7D"/>
    <w:rsid w:val="00090471"/>
    <w:rsid w:val="00090D48"/>
    <w:rsid w:val="00091B43"/>
    <w:rsid w:val="00092448"/>
    <w:rsid w:val="00092673"/>
    <w:rsid w:val="00092D38"/>
    <w:rsid w:val="0009319F"/>
    <w:rsid w:val="0009377B"/>
    <w:rsid w:val="00093F64"/>
    <w:rsid w:val="00094270"/>
    <w:rsid w:val="0009470F"/>
    <w:rsid w:val="00094847"/>
    <w:rsid w:val="00095542"/>
    <w:rsid w:val="00095C3D"/>
    <w:rsid w:val="00095EEC"/>
    <w:rsid w:val="0009672D"/>
    <w:rsid w:val="000972D6"/>
    <w:rsid w:val="000A0362"/>
    <w:rsid w:val="000A039F"/>
    <w:rsid w:val="000A0CDC"/>
    <w:rsid w:val="000A0D02"/>
    <w:rsid w:val="000A20C9"/>
    <w:rsid w:val="000A3F43"/>
    <w:rsid w:val="000A59CE"/>
    <w:rsid w:val="000A59E2"/>
    <w:rsid w:val="000A7254"/>
    <w:rsid w:val="000B058F"/>
    <w:rsid w:val="000B07DB"/>
    <w:rsid w:val="000B115B"/>
    <w:rsid w:val="000B1470"/>
    <w:rsid w:val="000B26EC"/>
    <w:rsid w:val="000B305B"/>
    <w:rsid w:val="000B3675"/>
    <w:rsid w:val="000B42D3"/>
    <w:rsid w:val="000B4467"/>
    <w:rsid w:val="000B4DB9"/>
    <w:rsid w:val="000B5D6D"/>
    <w:rsid w:val="000B6F11"/>
    <w:rsid w:val="000B7156"/>
    <w:rsid w:val="000C068C"/>
    <w:rsid w:val="000C09AC"/>
    <w:rsid w:val="000C0BAF"/>
    <w:rsid w:val="000C1AB2"/>
    <w:rsid w:val="000C2435"/>
    <w:rsid w:val="000C2F0B"/>
    <w:rsid w:val="000C4672"/>
    <w:rsid w:val="000C47D1"/>
    <w:rsid w:val="000C4881"/>
    <w:rsid w:val="000C6145"/>
    <w:rsid w:val="000C6446"/>
    <w:rsid w:val="000C648D"/>
    <w:rsid w:val="000C767F"/>
    <w:rsid w:val="000D11EA"/>
    <w:rsid w:val="000D3005"/>
    <w:rsid w:val="000D31D0"/>
    <w:rsid w:val="000D35B8"/>
    <w:rsid w:val="000D3978"/>
    <w:rsid w:val="000D4138"/>
    <w:rsid w:val="000D4585"/>
    <w:rsid w:val="000D4F07"/>
    <w:rsid w:val="000D5224"/>
    <w:rsid w:val="000D5A44"/>
    <w:rsid w:val="000D5F89"/>
    <w:rsid w:val="000D605C"/>
    <w:rsid w:val="000D76F4"/>
    <w:rsid w:val="000E0A68"/>
    <w:rsid w:val="000E1747"/>
    <w:rsid w:val="000E1F36"/>
    <w:rsid w:val="000E2F5F"/>
    <w:rsid w:val="000E3B86"/>
    <w:rsid w:val="000E3ED2"/>
    <w:rsid w:val="000E42C7"/>
    <w:rsid w:val="000E462C"/>
    <w:rsid w:val="000E5E4B"/>
    <w:rsid w:val="000E66B4"/>
    <w:rsid w:val="000F04E2"/>
    <w:rsid w:val="000F04F6"/>
    <w:rsid w:val="000F08F4"/>
    <w:rsid w:val="000F1DEB"/>
    <w:rsid w:val="000F2283"/>
    <w:rsid w:val="000F3BFE"/>
    <w:rsid w:val="000F6201"/>
    <w:rsid w:val="000F6769"/>
    <w:rsid w:val="000F7028"/>
    <w:rsid w:val="00100924"/>
    <w:rsid w:val="00100BDA"/>
    <w:rsid w:val="00102B3B"/>
    <w:rsid w:val="00103ED0"/>
    <w:rsid w:val="0010405C"/>
    <w:rsid w:val="0010414D"/>
    <w:rsid w:val="0010484E"/>
    <w:rsid w:val="00104C56"/>
    <w:rsid w:val="00104F48"/>
    <w:rsid w:val="00104F7B"/>
    <w:rsid w:val="00105578"/>
    <w:rsid w:val="0010634A"/>
    <w:rsid w:val="00107D45"/>
    <w:rsid w:val="001103BC"/>
    <w:rsid w:val="001112E9"/>
    <w:rsid w:val="001122F1"/>
    <w:rsid w:val="00112326"/>
    <w:rsid w:val="001145DF"/>
    <w:rsid w:val="00115B66"/>
    <w:rsid w:val="00116322"/>
    <w:rsid w:val="001241AB"/>
    <w:rsid w:val="00124D7D"/>
    <w:rsid w:val="001255D9"/>
    <w:rsid w:val="00125D68"/>
    <w:rsid w:val="00125EC2"/>
    <w:rsid w:val="00126109"/>
    <w:rsid w:val="00126DBD"/>
    <w:rsid w:val="00127539"/>
    <w:rsid w:val="00127D0F"/>
    <w:rsid w:val="00130B35"/>
    <w:rsid w:val="00131204"/>
    <w:rsid w:val="00131397"/>
    <w:rsid w:val="00131CC7"/>
    <w:rsid w:val="00131F42"/>
    <w:rsid w:val="0013419B"/>
    <w:rsid w:val="00134909"/>
    <w:rsid w:val="00135412"/>
    <w:rsid w:val="001357F1"/>
    <w:rsid w:val="00137104"/>
    <w:rsid w:val="001374DE"/>
    <w:rsid w:val="00137512"/>
    <w:rsid w:val="0013771E"/>
    <w:rsid w:val="00137FA9"/>
    <w:rsid w:val="001406C9"/>
    <w:rsid w:val="001409A9"/>
    <w:rsid w:val="00140FA8"/>
    <w:rsid w:val="00142FEB"/>
    <w:rsid w:val="0014305D"/>
    <w:rsid w:val="00143A2D"/>
    <w:rsid w:val="00144872"/>
    <w:rsid w:val="00145A41"/>
    <w:rsid w:val="0014644E"/>
    <w:rsid w:val="00146BDC"/>
    <w:rsid w:val="00147109"/>
    <w:rsid w:val="00147340"/>
    <w:rsid w:val="00147428"/>
    <w:rsid w:val="001477FE"/>
    <w:rsid w:val="001512B1"/>
    <w:rsid w:val="00151675"/>
    <w:rsid w:val="001524F0"/>
    <w:rsid w:val="00152BFB"/>
    <w:rsid w:val="0015310D"/>
    <w:rsid w:val="00153E41"/>
    <w:rsid w:val="00153F93"/>
    <w:rsid w:val="001541D0"/>
    <w:rsid w:val="00154F78"/>
    <w:rsid w:val="00154FC1"/>
    <w:rsid w:val="0015567D"/>
    <w:rsid w:val="00156218"/>
    <w:rsid w:val="0015625E"/>
    <w:rsid w:val="001563AD"/>
    <w:rsid w:val="00157435"/>
    <w:rsid w:val="00157C98"/>
    <w:rsid w:val="00160651"/>
    <w:rsid w:val="0016334F"/>
    <w:rsid w:val="00164369"/>
    <w:rsid w:val="001646BF"/>
    <w:rsid w:val="00165E0C"/>
    <w:rsid w:val="001662E2"/>
    <w:rsid w:val="001677A0"/>
    <w:rsid w:val="00167A51"/>
    <w:rsid w:val="00170B5A"/>
    <w:rsid w:val="00170CA5"/>
    <w:rsid w:val="001716CB"/>
    <w:rsid w:val="00172763"/>
    <w:rsid w:val="001738BC"/>
    <w:rsid w:val="0017482B"/>
    <w:rsid w:val="00174964"/>
    <w:rsid w:val="00174AF1"/>
    <w:rsid w:val="00174CC2"/>
    <w:rsid w:val="0017504D"/>
    <w:rsid w:val="0017582A"/>
    <w:rsid w:val="00176245"/>
    <w:rsid w:val="001763C0"/>
    <w:rsid w:val="0017666A"/>
    <w:rsid w:val="0017671A"/>
    <w:rsid w:val="00177422"/>
    <w:rsid w:val="001779D4"/>
    <w:rsid w:val="00177A8F"/>
    <w:rsid w:val="00177AE6"/>
    <w:rsid w:val="00177AF3"/>
    <w:rsid w:val="00177CDF"/>
    <w:rsid w:val="00180159"/>
    <w:rsid w:val="00180FF6"/>
    <w:rsid w:val="001813B3"/>
    <w:rsid w:val="00181B32"/>
    <w:rsid w:val="00181C34"/>
    <w:rsid w:val="00181F55"/>
    <w:rsid w:val="00182A31"/>
    <w:rsid w:val="00183153"/>
    <w:rsid w:val="001832D1"/>
    <w:rsid w:val="00184590"/>
    <w:rsid w:val="00184E9F"/>
    <w:rsid w:val="0018678F"/>
    <w:rsid w:val="001870D1"/>
    <w:rsid w:val="0018781E"/>
    <w:rsid w:val="00190870"/>
    <w:rsid w:val="00190ACF"/>
    <w:rsid w:val="00191CC6"/>
    <w:rsid w:val="0019218B"/>
    <w:rsid w:val="0019262D"/>
    <w:rsid w:val="001928E1"/>
    <w:rsid w:val="00192D6F"/>
    <w:rsid w:val="001931D4"/>
    <w:rsid w:val="00193325"/>
    <w:rsid w:val="00193584"/>
    <w:rsid w:val="00194321"/>
    <w:rsid w:val="001955FB"/>
    <w:rsid w:val="001A03DF"/>
    <w:rsid w:val="001A0694"/>
    <w:rsid w:val="001A1B35"/>
    <w:rsid w:val="001A27B4"/>
    <w:rsid w:val="001A35DA"/>
    <w:rsid w:val="001A385D"/>
    <w:rsid w:val="001A48A2"/>
    <w:rsid w:val="001A5CD2"/>
    <w:rsid w:val="001A5F29"/>
    <w:rsid w:val="001A63F0"/>
    <w:rsid w:val="001A69B7"/>
    <w:rsid w:val="001A6F61"/>
    <w:rsid w:val="001A758B"/>
    <w:rsid w:val="001A7652"/>
    <w:rsid w:val="001A7823"/>
    <w:rsid w:val="001A7E86"/>
    <w:rsid w:val="001B10DE"/>
    <w:rsid w:val="001B22D6"/>
    <w:rsid w:val="001B2B54"/>
    <w:rsid w:val="001B2CBB"/>
    <w:rsid w:val="001B337A"/>
    <w:rsid w:val="001B3E0B"/>
    <w:rsid w:val="001B501E"/>
    <w:rsid w:val="001B72B8"/>
    <w:rsid w:val="001B7AD3"/>
    <w:rsid w:val="001B7E9C"/>
    <w:rsid w:val="001C0F10"/>
    <w:rsid w:val="001C148E"/>
    <w:rsid w:val="001C1EB0"/>
    <w:rsid w:val="001C2066"/>
    <w:rsid w:val="001C2BC6"/>
    <w:rsid w:val="001C33C1"/>
    <w:rsid w:val="001C69B3"/>
    <w:rsid w:val="001C7C54"/>
    <w:rsid w:val="001D0BC0"/>
    <w:rsid w:val="001D0CA8"/>
    <w:rsid w:val="001D18E7"/>
    <w:rsid w:val="001D1D35"/>
    <w:rsid w:val="001D1FAE"/>
    <w:rsid w:val="001D2C3D"/>
    <w:rsid w:val="001D3B9F"/>
    <w:rsid w:val="001D4610"/>
    <w:rsid w:val="001D5434"/>
    <w:rsid w:val="001D5595"/>
    <w:rsid w:val="001D5F24"/>
    <w:rsid w:val="001D6550"/>
    <w:rsid w:val="001D69DE"/>
    <w:rsid w:val="001D73AA"/>
    <w:rsid w:val="001D755D"/>
    <w:rsid w:val="001D7874"/>
    <w:rsid w:val="001D7CCA"/>
    <w:rsid w:val="001D7F22"/>
    <w:rsid w:val="001E29D0"/>
    <w:rsid w:val="001E2D8C"/>
    <w:rsid w:val="001E4B95"/>
    <w:rsid w:val="001E5626"/>
    <w:rsid w:val="001E76AF"/>
    <w:rsid w:val="001E7F83"/>
    <w:rsid w:val="001F00E7"/>
    <w:rsid w:val="001F00F1"/>
    <w:rsid w:val="001F083F"/>
    <w:rsid w:val="001F0AC9"/>
    <w:rsid w:val="001F0F17"/>
    <w:rsid w:val="001F1038"/>
    <w:rsid w:val="001F1385"/>
    <w:rsid w:val="001F1877"/>
    <w:rsid w:val="001F2205"/>
    <w:rsid w:val="001F22D0"/>
    <w:rsid w:val="001F26C7"/>
    <w:rsid w:val="001F278D"/>
    <w:rsid w:val="001F2B5E"/>
    <w:rsid w:val="001F3034"/>
    <w:rsid w:val="001F3347"/>
    <w:rsid w:val="001F4BBF"/>
    <w:rsid w:val="001F4D8A"/>
    <w:rsid w:val="001F5DFE"/>
    <w:rsid w:val="001F6283"/>
    <w:rsid w:val="001F69E4"/>
    <w:rsid w:val="002010DD"/>
    <w:rsid w:val="0020220E"/>
    <w:rsid w:val="00202E19"/>
    <w:rsid w:val="00203ADA"/>
    <w:rsid w:val="00203E54"/>
    <w:rsid w:val="00211BD7"/>
    <w:rsid w:val="002125B4"/>
    <w:rsid w:val="00212E24"/>
    <w:rsid w:val="00213560"/>
    <w:rsid w:val="002155B8"/>
    <w:rsid w:val="002176BA"/>
    <w:rsid w:val="002208F4"/>
    <w:rsid w:val="002213BF"/>
    <w:rsid w:val="00222B94"/>
    <w:rsid w:val="002236BE"/>
    <w:rsid w:val="002236EA"/>
    <w:rsid w:val="0022383F"/>
    <w:rsid w:val="00223C1E"/>
    <w:rsid w:val="00224839"/>
    <w:rsid w:val="002249B2"/>
    <w:rsid w:val="002254BB"/>
    <w:rsid w:val="00225C39"/>
    <w:rsid w:val="00226444"/>
    <w:rsid w:val="00226574"/>
    <w:rsid w:val="00226B3B"/>
    <w:rsid w:val="002278EC"/>
    <w:rsid w:val="00227C9B"/>
    <w:rsid w:val="002302C0"/>
    <w:rsid w:val="00230FCB"/>
    <w:rsid w:val="00231139"/>
    <w:rsid w:val="002312CE"/>
    <w:rsid w:val="0023205A"/>
    <w:rsid w:val="0023280E"/>
    <w:rsid w:val="00232EF2"/>
    <w:rsid w:val="00233015"/>
    <w:rsid w:val="00233242"/>
    <w:rsid w:val="0023475E"/>
    <w:rsid w:val="002358F5"/>
    <w:rsid w:val="00235BBB"/>
    <w:rsid w:val="00236788"/>
    <w:rsid w:val="002377D1"/>
    <w:rsid w:val="0023795C"/>
    <w:rsid w:val="002379B8"/>
    <w:rsid w:val="00240C3E"/>
    <w:rsid w:val="00241243"/>
    <w:rsid w:val="00242895"/>
    <w:rsid w:val="00242D2A"/>
    <w:rsid w:val="002438BA"/>
    <w:rsid w:val="0024407C"/>
    <w:rsid w:val="002452AD"/>
    <w:rsid w:val="00245DB7"/>
    <w:rsid w:val="002469B5"/>
    <w:rsid w:val="00246BBF"/>
    <w:rsid w:val="0025004C"/>
    <w:rsid w:val="0025013A"/>
    <w:rsid w:val="002506BC"/>
    <w:rsid w:val="002507D6"/>
    <w:rsid w:val="002525D1"/>
    <w:rsid w:val="00252FDB"/>
    <w:rsid w:val="002533B2"/>
    <w:rsid w:val="00253BF8"/>
    <w:rsid w:val="00253ECD"/>
    <w:rsid w:val="00254345"/>
    <w:rsid w:val="0025792B"/>
    <w:rsid w:val="0026001E"/>
    <w:rsid w:val="00260117"/>
    <w:rsid w:val="00260BC5"/>
    <w:rsid w:val="0026130D"/>
    <w:rsid w:val="00261C81"/>
    <w:rsid w:val="00261E2E"/>
    <w:rsid w:val="00262B0A"/>
    <w:rsid w:val="00262FB5"/>
    <w:rsid w:val="00264207"/>
    <w:rsid w:val="00264557"/>
    <w:rsid w:val="002647D3"/>
    <w:rsid w:val="00265E16"/>
    <w:rsid w:val="00266592"/>
    <w:rsid w:val="00266753"/>
    <w:rsid w:val="00267E52"/>
    <w:rsid w:val="00270323"/>
    <w:rsid w:val="0027058D"/>
    <w:rsid w:val="00271194"/>
    <w:rsid w:val="00271780"/>
    <w:rsid w:val="002728F4"/>
    <w:rsid w:val="00273561"/>
    <w:rsid w:val="00273A2F"/>
    <w:rsid w:val="00274B07"/>
    <w:rsid w:val="00275D11"/>
    <w:rsid w:val="00275F30"/>
    <w:rsid w:val="0027600E"/>
    <w:rsid w:val="00276415"/>
    <w:rsid w:val="002768F1"/>
    <w:rsid w:val="0027717D"/>
    <w:rsid w:val="00277395"/>
    <w:rsid w:val="00277CBD"/>
    <w:rsid w:val="00280161"/>
    <w:rsid w:val="002805AB"/>
    <w:rsid w:val="002808C8"/>
    <w:rsid w:val="00280B7B"/>
    <w:rsid w:val="00281663"/>
    <w:rsid w:val="00282A51"/>
    <w:rsid w:val="00282ED7"/>
    <w:rsid w:val="00283156"/>
    <w:rsid w:val="002833EC"/>
    <w:rsid w:val="00284204"/>
    <w:rsid w:val="00284700"/>
    <w:rsid w:val="0028495B"/>
    <w:rsid w:val="00285340"/>
    <w:rsid w:val="00285A97"/>
    <w:rsid w:val="002862A3"/>
    <w:rsid w:val="002864A6"/>
    <w:rsid w:val="00286A1C"/>
    <w:rsid w:val="0028779C"/>
    <w:rsid w:val="00287821"/>
    <w:rsid w:val="0029012C"/>
    <w:rsid w:val="00290E55"/>
    <w:rsid w:val="0029114A"/>
    <w:rsid w:val="00291168"/>
    <w:rsid w:val="00291773"/>
    <w:rsid w:val="002924F8"/>
    <w:rsid w:val="002932E0"/>
    <w:rsid w:val="00293683"/>
    <w:rsid w:val="002947A9"/>
    <w:rsid w:val="00295A2C"/>
    <w:rsid w:val="0029606A"/>
    <w:rsid w:val="00296709"/>
    <w:rsid w:val="0029688A"/>
    <w:rsid w:val="0029793B"/>
    <w:rsid w:val="002A168C"/>
    <w:rsid w:val="002A210F"/>
    <w:rsid w:val="002A2AC1"/>
    <w:rsid w:val="002A2E03"/>
    <w:rsid w:val="002A2EB3"/>
    <w:rsid w:val="002A3DC7"/>
    <w:rsid w:val="002A4315"/>
    <w:rsid w:val="002A4A6C"/>
    <w:rsid w:val="002A4D82"/>
    <w:rsid w:val="002A5AC5"/>
    <w:rsid w:val="002A7193"/>
    <w:rsid w:val="002A7209"/>
    <w:rsid w:val="002A73E3"/>
    <w:rsid w:val="002B005C"/>
    <w:rsid w:val="002B0242"/>
    <w:rsid w:val="002B1CCB"/>
    <w:rsid w:val="002B2BF5"/>
    <w:rsid w:val="002B2FE3"/>
    <w:rsid w:val="002B3CFD"/>
    <w:rsid w:val="002B49E2"/>
    <w:rsid w:val="002B7B00"/>
    <w:rsid w:val="002B7C44"/>
    <w:rsid w:val="002B7D80"/>
    <w:rsid w:val="002C002A"/>
    <w:rsid w:val="002C0C48"/>
    <w:rsid w:val="002C29E2"/>
    <w:rsid w:val="002C2B17"/>
    <w:rsid w:val="002C3477"/>
    <w:rsid w:val="002C347B"/>
    <w:rsid w:val="002C37B2"/>
    <w:rsid w:val="002C3A65"/>
    <w:rsid w:val="002C427D"/>
    <w:rsid w:val="002C4CBD"/>
    <w:rsid w:val="002C4EDE"/>
    <w:rsid w:val="002C5D18"/>
    <w:rsid w:val="002C5E20"/>
    <w:rsid w:val="002C67C8"/>
    <w:rsid w:val="002C78A3"/>
    <w:rsid w:val="002D0DD1"/>
    <w:rsid w:val="002D0FF0"/>
    <w:rsid w:val="002D1092"/>
    <w:rsid w:val="002D1598"/>
    <w:rsid w:val="002D1ECE"/>
    <w:rsid w:val="002D2F45"/>
    <w:rsid w:val="002D3503"/>
    <w:rsid w:val="002D3DD0"/>
    <w:rsid w:val="002D4555"/>
    <w:rsid w:val="002D45E5"/>
    <w:rsid w:val="002D480C"/>
    <w:rsid w:val="002D559F"/>
    <w:rsid w:val="002D701A"/>
    <w:rsid w:val="002D7D81"/>
    <w:rsid w:val="002E0E7E"/>
    <w:rsid w:val="002E1F3A"/>
    <w:rsid w:val="002E200E"/>
    <w:rsid w:val="002E2586"/>
    <w:rsid w:val="002E264F"/>
    <w:rsid w:val="002E2961"/>
    <w:rsid w:val="002E298A"/>
    <w:rsid w:val="002E3B9C"/>
    <w:rsid w:val="002E7BC2"/>
    <w:rsid w:val="002F0E2D"/>
    <w:rsid w:val="002F1772"/>
    <w:rsid w:val="002F2570"/>
    <w:rsid w:val="002F2B32"/>
    <w:rsid w:val="002F37E6"/>
    <w:rsid w:val="002F42F1"/>
    <w:rsid w:val="002F458A"/>
    <w:rsid w:val="002F63EE"/>
    <w:rsid w:val="002F7828"/>
    <w:rsid w:val="002F7FEB"/>
    <w:rsid w:val="00301631"/>
    <w:rsid w:val="0030170C"/>
    <w:rsid w:val="00301978"/>
    <w:rsid w:val="003025E4"/>
    <w:rsid w:val="0030332C"/>
    <w:rsid w:val="00303968"/>
    <w:rsid w:val="003051C2"/>
    <w:rsid w:val="00306244"/>
    <w:rsid w:val="0031025C"/>
    <w:rsid w:val="00312296"/>
    <w:rsid w:val="0031269F"/>
    <w:rsid w:val="00313CED"/>
    <w:rsid w:val="00314CF1"/>
    <w:rsid w:val="00314F0E"/>
    <w:rsid w:val="00315E39"/>
    <w:rsid w:val="003170AE"/>
    <w:rsid w:val="0031712F"/>
    <w:rsid w:val="00317C4A"/>
    <w:rsid w:val="00321D8E"/>
    <w:rsid w:val="0032400A"/>
    <w:rsid w:val="00324D8C"/>
    <w:rsid w:val="00324F5C"/>
    <w:rsid w:val="00325928"/>
    <w:rsid w:val="00326188"/>
    <w:rsid w:val="003320D5"/>
    <w:rsid w:val="00332863"/>
    <w:rsid w:val="0033684D"/>
    <w:rsid w:val="0033727C"/>
    <w:rsid w:val="00337B42"/>
    <w:rsid w:val="00340726"/>
    <w:rsid w:val="003415BF"/>
    <w:rsid w:val="00341B42"/>
    <w:rsid w:val="00342E48"/>
    <w:rsid w:val="0034348F"/>
    <w:rsid w:val="00343735"/>
    <w:rsid w:val="0034393B"/>
    <w:rsid w:val="00345D65"/>
    <w:rsid w:val="00345DDF"/>
    <w:rsid w:val="00347705"/>
    <w:rsid w:val="003510DC"/>
    <w:rsid w:val="003512DF"/>
    <w:rsid w:val="0035417E"/>
    <w:rsid w:val="00356653"/>
    <w:rsid w:val="0035680A"/>
    <w:rsid w:val="00356BB6"/>
    <w:rsid w:val="00356DEA"/>
    <w:rsid w:val="00357001"/>
    <w:rsid w:val="0035728D"/>
    <w:rsid w:val="003573A6"/>
    <w:rsid w:val="0035743F"/>
    <w:rsid w:val="003579B4"/>
    <w:rsid w:val="00357A4B"/>
    <w:rsid w:val="00357BE2"/>
    <w:rsid w:val="003603AA"/>
    <w:rsid w:val="003608CB"/>
    <w:rsid w:val="00361622"/>
    <w:rsid w:val="0036170C"/>
    <w:rsid w:val="00361988"/>
    <w:rsid w:val="00362178"/>
    <w:rsid w:val="00366A38"/>
    <w:rsid w:val="00366E0F"/>
    <w:rsid w:val="00366E19"/>
    <w:rsid w:val="00370BE8"/>
    <w:rsid w:val="003711E4"/>
    <w:rsid w:val="003712F9"/>
    <w:rsid w:val="00372296"/>
    <w:rsid w:val="00372C1E"/>
    <w:rsid w:val="0037431D"/>
    <w:rsid w:val="00374861"/>
    <w:rsid w:val="00375301"/>
    <w:rsid w:val="003759A3"/>
    <w:rsid w:val="003765A4"/>
    <w:rsid w:val="00376952"/>
    <w:rsid w:val="00376E7A"/>
    <w:rsid w:val="003772BE"/>
    <w:rsid w:val="003776B6"/>
    <w:rsid w:val="00377891"/>
    <w:rsid w:val="00380972"/>
    <w:rsid w:val="00381A72"/>
    <w:rsid w:val="00382D89"/>
    <w:rsid w:val="00383EE8"/>
    <w:rsid w:val="00384676"/>
    <w:rsid w:val="0038488F"/>
    <w:rsid w:val="003865CB"/>
    <w:rsid w:val="003868C4"/>
    <w:rsid w:val="00386D16"/>
    <w:rsid w:val="00390857"/>
    <w:rsid w:val="00392894"/>
    <w:rsid w:val="00393D93"/>
    <w:rsid w:val="00394A1D"/>
    <w:rsid w:val="00395005"/>
    <w:rsid w:val="00397587"/>
    <w:rsid w:val="00397A04"/>
    <w:rsid w:val="003A0914"/>
    <w:rsid w:val="003A09D2"/>
    <w:rsid w:val="003A0AB6"/>
    <w:rsid w:val="003A17ED"/>
    <w:rsid w:val="003A3B8D"/>
    <w:rsid w:val="003A46D8"/>
    <w:rsid w:val="003A4BF3"/>
    <w:rsid w:val="003A551C"/>
    <w:rsid w:val="003A6152"/>
    <w:rsid w:val="003A6E2B"/>
    <w:rsid w:val="003B0104"/>
    <w:rsid w:val="003B0390"/>
    <w:rsid w:val="003B0707"/>
    <w:rsid w:val="003B3337"/>
    <w:rsid w:val="003B37E8"/>
    <w:rsid w:val="003B3AB0"/>
    <w:rsid w:val="003B420D"/>
    <w:rsid w:val="003B4822"/>
    <w:rsid w:val="003B587F"/>
    <w:rsid w:val="003B68D9"/>
    <w:rsid w:val="003B6F79"/>
    <w:rsid w:val="003B7EE3"/>
    <w:rsid w:val="003C0CB6"/>
    <w:rsid w:val="003C1ABE"/>
    <w:rsid w:val="003C1DEF"/>
    <w:rsid w:val="003C2D4E"/>
    <w:rsid w:val="003C3526"/>
    <w:rsid w:val="003C5290"/>
    <w:rsid w:val="003C5582"/>
    <w:rsid w:val="003C6C16"/>
    <w:rsid w:val="003C71BF"/>
    <w:rsid w:val="003C75C9"/>
    <w:rsid w:val="003D0382"/>
    <w:rsid w:val="003D03A0"/>
    <w:rsid w:val="003D03C2"/>
    <w:rsid w:val="003D0ED7"/>
    <w:rsid w:val="003D20EC"/>
    <w:rsid w:val="003D243E"/>
    <w:rsid w:val="003D42B1"/>
    <w:rsid w:val="003D4E9E"/>
    <w:rsid w:val="003D5A7D"/>
    <w:rsid w:val="003D69F7"/>
    <w:rsid w:val="003D794D"/>
    <w:rsid w:val="003E1904"/>
    <w:rsid w:val="003E3058"/>
    <w:rsid w:val="003E3DE6"/>
    <w:rsid w:val="003E4F82"/>
    <w:rsid w:val="003E5F4A"/>
    <w:rsid w:val="003E669D"/>
    <w:rsid w:val="003E76A9"/>
    <w:rsid w:val="003F0553"/>
    <w:rsid w:val="003F0809"/>
    <w:rsid w:val="003F0A73"/>
    <w:rsid w:val="003F16BA"/>
    <w:rsid w:val="003F2AB5"/>
    <w:rsid w:val="003F448C"/>
    <w:rsid w:val="003F4660"/>
    <w:rsid w:val="003F4DE2"/>
    <w:rsid w:val="003F5994"/>
    <w:rsid w:val="003F62F5"/>
    <w:rsid w:val="003F6A8C"/>
    <w:rsid w:val="003F755C"/>
    <w:rsid w:val="00400687"/>
    <w:rsid w:val="00401E7C"/>
    <w:rsid w:val="00401F76"/>
    <w:rsid w:val="004024F8"/>
    <w:rsid w:val="004034A4"/>
    <w:rsid w:val="00406707"/>
    <w:rsid w:val="00406F01"/>
    <w:rsid w:val="0041025B"/>
    <w:rsid w:val="0041048A"/>
    <w:rsid w:val="00410689"/>
    <w:rsid w:val="004120D5"/>
    <w:rsid w:val="0041211A"/>
    <w:rsid w:val="004148F7"/>
    <w:rsid w:val="004149BC"/>
    <w:rsid w:val="004153B9"/>
    <w:rsid w:val="00415D89"/>
    <w:rsid w:val="004161F4"/>
    <w:rsid w:val="00416D50"/>
    <w:rsid w:val="00416FD5"/>
    <w:rsid w:val="00417772"/>
    <w:rsid w:val="004205B5"/>
    <w:rsid w:val="00420E6A"/>
    <w:rsid w:val="00422003"/>
    <w:rsid w:val="00422C04"/>
    <w:rsid w:val="00424306"/>
    <w:rsid w:val="0042496F"/>
    <w:rsid w:val="004251CB"/>
    <w:rsid w:val="00425A9E"/>
    <w:rsid w:val="00426D6B"/>
    <w:rsid w:val="004311F3"/>
    <w:rsid w:val="00431291"/>
    <w:rsid w:val="00431E6C"/>
    <w:rsid w:val="00432890"/>
    <w:rsid w:val="00432EFD"/>
    <w:rsid w:val="00433CE7"/>
    <w:rsid w:val="0043654B"/>
    <w:rsid w:val="0043693E"/>
    <w:rsid w:val="00437A7E"/>
    <w:rsid w:val="004409F1"/>
    <w:rsid w:val="0044146C"/>
    <w:rsid w:val="004415C7"/>
    <w:rsid w:val="004418D3"/>
    <w:rsid w:val="00442AAA"/>
    <w:rsid w:val="004439D6"/>
    <w:rsid w:val="0044460B"/>
    <w:rsid w:val="0044531F"/>
    <w:rsid w:val="00445544"/>
    <w:rsid w:val="004467B3"/>
    <w:rsid w:val="00446AF9"/>
    <w:rsid w:val="0045184C"/>
    <w:rsid w:val="00452738"/>
    <w:rsid w:val="004531C9"/>
    <w:rsid w:val="00455646"/>
    <w:rsid w:val="004558EC"/>
    <w:rsid w:val="00455FA7"/>
    <w:rsid w:val="00456091"/>
    <w:rsid w:val="004567AB"/>
    <w:rsid w:val="00456DAB"/>
    <w:rsid w:val="00456E8A"/>
    <w:rsid w:val="00457C70"/>
    <w:rsid w:val="004602EA"/>
    <w:rsid w:val="00461675"/>
    <w:rsid w:val="004621F0"/>
    <w:rsid w:val="00462519"/>
    <w:rsid w:val="0046327D"/>
    <w:rsid w:val="00463CB9"/>
    <w:rsid w:val="00463F8B"/>
    <w:rsid w:val="004657E2"/>
    <w:rsid w:val="00466321"/>
    <w:rsid w:val="0046635C"/>
    <w:rsid w:val="00470A92"/>
    <w:rsid w:val="00470C16"/>
    <w:rsid w:val="00470D86"/>
    <w:rsid w:val="00470ECC"/>
    <w:rsid w:val="00472507"/>
    <w:rsid w:val="00472A5A"/>
    <w:rsid w:val="00473C4F"/>
    <w:rsid w:val="00474107"/>
    <w:rsid w:val="004764B0"/>
    <w:rsid w:val="0047758C"/>
    <w:rsid w:val="00482068"/>
    <w:rsid w:val="00482212"/>
    <w:rsid w:val="00482640"/>
    <w:rsid w:val="00482FDF"/>
    <w:rsid w:val="0048355A"/>
    <w:rsid w:val="00484B9B"/>
    <w:rsid w:val="004855F6"/>
    <w:rsid w:val="0048661E"/>
    <w:rsid w:val="00487E24"/>
    <w:rsid w:val="00491730"/>
    <w:rsid w:val="00491DDD"/>
    <w:rsid w:val="00491E03"/>
    <w:rsid w:val="00492657"/>
    <w:rsid w:val="0049327E"/>
    <w:rsid w:val="00493712"/>
    <w:rsid w:val="00493A06"/>
    <w:rsid w:val="00493F34"/>
    <w:rsid w:val="00494670"/>
    <w:rsid w:val="0049602B"/>
    <w:rsid w:val="00497438"/>
    <w:rsid w:val="004A0F43"/>
    <w:rsid w:val="004A1299"/>
    <w:rsid w:val="004A208B"/>
    <w:rsid w:val="004A29E8"/>
    <w:rsid w:val="004A3617"/>
    <w:rsid w:val="004A3823"/>
    <w:rsid w:val="004A41CB"/>
    <w:rsid w:val="004A4384"/>
    <w:rsid w:val="004A471E"/>
    <w:rsid w:val="004A4723"/>
    <w:rsid w:val="004A4F4A"/>
    <w:rsid w:val="004A5243"/>
    <w:rsid w:val="004A5525"/>
    <w:rsid w:val="004A5988"/>
    <w:rsid w:val="004A66C2"/>
    <w:rsid w:val="004A6AD6"/>
    <w:rsid w:val="004B0C8B"/>
    <w:rsid w:val="004B173E"/>
    <w:rsid w:val="004B210A"/>
    <w:rsid w:val="004B45AF"/>
    <w:rsid w:val="004B4887"/>
    <w:rsid w:val="004B4BFD"/>
    <w:rsid w:val="004B666C"/>
    <w:rsid w:val="004C0936"/>
    <w:rsid w:val="004C0DD9"/>
    <w:rsid w:val="004C310D"/>
    <w:rsid w:val="004C3284"/>
    <w:rsid w:val="004C3FEA"/>
    <w:rsid w:val="004C58F0"/>
    <w:rsid w:val="004C62E8"/>
    <w:rsid w:val="004C7077"/>
    <w:rsid w:val="004C77EB"/>
    <w:rsid w:val="004D00D9"/>
    <w:rsid w:val="004D064E"/>
    <w:rsid w:val="004D0B54"/>
    <w:rsid w:val="004D2AD8"/>
    <w:rsid w:val="004D33CB"/>
    <w:rsid w:val="004D3A35"/>
    <w:rsid w:val="004D629E"/>
    <w:rsid w:val="004D66FD"/>
    <w:rsid w:val="004D6BBB"/>
    <w:rsid w:val="004D6CF0"/>
    <w:rsid w:val="004D7A1F"/>
    <w:rsid w:val="004E0165"/>
    <w:rsid w:val="004E134C"/>
    <w:rsid w:val="004E1D8E"/>
    <w:rsid w:val="004E22F4"/>
    <w:rsid w:val="004E3478"/>
    <w:rsid w:val="004E3C58"/>
    <w:rsid w:val="004E5280"/>
    <w:rsid w:val="004E6946"/>
    <w:rsid w:val="004F1AD8"/>
    <w:rsid w:val="004F4F95"/>
    <w:rsid w:val="004F614E"/>
    <w:rsid w:val="004F68E3"/>
    <w:rsid w:val="005007A5"/>
    <w:rsid w:val="00503123"/>
    <w:rsid w:val="005039CB"/>
    <w:rsid w:val="00504830"/>
    <w:rsid w:val="00505294"/>
    <w:rsid w:val="00505574"/>
    <w:rsid w:val="0050558F"/>
    <w:rsid w:val="00506286"/>
    <w:rsid w:val="005066FC"/>
    <w:rsid w:val="00506BDE"/>
    <w:rsid w:val="00507D57"/>
    <w:rsid w:val="005102E5"/>
    <w:rsid w:val="00510813"/>
    <w:rsid w:val="00510827"/>
    <w:rsid w:val="00511302"/>
    <w:rsid w:val="0051186C"/>
    <w:rsid w:val="00511990"/>
    <w:rsid w:val="00511DE0"/>
    <w:rsid w:val="005123EB"/>
    <w:rsid w:val="00513C35"/>
    <w:rsid w:val="00513C85"/>
    <w:rsid w:val="00514024"/>
    <w:rsid w:val="00514870"/>
    <w:rsid w:val="00514B9B"/>
    <w:rsid w:val="00514F16"/>
    <w:rsid w:val="00515102"/>
    <w:rsid w:val="00515BC0"/>
    <w:rsid w:val="00516F65"/>
    <w:rsid w:val="005170B9"/>
    <w:rsid w:val="00517845"/>
    <w:rsid w:val="00517F02"/>
    <w:rsid w:val="00517F03"/>
    <w:rsid w:val="00520A69"/>
    <w:rsid w:val="005210A5"/>
    <w:rsid w:val="00524303"/>
    <w:rsid w:val="00524DDE"/>
    <w:rsid w:val="005258A2"/>
    <w:rsid w:val="00525DA6"/>
    <w:rsid w:val="005270CC"/>
    <w:rsid w:val="0052729C"/>
    <w:rsid w:val="0053129C"/>
    <w:rsid w:val="00531FC5"/>
    <w:rsid w:val="005336A1"/>
    <w:rsid w:val="00533ABA"/>
    <w:rsid w:val="00533CC7"/>
    <w:rsid w:val="005351F6"/>
    <w:rsid w:val="00535262"/>
    <w:rsid w:val="005352D5"/>
    <w:rsid w:val="00535304"/>
    <w:rsid w:val="00535D87"/>
    <w:rsid w:val="00536A61"/>
    <w:rsid w:val="005401AE"/>
    <w:rsid w:val="0054117B"/>
    <w:rsid w:val="005418A4"/>
    <w:rsid w:val="00542E07"/>
    <w:rsid w:val="00543ACB"/>
    <w:rsid w:val="00545424"/>
    <w:rsid w:val="00545E8A"/>
    <w:rsid w:val="00551E3B"/>
    <w:rsid w:val="0055220E"/>
    <w:rsid w:val="0055248B"/>
    <w:rsid w:val="00552819"/>
    <w:rsid w:val="00552EEE"/>
    <w:rsid w:val="00553119"/>
    <w:rsid w:val="00553999"/>
    <w:rsid w:val="00553DE0"/>
    <w:rsid w:val="005540B2"/>
    <w:rsid w:val="005546EC"/>
    <w:rsid w:val="00554A7B"/>
    <w:rsid w:val="0055572C"/>
    <w:rsid w:val="00557BFD"/>
    <w:rsid w:val="0056106A"/>
    <w:rsid w:val="00561FC0"/>
    <w:rsid w:val="00562910"/>
    <w:rsid w:val="00562EF0"/>
    <w:rsid w:val="00563194"/>
    <w:rsid w:val="00563FA0"/>
    <w:rsid w:val="005640B9"/>
    <w:rsid w:val="00565E2E"/>
    <w:rsid w:val="00567E53"/>
    <w:rsid w:val="00571AE7"/>
    <w:rsid w:val="00571CD7"/>
    <w:rsid w:val="005720AE"/>
    <w:rsid w:val="005728A6"/>
    <w:rsid w:val="00573148"/>
    <w:rsid w:val="00574808"/>
    <w:rsid w:val="0057574E"/>
    <w:rsid w:val="00576409"/>
    <w:rsid w:val="0057654B"/>
    <w:rsid w:val="005779D5"/>
    <w:rsid w:val="00577EE0"/>
    <w:rsid w:val="005809AE"/>
    <w:rsid w:val="005809ED"/>
    <w:rsid w:val="00580A50"/>
    <w:rsid w:val="005822F7"/>
    <w:rsid w:val="005848AB"/>
    <w:rsid w:val="00585AB1"/>
    <w:rsid w:val="00585E38"/>
    <w:rsid w:val="00586112"/>
    <w:rsid w:val="00587BDA"/>
    <w:rsid w:val="005901CF"/>
    <w:rsid w:val="0059031A"/>
    <w:rsid w:val="00590EE1"/>
    <w:rsid w:val="0059153C"/>
    <w:rsid w:val="005915A3"/>
    <w:rsid w:val="0059342E"/>
    <w:rsid w:val="00593CE4"/>
    <w:rsid w:val="00594CEC"/>
    <w:rsid w:val="00594D77"/>
    <w:rsid w:val="00594EB0"/>
    <w:rsid w:val="0059526B"/>
    <w:rsid w:val="005969E4"/>
    <w:rsid w:val="00597B66"/>
    <w:rsid w:val="005A06B7"/>
    <w:rsid w:val="005A0E0E"/>
    <w:rsid w:val="005A10CA"/>
    <w:rsid w:val="005A1759"/>
    <w:rsid w:val="005A1DDC"/>
    <w:rsid w:val="005A28F1"/>
    <w:rsid w:val="005A4A12"/>
    <w:rsid w:val="005A606C"/>
    <w:rsid w:val="005A68A7"/>
    <w:rsid w:val="005A77B4"/>
    <w:rsid w:val="005B0B43"/>
    <w:rsid w:val="005B0CA9"/>
    <w:rsid w:val="005B2155"/>
    <w:rsid w:val="005B4025"/>
    <w:rsid w:val="005B429A"/>
    <w:rsid w:val="005B52CF"/>
    <w:rsid w:val="005B5C61"/>
    <w:rsid w:val="005B5F21"/>
    <w:rsid w:val="005B615B"/>
    <w:rsid w:val="005B79B2"/>
    <w:rsid w:val="005C03EC"/>
    <w:rsid w:val="005C0A29"/>
    <w:rsid w:val="005C116C"/>
    <w:rsid w:val="005C1ED0"/>
    <w:rsid w:val="005C291D"/>
    <w:rsid w:val="005C2C61"/>
    <w:rsid w:val="005C2DB2"/>
    <w:rsid w:val="005C37BC"/>
    <w:rsid w:val="005C4308"/>
    <w:rsid w:val="005C5D85"/>
    <w:rsid w:val="005C5FDE"/>
    <w:rsid w:val="005C6231"/>
    <w:rsid w:val="005C625D"/>
    <w:rsid w:val="005C7239"/>
    <w:rsid w:val="005C7400"/>
    <w:rsid w:val="005C7D2A"/>
    <w:rsid w:val="005C7D65"/>
    <w:rsid w:val="005D1AC2"/>
    <w:rsid w:val="005D1E44"/>
    <w:rsid w:val="005D32E0"/>
    <w:rsid w:val="005D36AB"/>
    <w:rsid w:val="005D3B0E"/>
    <w:rsid w:val="005D3C76"/>
    <w:rsid w:val="005D41B0"/>
    <w:rsid w:val="005D57FF"/>
    <w:rsid w:val="005D5AE3"/>
    <w:rsid w:val="005D78DD"/>
    <w:rsid w:val="005E0B5C"/>
    <w:rsid w:val="005E1855"/>
    <w:rsid w:val="005E1B68"/>
    <w:rsid w:val="005E1D81"/>
    <w:rsid w:val="005E24F9"/>
    <w:rsid w:val="005E2682"/>
    <w:rsid w:val="005E2698"/>
    <w:rsid w:val="005E5B64"/>
    <w:rsid w:val="005E7845"/>
    <w:rsid w:val="005E7E9C"/>
    <w:rsid w:val="005F1EE1"/>
    <w:rsid w:val="005F2950"/>
    <w:rsid w:val="005F29FF"/>
    <w:rsid w:val="005F375F"/>
    <w:rsid w:val="005F4365"/>
    <w:rsid w:val="005F4723"/>
    <w:rsid w:val="005F4C48"/>
    <w:rsid w:val="005F55BF"/>
    <w:rsid w:val="005F65DD"/>
    <w:rsid w:val="005F71D5"/>
    <w:rsid w:val="005F7343"/>
    <w:rsid w:val="005F7FE8"/>
    <w:rsid w:val="006002C2"/>
    <w:rsid w:val="00600819"/>
    <w:rsid w:val="00600E6D"/>
    <w:rsid w:val="006012C5"/>
    <w:rsid w:val="00601D81"/>
    <w:rsid w:val="006023F7"/>
    <w:rsid w:val="006027B6"/>
    <w:rsid w:val="006028C9"/>
    <w:rsid w:val="00602A8E"/>
    <w:rsid w:val="0060415B"/>
    <w:rsid w:val="0060499C"/>
    <w:rsid w:val="00605EF8"/>
    <w:rsid w:val="00606084"/>
    <w:rsid w:val="00606CDB"/>
    <w:rsid w:val="00606DCB"/>
    <w:rsid w:val="00610B89"/>
    <w:rsid w:val="006113B6"/>
    <w:rsid w:val="006121F7"/>
    <w:rsid w:val="006124D7"/>
    <w:rsid w:val="00612B74"/>
    <w:rsid w:val="0061375A"/>
    <w:rsid w:val="006148FB"/>
    <w:rsid w:val="0061531C"/>
    <w:rsid w:val="00616328"/>
    <w:rsid w:val="00617CC3"/>
    <w:rsid w:val="00617D78"/>
    <w:rsid w:val="00622522"/>
    <w:rsid w:val="0062392B"/>
    <w:rsid w:val="0062460D"/>
    <w:rsid w:val="006249F7"/>
    <w:rsid w:val="006265B3"/>
    <w:rsid w:val="00627BF6"/>
    <w:rsid w:val="00630E9F"/>
    <w:rsid w:val="0063183D"/>
    <w:rsid w:val="0063220F"/>
    <w:rsid w:val="00632303"/>
    <w:rsid w:val="00634527"/>
    <w:rsid w:val="00635E8A"/>
    <w:rsid w:val="006377A6"/>
    <w:rsid w:val="00637A3D"/>
    <w:rsid w:val="006411EF"/>
    <w:rsid w:val="00641C1E"/>
    <w:rsid w:val="0064349C"/>
    <w:rsid w:val="006439BF"/>
    <w:rsid w:val="00644C0F"/>
    <w:rsid w:val="0064754E"/>
    <w:rsid w:val="00647813"/>
    <w:rsid w:val="00647847"/>
    <w:rsid w:val="00651632"/>
    <w:rsid w:val="00651FAD"/>
    <w:rsid w:val="00652C34"/>
    <w:rsid w:val="0065306C"/>
    <w:rsid w:val="006545F6"/>
    <w:rsid w:val="00655F50"/>
    <w:rsid w:val="00656609"/>
    <w:rsid w:val="006566E5"/>
    <w:rsid w:val="00656F41"/>
    <w:rsid w:val="0065764D"/>
    <w:rsid w:val="00660DAC"/>
    <w:rsid w:val="00660FFC"/>
    <w:rsid w:val="00662CEF"/>
    <w:rsid w:val="00664C0A"/>
    <w:rsid w:val="00665537"/>
    <w:rsid w:val="00667052"/>
    <w:rsid w:val="0066766D"/>
    <w:rsid w:val="00670351"/>
    <w:rsid w:val="0067146D"/>
    <w:rsid w:val="0067233F"/>
    <w:rsid w:val="00674704"/>
    <w:rsid w:val="006748B8"/>
    <w:rsid w:val="006775C3"/>
    <w:rsid w:val="00680B02"/>
    <w:rsid w:val="0068198E"/>
    <w:rsid w:val="00681F5C"/>
    <w:rsid w:val="00682B89"/>
    <w:rsid w:val="00683CDC"/>
    <w:rsid w:val="006841FA"/>
    <w:rsid w:val="0068484A"/>
    <w:rsid w:val="006913DE"/>
    <w:rsid w:val="0069290A"/>
    <w:rsid w:val="00693703"/>
    <w:rsid w:val="0069454D"/>
    <w:rsid w:val="0069775A"/>
    <w:rsid w:val="00697813"/>
    <w:rsid w:val="00697C51"/>
    <w:rsid w:val="006A0534"/>
    <w:rsid w:val="006A07DB"/>
    <w:rsid w:val="006A0ED2"/>
    <w:rsid w:val="006A1556"/>
    <w:rsid w:val="006A168E"/>
    <w:rsid w:val="006A27FE"/>
    <w:rsid w:val="006A3490"/>
    <w:rsid w:val="006A3E06"/>
    <w:rsid w:val="006A3EE8"/>
    <w:rsid w:val="006A4395"/>
    <w:rsid w:val="006A445E"/>
    <w:rsid w:val="006A47E8"/>
    <w:rsid w:val="006A4961"/>
    <w:rsid w:val="006A592A"/>
    <w:rsid w:val="006A66D6"/>
    <w:rsid w:val="006A68AD"/>
    <w:rsid w:val="006A7153"/>
    <w:rsid w:val="006A72BF"/>
    <w:rsid w:val="006A7437"/>
    <w:rsid w:val="006A7935"/>
    <w:rsid w:val="006B03F2"/>
    <w:rsid w:val="006B0A8A"/>
    <w:rsid w:val="006B2469"/>
    <w:rsid w:val="006B2747"/>
    <w:rsid w:val="006B326B"/>
    <w:rsid w:val="006B37DC"/>
    <w:rsid w:val="006B4021"/>
    <w:rsid w:val="006B4CF1"/>
    <w:rsid w:val="006B4F68"/>
    <w:rsid w:val="006B515F"/>
    <w:rsid w:val="006B5797"/>
    <w:rsid w:val="006B6D3F"/>
    <w:rsid w:val="006B7886"/>
    <w:rsid w:val="006C0592"/>
    <w:rsid w:val="006C272E"/>
    <w:rsid w:val="006C324F"/>
    <w:rsid w:val="006C32F3"/>
    <w:rsid w:val="006C535A"/>
    <w:rsid w:val="006C5479"/>
    <w:rsid w:val="006C62A0"/>
    <w:rsid w:val="006C7760"/>
    <w:rsid w:val="006C77A1"/>
    <w:rsid w:val="006D0E7A"/>
    <w:rsid w:val="006D10BA"/>
    <w:rsid w:val="006D10BC"/>
    <w:rsid w:val="006D13B5"/>
    <w:rsid w:val="006D155C"/>
    <w:rsid w:val="006D2944"/>
    <w:rsid w:val="006D32D4"/>
    <w:rsid w:val="006D33C1"/>
    <w:rsid w:val="006D3933"/>
    <w:rsid w:val="006D493F"/>
    <w:rsid w:val="006D6961"/>
    <w:rsid w:val="006D70EE"/>
    <w:rsid w:val="006D776A"/>
    <w:rsid w:val="006E12FF"/>
    <w:rsid w:val="006E306D"/>
    <w:rsid w:val="006E32EF"/>
    <w:rsid w:val="006E3D9D"/>
    <w:rsid w:val="006E4172"/>
    <w:rsid w:val="006E460D"/>
    <w:rsid w:val="006E58FD"/>
    <w:rsid w:val="006E607E"/>
    <w:rsid w:val="006F01EC"/>
    <w:rsid w:val="006F34B1"/>
    <w:rsid w:val="006F3A49"/>
    <w:rsid w:val="006F3F6C"/>
    <w:rsid w:val="006F647E"/>
    <w:rsid w:val="006F6CDD"/>
    <w:rsid w:val="006F6D8B"/>
    <w:rsid w:val="006F73AF"/>
    <w:rsid w:val="006F7548"/>
    <w:rsid w:val="00700D8E"/>
    <w:rsid w:val="0070280D"/>
    <w:rsid w:val="00706028"/>
    <w:rsid w:val="00706C5D"/>
    <w:rsid w:val="00707575"/>
    <w:rsid w:val="00710440"/>
    <w:rsid w:val="00711BEA"/>
    <w:rsid w:val="007129FF"/>
    <w:rsid w:val="0071333D"/>
    <w:rsid w:val="007134C2"/>
    <w:rsid w:val="0071450A"/>
    <w:rsid w:val="007156EE"/>
    <w:rsid w:val="007167F5"/>
    <w:rsid w:val="00717A55"/>
    <w:rsid w:val="0072037B"/>
    <w:rsid w:val="00722664"/>
    <w:rsid w:val="00723363"/>
    <w:rsid w:val="007233C8"/>
    <w:rsid w:val="007238B9"/>
    <w:rsid w:val="00724AEB"/>
    <w:rsid w:val="00725B4B"/>
    <w:rsid w:val="00727D44"/>
    <w:rsid w:val="007309B4"/>
    <w:rsid w:val="00730BE5"/>
    <w:rsid w:val="00731408"/>
    <w:rsid w:val="00732922"/>
    <w:rsid w:val="0073357E"/>
    <w:rsid w:val="00733E3B"/>
    <w:rsid w:val="00734AE3"/>
    <w:rsid w:val="00735177"/>
    <w:rsid w:val="00736BC7"/>
    <w:rsid w:val="00737078"/>
    <w:rsid w:val="007404B9"/>
    <w:rsid w:val="00741419"/>
    <w:rsid w:val="00741F9F"/>
    <w:rsid w:val="007446DE"/>
    <w:rsid w:val="00746276"/>
    <w:rsid w:val="00746696"/>
    <w:rsid w:val="00747EED"/>
    <w:rsid w:val="00751580"/>
    <w:rsid w:val="0075162E"/>
    <w:rsid w:val="00751BDD"/>
    <w:rsid w:val="007526FB"/>
    <w:rsid w:val="007538D2"/>
    <w:rsid w:val="00754034"/>
    <w:rsid w:val="007550F5"/>
    <w:rsid w:val="00755227"/>
    <w:rsid w:val="007553E5"/>
    <w:rsid w:val="00755A2F"/>
    <w:rsid w:val="00756556"/>
    <w:rsid w:val="007569C8"/>
    <w:rsid w:val="00756E86"/>
    <w:rsid w:val="007573CD"/>
    <w:rsid w:val="007577FE"/>
    <w:rsid w:val="007578AF"/>
    <w:rsid w:val="0076054A"/>
    <w:rsid w:val="00761612"/>
    <w:rsid w:val="007618C4"/>
    <w:rsid w:val="007618D8"/>
    <w:rsid w:val="00761FF1"/>
    <w:rsid w:val="007624AC"/>
    <w:rsid w:val="00762A08"/>
    <w:rsid w:val="00762AFA"/>
    <w:rsid w:val="00762DE0"/>
    <w:rsid w:val="00764C8D"/>
    <w:rsid w:val="00765886"/>
    <w:rsid w:val="00766146"/>
    <w:rsid w:val="00766CE2"/>
    <w:rsid w:val="0076734F"/>
    <w:rsid w:val="00767424"/>
    <w:rsid w:val="00767980"/>
    <w:rsid w:val="00767B94"/>
    <w:rsid w:val="00770B19"/>
    <w:rsid w:val="0077228C"/>
    <w:rsid w:val="0077463F"/>
    <w:rsid w:val="00774A5D"/>
    <w:rsid w:val="00775974"/>
    <w:rsid w:val="007764F5"/>
    <w:rsid w:val="007778F8"/>
    <w:rsid w:val="00780293"/>
    <w:rsid w:val="00780C82"/>
    <w:rsid w:val="00780DDE"/>
    <w:rsid w:val="007819CB"/>
    <w:rsid w:val="00781AD1"/>
    <w:rsid w:val="007821F5"/>
    <w:rsid w:val="007836EA"/>
    <w:rsid w:val="007849A8"/>
    <w:rsid w:val="00784CDA"/>
    <w:rsid w:val="007906C4"/>
    <w:rsid w:val="00791382"/>
    <w:rsid w:val="007915D8"/>
    <w:rsid w:val="007916DC"/>
    <w:rsid w:val="007940EA"/>
    <w:rsid w:val="007953EB"/>
    <w:rsid w:val="00796691"/>
    <w:rsid w:val="007967E8"/>
    <w:rsid w:val="007A02BA"/>
    <w:rsid w:val="007A030A"/>
    <w:rsid w:val="007A0A78"/>
    <w:rsid w:val="007A0E73"/>
    <w:rsid w:val="007A2170"/>
    <w:rsid w:val="007A226D"/>
    <w:rsid w:val="007A22BF"/>
    <w:rsid w:val="007A291F"/>
    <w:rsid w:val="007A3323"/>
    <w:rsid w:val="007A362D"/>
    <w:rsid w:val="007A3C6F"/>
    <w:rsid w:val="007A4377"/>
    <w:rsid w:val="007A6021"/>
    <w:rsid w:val="007B01F9"/>
    <w:rsid w:val="007B09A1"/>
    <w:rsid w:val="007B14BF"/>
    <w:rsid w:val="007B2560"/>
    <w:rsid w:val="007B26D2"/>
    <w:rsid w:val="007B299A"/>
    <w:rsid w:val="007B31C1"/>
    <w:rsid w:val="007B32B2"/>
    <w:rsid w:val="007B4128"/>
    <w:rsid w:val="007B4A35"/>
    <w:rsid w:val="007B4C68"/>
    <w:rsid w:val="007B5ED1"/>
    <w:rsid w:val="007B624E"/>
    <w:rsid w:val="007B66DF"/>
    <w:rsid w:val="007B72B8"/>
    <w:rsid w:val="007B7445"/>
    <w:rsid w:val="007B79FC"/>
    <w:rsid w:val="007B7A58"/>
    <w:rsid w:val="007C1170"/>
    <w:rsid w:val="007C15BF"/>
    <w:rsid w:val="007C21B5"/>
    <w:rsid w:val="007C235D"/>
    <w:rsid w:val="007C3260"/>
    <w:rsid w:val="007C38CF"/>
    <w:rsid w:val="007C5280"/>
    <w:rsid w:val="007C587D"/>
    <w:rsid w:val="007C5EEE"/>
    <w:rsid w:val="007C65FC"/>
    <w:rsid w:val="007D1C17"/>
    <w:rsid w:val="007D2D2A"/>
    <w:rsid w:val="007D336A"/>
    <w:rsid w:val="007D3C57"/>
    <w:rsid w:val="007D4D88"/>
    <w:rsid w:val="007D623B"/>
    <w:rsid w:val="007D75B0"/>
    <w:rsid w:val="007E0103"/>
    <w:rsid w:val="007E087B"/>
    <w:rsid w:val="007E1D6F"/>
    <w:rsid w:val="007E2561"/>
    <w:rsid w:val="007E3AC2"/>
    <w:rsid w:val="007E4745"/>
    <w:rsid w:val="007E4BD2"/>
    <w:rsid w:val="007E51C1"/>
    <w:rsid w:val="007E5429"/>
    <w:rsid w:val="007E572A"/>
    <w:rsid w:val="007E6F73"/>
    <w:rsid w:val="007E6FC9"/>
    <w:rsid w:val="007F1B76"/>
    <w:rsid w:val="007F250F"/>
    <w:rsid w:val="007F2E35"/>
    <w:rsid w:val="007F3D6A"/>
    <w:rsid w:val="007F42A9"/>
    <w:rsid w:val="007F57F3"/>
    <w:rsid w:val="007F60F0"/>
    <w:rsid w:val="0080082A"/>
    <w:rsid w:val="00801393"/>
    <w:rsid w:val="00801742"/>
    <w:rsid w:val="008018A4"/>
    <w:rsid w:val="008027A1"/>
    <w:rsid w:val="00802F88"/>
    <w:rsid w:val="008035C0"/>
    <w:rsid w:val="00804072"/>
    <w:rsid w:val="008043BF"/>
    <w:rsid w:val="00804A5A"/>
    <w:rsid w:val="00805CB0"/>
    <w:rsid w:val="00811E6B"/>
    <w:rsid w:val="00812780"/>
    <w:rsid w:val="0081293E"/>
    <w:rsid w:val="00812DEE"/>
    <w:rsid w:val="00812E32"/>
    <w:rsid w:val="008132D6"/>
    <w:rsid w:val="00814D1B"/>
    <w:rsid w:val="00815465"/>
    <w:rsid w:val="00815B3E"/>
    <w:rsid w:val="00815F0F"/>
    <w:rsid w:val="00816446"/>
    <w:rsid w:val="00817E9A"/>
    <w:rsid w:val="008206F4"/>
    <w:rsid w:val="00820A91"/>
    <w:rsid w:val="00821223"/>
    <w:rsid w:val="0082136A"/>
    <w:rsid w:val="00823310"/>
    <w:rsid w:val="00824346"/>
    <w:rsid w:val="00824BD6"/>
    <w:rsid w:val="008252EB"/>
    <w:rsid w:val="00826A61"/>
    <w:rsid w:val="00826FC7"/>
    <w:rsid w:val="008306BD"/>
    <w:rsid w:val="00830A00"/>
    <w:rsid w:val="00830D38"/>
    <w:rsid w:val="00831A80"/>
    <w:rsid w:val="00831CD4"/>
    <w:rsid w:val="00832224"/>
    <w:rsid w:val="0083231A"/>
    <w:rsid w:val="00833743"/>
    <w:rsid w:val="00833838"/>
    <w:rsid w:val="008340A4"/>
    <w:rsid w:val="008340D9"/>
    <w:rsid w:val="0083489E"/>
    <w:rsid w:val="008351A4"/>
    <w:rsid w:val="00836138"/>
    <w:rsid w:val="0083678B"/>
    <w:rsid w:val="008371D7"/>
    <w:rsid w:val="00837A27"/>
    <w:rsid w:val="0084052A"/>
    <w:rsid w:val="00840BCF"/>
    <w:rsid w:val="0084220A"/>
    <w:rsid w:val="00842833"/>
    <w:rsid w:val="00843299"/>
    <w:rsid w:val="0084367F"/>
    <w:rsid w:val="00844071"/>
    <w:rsid w:val="00844536"/>
    <w:rsid w:val="00845234"/>
    <w:rsid w:val="00845D83"/>
    <w:rsid w:val="00845F7E"/>
    <w:rsid w:val="00846005"/>
    <w:rsid w:val="00846531"/>
    <w:rsid w:val="00847179"/>
    <w:rsid w:val="0084778E"/>
    <w:rsid w:val="0085029C"/>
    <w:rsid w:val="00850CD5"/>
    <w:rsid w:val="008535F2"/>
    <w:rsid w:val="00855CB9"/>
    <w:rsid w:val="00855D02"/>
    <w:rsid w:val="00856FCF"/>
    <w:rsid w:val="00861B96"/>
    <w:rsid w:val="00862A83"/>
    <w:rsid w:val="00862F21"/>
    <w:rsid w:val="00863B34"/>
    <w:rsid w:val="008664BC"/>
    <w:rsid w:val="00866F48"/>
    <w:rsid w:val="00866F68"/>
    <w:rsid w:val="008705FF"/>
    <w:rsid w:val="0087070E"/>
    <w:rsid w:val="0087135F"/>
    <w:rsid w:val="00872D94"/>
    <w:rsid w:val="0087437B"/>
    <w:rsid w:val="008743AE"/>
    <w:rsid w:val="008762E5"/>
    <w:rsid w:val="00876C11"/>
    <w:rsid w:val="00877C9F"/>
    <w:rsid w:val="00880266"/>
    <w:rsid w:val="00880364"/>
    <w:rsid w:val="00882C52"/>
    <w:rsid w:val="00882CA6"/>
    <w:rsid w:val="0088366B"/>
    <w:rsid w:val="00884081"/>
    <w:rsid w:val="008848B3"/>
    <w:rsid w:val="00884AE1"/>
    <w:rsid w:val="00885374"/>
    <w:rsid w:val="00885796"/>
    <w:rsid w:val="008859D8"/>
    <w:rsid w:val="00885E22"/>
    <w:rsid w:val="00886C06"/>
    <w:rsid w:val="00890016"/>
    <w:rsid w:val="00891592"/>
    <w:rsid w:val="00891E9E"/>
    <w:rsid w:val="00892BC3"/>
    <w:rsid w:val="00892E06"/>
    <w:rsid w:val="00892EEF"/>
    <w:rsid w:val="00893232"/>
    <w:rsid w:val="008936CF"/>
    <w:rsid w:val="0089375F"/>
    <w:rsid w:val="00894FD8"/>
    <w:rsid w:val="00897549"/>
    <w:rsid w:val="008A1A5A"/>
    <w:rsid w:val="008A2E0E"/>
    <w:rsid w:val="008A2F68"/>
    <w:rsid w:val="008A37A3"/>
    <w:rsid w:val="008A37C9"/>
    <w:rsid w:val="008A3AEE"/>
    <w:rsid w:val="008A40B3"/>
    <w:rsid w:val="008A61A4"/>
    <w:rsid w:val="008A6758"/>
    <w:rsid w:val="008A7254"/>
    <w:rsid w:val="008A7889"/>
    <w:rsid w:val="008A7CF0"/>
    <w:rsid w:val="008B07D0"/>
    <w:rsid w:val="008B0BEF"/>
    <w:rsid w:val="008B3B99"/>
    <w:rsid w:val="008B4CE5"/>
    <w:rsid w:val="008B4FA6"/>
    <w:rsid w:val="008B50A7"/>
    <w:rsid w:val="008B5282"/>
    <w:rsid w:val="008B68C7"/>
    <w:rsid w:val="008B7AD7"/>
    <w:rsid w:val="008B7C17"/>
    <w:rsid w:val="008C2D01"/>
    <w:rsid w:val="008C367B"/>
    <w:rsid w:val="008C3BBD"/>
    <w:rsid w:val="008C3DED"/>
    <w:rsid w:val="008C40E6"/>
    <w:rsid w:val="008C4881"/>
    <w:rsid w:val="008C4955"/>
    <w:rsid w:val="008C52E0"/>
    <w:rsid w:val="008C5824"/>
    <w:rsid w:val="008C7D80"/>
    <w:rsid w:val="008C7F0E"/>
    <w:rsid w:val="008D02F9"/>
    <w:rsid w:val="008D0427"/>
    <w:rsid w:val="008D0C8F"/>
    <w:rsid w:val="008D0F7A"/>
    <w:rsid w:val="008D1A84"/>
    <w:rsid w:val="008D2CF3"/>
    <w:rsid w:val="008D2DAA"/>
    <w:rsid w:val="008D2FDD"/>
    <w:rsid w:val="008D2FE8"/>
    <w:rsid w:val="008D4D5A"/>
    <w:rsid w:val="008D4FD1"/>
    <w:rsid w:val="008D502E"/>
    <w:rsid w:val="008D62FF"/>
    <w:rsid w:val="008D68E4"/>
    <w:rsid w:val="008D762F"/>
    <w:rsid w:val="008E0506"/>
    <w:rsid w:val="008E0690"/>
    <w:rsid w:val="008E0CFF"/>
    <w:rsid w:val="008E141F"/>
    <w:rsid w:val="008E258F"/>
    <w:rsid w:val="008E32DE"/>
    <w:rsid w:val="008E48B1"/>
    <w:rsid w:val="008E5332"/>
    <w:rsid w:val="008E5D6B"/>
    <w:rsid w:val="008E6695"/>
    <w:rsid w:val="008E6E02"/>
    <w:rsid w:val="008E76F0"/>
    <w:rsid w:val="008E776E"/>
    <w:rsid w:val="008E7FBA"/>
    <w:rsid w:val="008F0156"/>
    <w:rsid w:val="008F0171"/>
    <w:rsid w:val="008F0465"/>
    <w:rsid w:val="008F095A"/>
    <w:rsid w:val="008F1064"/>
    <w:rsid w:val="008F15CA"/>
    <w:rsid w:val="008F15FE"/>
    <w:rsid w:val="008F1ABD"/>
    <w:rsid w:val="008F1B27"/>
    <w:rsid w:val="008F2D29"/>
    <w:rsid w:val="008F4AA1"/>
    <w:rsid w:val="008F4B62"/>
    <w:rsid w:val="008F5187"/>
    <w:rsid w:val="008F5D93"/>
    <w:rsid w:val="008F60D8"/>
    <w:rsid w:val="00902625"/>
    <w:rsid w:val="00902727"/>
    <w:rsid w:val="0090312B"/>
    <w:rsid w:val="0090394F"/>
    <w:rsid w:val="009039AD"/>
    <w:rsid w:val="00906C08"/>
    <w:rsid w:val="00910B81"/>
    <w:rsid w:val="00910F58"/>
    <w:rsid w:val="00911F8E"/>
    <w:rsid w:val="00912B9D"/>
    <w:rsid w:val="00913DC8"/>
    <w:rsid w:val="009148FB"/>
    <w:rsid w:val="00915FD0"/>
    <w:rsid w:val="00916EF1"/>
    <w:rsid w:val="00917010"/>
    <w:rsid w:val="0091736D"/>
    <w:rsid w:val="0091778C"/>
    <w:rsid w:val="00917BB8"/>
    <w:rsid w:val="009209E9"/>
    <w:rsid w:val="00921388"/>
    <w:rsid w:val="00923A98"/>
    <w:rsid w:val="00923C9B"/>
    <w:rsid w:val="00924094"/>
    <w:rsid w:val="009248D3"/>
    <w:rsid w:val="00925A7C"/>
    <w:rsid w:val="00925C83"/>
    <w:rsid w:val="00926A69"/>
    <w:rsid w:val="0092710D"/>
    <w:rsid w:val="009272CB"/>
    <w:rsid w:val="00927ECE"/>
    <w:rsid w:val="0093037A"/>
    <w:rsid w:val="00932FA6"/>
    <w:rsid w:val="0093376D"/>
    <w:rsid w:val="00933CEF"/>
    <w:rsid w:val="00934291"/>
    <w:rsid w:val="00934920"/>
    <w:rsid w:val="0093496A"/>
    <w:rsid w:val="009357FC"/>
    <w:rsid w:val="00936FB0"/>
    <w:rsid w:val="00937682"/>
    <w:rsid w:val="00940906"/>
    <w:rsid w:val="00940E37"/>
    <w:rsid w:val="0094154D"/>
    <w:rsid w:val="0094169F"/>
    <w:rsid w:val="00941968"/>
    <w:rsid w:val="0094234B"/>
    <w:rsid w:val="00942BCB"/>
    <w:rsid w:val="00942E5F"/>
    <w:rsid w:val="009443F4"/>
    <w:rsid w:val="0094538D"/>
    <w:rsid w:val="009462E9"/>
    <w:rsid w:val="009500F5"/>
    <w:rsid w:val="009501A5"/>
    <w:rsid w:val="00950E03"/>
    <w:rsid w:val="009512A2"/>
    <w:rsid w:val="009512EF"/>
    <w:rsid w:val="00951482"/>
    <w:rsid w:val="0095155F"/>
    <w:rsid w:val="00951905"/>
    <w:rsid w:val="009526A0"/>
    <w:rsid w:val="009527CE"/>
    <w:rsid w:val="00952C59"/>
    <w:rsid w:val="00953C80"/>
    <w:rsid w:val="00953F71"/>
    <w:rsid w:val="00954096"/>
    <w:rsid w:val="00954429"/>
    <w:rsid w:val="00955D56"/>
    <w:rsid w:val="00956281"/>
    <w:rsid w:val="009563CE"/>
    <w:rsid w:val="009572C2"/>
    <w:rsid w:val="009624F0"/>
    <w:rsid w:val="00964390"/>
    <w:rsid w:val="00965541"/>
    <w:rsid w:val="00965887"/>
    <w:rsid w:val="00965BF7"/>
    <w:rsid w:val="009671BC"/>
    <w:rsid w:val="009679BF"/>
    <w:rsid w:val="00970A4F"/>
    <w:rsid w:val="009710C0"/>
    <w:rsid w:val="009712E8"/>
    <w:rsid w:val="00971CCE"/>
    <w:rsid w:val="0097504D"/>
    <w:rsid w:val="00975675"/>
    <w:rsid w:val="00976328"/>
    <w:rsid w:val="0097680D"/>
    <w:rsid w:val="0097753B"/>
    <w:rsid w:val="0098173F"/>
    <w:rsid w:val="00982438"/>
    <w:rsid w:val="009834F1"/>
    <w:rsid w:val="0098404C"/>
    <w:rsid w:val="009842E3"/>
    <w:rsid w:val="00985283"/>
    <w:rsid w:val="00985FFB"/>
    <w:rsid w:val="00987D11"/>
    <w:rsid w:val="009906CA"/>
    <w:rsid w:val="00991980"/>
    <w:rsid w:val="00992385"/>
    <w:rsid w:val="009936F6"/>
    <w:rsid w:val="00993CD7"/>
    <w:rsid w:val="00993DBF"/>
    <w:rsid w:val="00994CBA"/>
    <w:rsid w:val="00994CF9"/>
    <w:rsid w:val="00995992"/>
    <w:rsid w:val="00997B40"/>
    <w:rsid w:val="009A03E5"/>
    <w:rsid w:val="009A0E91"/>
    <w:rsid w:val="009A0F39"/>
    <w:rsid w:val="009A0F3B"/>
    <w:rsid w:val="009A1BB4"/>
    <w:rsid w:val="009A256A"/>
    <w:rsid w:val="009A2628"/>
    <w:rsid w:val="009A26AB"/>
    <w:rsid w:val="009A3200"/>
    <w:rsid w:val="009A33DB"/>
    <w:rsid w:val="009A3CF9"/>
    <w:rsid w:val="009A4BFB"/>
    <w:rsid w:val="009A6BDC"/>
    <w:rsid w:val="009A7FB1"/>
    <w:rsid w:val="009B053A"/>
    <w:rsid w:val="009B0897"/>
    <w:rsid w:val="009B131C"/>
    <w:rsid w:val="009B16E0"/>
    <w:rsid w:val="009B473E"/>
    <w:rsid w:val="009B6E77"/>
    <w:rsid w:val="009B729E"/>
    <w:rsid w:val="009B7862"/>
    <w:rsid w:val="009B7BD9"/>
    <w:rsid w:val="009B7EA6"/>
    <w:rsid w:val="009C0A1D"/>
    <w:rsid w:val="009C189D"/>
    <w:rsid w:val="009C19C7"/>
    <w:rsid w:val="009C1FB5"/>
    <w:rsid w:val="009C2AC0"/>
    <w:rsid w:val="009C32F1"/>
    <w:rsid w:val="009C3A08"/>
    <w:rsid w:val="009C4F0D"/>
    <w:rsid w:val="009C5BB1"/>
    <w:rsid w:val="009C5C47"/>
    <w:rsid w:val="009C5F28"/>
    <w:rsid w:val="009C7DD5"/>
    <w:rsid w:val="009D0766"/>
    <w:rsid w:val="009D095A"/>
    <w:rsid w:val="009D09CB"/>
    <w:rsid w:val="009D1BC4"/>
    <w:rsid w:val="009D22A8"/>
    <w:rsid w:val="009D3380"/>
    <w:rsid w:val="009D3613"/>
    <w:rsid w:val="009D52A2"/>
    <w:rsid w:val="009D5905"/>
    <w:rsid w:val="009D6D45"/>
    <w:rsid w:val="009E227D"/>
    <w:rsid w:val="009E24A9"/>
    <w:rsid w:val="009E3B13"/>
    <w:rsid w:val="009E3F45"/>
    <w:rsid w:val="009E4309"/>
    <w:rsid w:val="009E4725"/>
    <w:rsid w:val="009E5019"/>
    <w:rsid w:val="009E7118"/>
    <w:rsid w:val="009E731A"/>
    <w:rsid w:val="009F1C20"/>
    <w:rsid w:val="009F2391"/>
    <w:rsid w:val="009F2DC4"/>
    <w:rsid w:val="009F3BB1"/>
    <w:rsid w:val="009F4F95"/>
    <w:rsid w:val="009F5CA3"/>
    <w:rsid w:val="009F5EBA"/>
    <w:rsid w:val="009F6B74"/>
    <w:rsid w:val="009F6D0F"/>
    <w:rsid w:val="00A00062"/>
    <w:rsid w:val="00A006C3"/>
    <w:rsid w:val="00A0144A"/>
    <w:rsid w:val="00A0362C"/>
    <w:rsid w:val="00A0372F"/>
    <w:rsid w:val="00A038B0"/>
    <w:rsid w:val="00A04069"/>
    <w:rsid w:val="00A04247"/>
    <w:rsid w:val="00A04F1B"/>
    <w:rsid w:val="00A04FFA"/>
    <w:rsid w:val="00A0501B"/>
    <w:rsid w:val="00A052E4"/>
    <w:rsid w:val="00A06B50"/>
    <w:rsid w:val="00A07066"/>
    <w:rsid w:val="00A10672"/>
    <w:rsid w:val="00A10958"/>
    <w:rsid w:val="00A11D69"/>
    <w:rsid w:val="00A1295C"/>
    <w:rsid w:val="00A12A20"/>
    <w:rsid w:val="00A14947"/>
    <w:rsid w:val="00A14F4C"/>
    <w:rsid w:val="00A16037"/>
    <w:rsid w:val="00A16615"/>
    <w:rsid w:val="00A166ED"/>
    <w:rsid w:val="00A205DC"/>
    <w:rsid w:val="00A20B64"/>
    <w:rsid w:val="00A220D0"/>
    <w:rsid w:val="00A233A9"/>
    <w:rsid w:val="00A23DF6"/>
    <w:rsid w:val="00A23FD2"/>
    <w:rsid w:val="00A24BB9"/>
    <w:rsid w:val="00A24FDD"/>
    <w:rsid w:val="00A25443"/>
    <w:rsid w:val="00A256C1"/>
    <w:rsid w:val="00A25963"/>
    <w:rsid w:val="00A26AFF"/>
    <w:rsid w:val="00A2706D"/>
    <w:rsid w:val="00A27B51"/>
    <w:rsid w:val="00A32A83"/>
    <w:rsid w:val="00A32D61"/>
    <w:rsid w:val="00A32E38"/>
    <w:rsid w:val="00A35684"/>
    <w:rsid w:val="00A36779"/>
    <w:rsid w:val="00A368DB"/>
    <w:rsid w:val="00A36903"/>
    <w:rsid w:val="00A375B8"/>
    <w:rsid w:val="00A40605"/>
    <w:rsid w:val="00A411C3"/>
    <w:rsid w:val="00A41609"/>
    <w:rsid w:val="00A418D4"/>
    <w:rsid w:val="00A423AA"/>
    <w:rsid w:val="00A429AA"/>
    <w:rsid w:val="00A439ED"/>
    <w:rsid w:val="00A43B43"/>
    <w:rsid w:val="00A45210"/>
    <w:rsid w:val="00A4700D"/>
    <w:rsid w:val="00A5073D"/>
    <w:rsid w:val="00A51963"/>
    <w:rsid w:val="00A53152"/>
    <w:rsid w:val="00A53350"/>
    <w:rsid w:val="00A53EC6"/>
    <w:rsid w:val="00A54A87"/>
    <w:rsid w:val="00A55016"/>
    <w:rsid w:val="00A55555"/>
    <w:rsid w:val="00A55C0F"/>
    <w:rsid w:val="00A55C4C"/>
    <w:rsid w:val="00A56C14"/>
    <w:rsid w:val="00A63003"/>
    <w:rsid w:val="00A63B6B"/>
    <w:rsid w:val="00A6443F"/>
    <w:rsid w:val="00A66AFF"/>
    <w:rsid w:val="00A66FF5"/>
    <w:rsid w:val="00A67124"/>
    <w:rsid w:val="00A70194"/>
    <w:rsid w:val="00A708A3"/>
    <w:rsid w:val="00A70D68"/>
    <w:rsid w:val="00A72D56"/>
    <w:rsid w:val="00A73C6D"/>
    <w:rsid w:val="00A74833"/>
    <w:rsid w:val="00A755DF"/>
    <w:rsid w:val="00A757ED"/>
    <w:rsid w:val="00A7609F"/>
    <w:rsid w:val="00A775C1"/>
    <w:rsid w:val="00A802E0"/>
    <w:rsid w:val="00A80593"/>
    <w:rsid w:val="00A813A1"/>
    <w:rsid w:val="00A81603"/>
    <w:rsid w:val="00A830AD"/>
    <w:rsid w:val="00A832E6"/>
    <w:rsid w:val="00A835DD"/>
    <w:rsid w:val="00A83E53"/>
    <w:rsid w:val="00A83F13"/>
    <w:rsid w:val="00A84BAD"/>
    <w:rsid w:val="00A8588C"/>
    <w:rsid w:val="00A85B73"/>
    <w:rsid w:val="00A86A5A"/>
    <w:rsid w:val="00A8713F"/>
    <w:rsid w:val="00A87B81"/>
    <w:rsid w:val="00A902E7"/>
    <w:rsid w:val="00A90BA1"/>
    <w:rsid w:val="00A91086"/>
    <w:rsid w:val="00A92442"/>
    <w:rsid w:val="00A92A71"/>
    <w:rsid w:val="00A92E1A"/>
    <w:rsid w:val="00A93D9F"/>
    <w:rsid w:val="00A94B41"/>
    <w:rsid w:val="00A95311"/>
    <w:rsid w:val="00A953BC"/>
    <w:rsid w:val="00A968C7"/>
    <w:rsid w:val="00A978EC"/>
    <w:rsid w:val="00A97A9A"/>
    <w:rsid w:val="00A97D92"/>
    <w:rsid w:val="00AA010A"/>
    <w:rsid w:val="00AA0620"/>
    <w:rsid w:val="00AA0671"/>
    <w:rsid w:val="00AA08CB"/>
    <w:rsid w:val="00AA0A14"/>
    <w:rsid w:val="00AA2531"/>
    <w:rsid w:val="00AA26AE"/>
    <w:rsid w:val="00AA3986"/>
    <w:rsid w:val="00AA510B"/>
    <w:rsid w:val="00AA6EA0"/>
    <w:rsid w:val="00AA6FE7"/>
    <w:rsid w:val="00AA78C5"/>
    <w:rsid w:val="00AA7C76"/>
    <w:rsid w:val="00AB091C"/>
    <w:rsid w:val="00AB1093"/>
    <w:rsid w:val="00AB1E09"/>
    <w:rsid w:val="00AB20CB"/>
    <w:rsid w:val="00AB4E0D"/>
    <w:rsid w:val="00AB5330"/>
    <w:rsid w:val="00AB596B"/>
    <w:rsid w:val="00AB6CE7"/>
    <w:rsid w:val="00AB7144"/>
    <w:rsid w:val="00AB7747"/>
    <w:rsid w:val="00AC14CE"/>
    <w:rsid w:val="00AC14F5"/>
    <w:rsid w:val="00AC2A56"/>
    <w:rsid w:val="00AC3413"/>
    <w:rsid w:val="00AC3EF9"/>
    <w:rsid w:val="00AC443E"/>
    <w:rsid w:val="00AC5C3E"/>
    <w:rsid w:val="00AC6333"/>
    <w:rsid w:val="00AC6642"/>
    <w:rsid w:val="00AD055E"/>
    <w:rsid w:val="00AD26B3"/>
    <w:rsid w:val="00AD29FF"/>
    <w:rsid w:val="00AD2F57"/>
    <w:rsid w:val="00AD31D0"/>
    <w:rsid w:val="00AD3FD8"/>
    <w:rsid w:val="00AD4607"/>
    <w:rsid w:val="00AD47A7"/>
    <w:rsid w:val="00AD5CCC"/>
    <w:rsid w:val="00AD66AE"/>
    <w:rsid w:val="00AD7435"/>
    <w:rsid w:val="00AD7960"/>
    <w:rsid w:val="00AE188E"/>
    <w:rsid w:val="00AE21AD"/>
    <w:rsid w:val="00AE2506"/>
    <w:rsid w:val="00AE2BCE"/>
    <w:rsid w:val="00AE32C6"/>
    <w:rsid w:val="00AE3AB4"/>
    <w:rsid w:val="00AE6BC0"/>
    <w:rsid w:val="00AE7B5D"/>
    <w:rsid w:val="00AF0CBF"/>
    <w:rsid w:val="00AF253D"/>
    <w:rsid w:val="00AF257F"/>
    <w:rsid w:val="00AF263B"/>
    <w:rsid w:val="00AF2910"/>
    <w:rsid w:val="00AF33CF"/>
    <w:rsid w:val="00AF36A9"/>
    <w:rsid w:val="00AF3830"/>
    <w:rsid w:val="00AF3F2B"/>
    <w:rsid w:val="00AF4D50"/>
    <w:rsid w:val="00AF5332"/>
    <w:rsid w:val="00AF5DD0"/>
    <w:rsid w:val="00AF6179"/>
    <w:rsid w:val="00AF6318"/>
    <w:rsid w:val="00B00C6B"/>
    <w:rsid w:val="00B00C95"/>
    <w:rsid w:val="00B01007"/>
    <w:rsid w:val="00B011B2"/>
    <w:rsid w:val="00B01DB9"/>
    <w:rsid w:val="00B02C91"/>
    <w:rsid w:val="00B03D53"/>
    <w:rsid w:val="00B046B9"/>
    <w:rsid w:val="00B04B89"/>
    <w:rsid w:val="00B0648E"/>
    <w:rsid w:val="00B10098"/>
    <w:rsid w:val="00B114BC"/>
    <w:rsid w:val="00B1197D"/>
    <w:rsid w:val="00B11C26"/>
    <w:rsid w:val="00B1295A"/>
    <w:rsid w:val="00B12F3D"/>
    <w:rsid w:val="00B143FD"/>
    <w:rsid w:val="00B154A6"/>
    <w:rsid w:val="00B16876"/>
    <w:rsid w:val="00B16976"/>
    <w:rsid w:val="00B16E12"/>
    <w:rsid w:val="00B16EFC"/>
    <w:rsid w:val="00B20A45"/>
    <w:rsid w:val="00B211DD"/>
    <w:rsid w:val="00B21BEC"/>
    <w:rsid w:val="00B2292B"/>
    <w:rsid w:val="00B22C5C"/>
    <w:rsid w:val="00B23BB0"/>
    <w:rsid w:val="00B244AC"/>
    <w:rsid w:val="00B24DCD"/>
    <w:rsid w:val="00B24F30"/>
    <w:rsid w:val="00B25E04"/>
    <w:rsid w:val="00B26E04"/>
    <w:rsid w:val="00B27A3C"/>
    <w:rsid w:val="00B30486"/>
    <w:rsid w:val="00B312FB"/>
    <w:rsid w:val="00B31ABF"/>
    <w:rsid w:val="00B31ED6"/>
    <w:rsid w:val="00B33BE3"/>
    <w:rsid w:val="00B3439D"/>
    <w:rsid w:val="00B35368"/>
    <w:rsid w:val="00B35E8D"/>
    <w:rsid w:val="00B3712C"/>
    <w:rsid w:val="00B4029E"/>
    <w:rsid w:val="00B4074C"/>
    <w:rsid w:val="00B40EAD"/>
    <w:rsid w:val="00B41067"/>
    <w:rsid w:val="00B413A8"/>
    <w:rsid w:val="00B4358E"/>
    <w:rsid w:val="00B43788"/>
    <w:rsid w:val="00B440A2"/>
    <w:rsid w:val="00B45E00"/>
    <w:rsid w:val="00B46B76"/>
    <w:rsid w:val="00B46EB4"/>
    <w:rsid w:val="00B47EB6"/>
    <w:rsid w:val="00B50334"/>
    <w:rsid w:val="00B51B43"/>
    <w:rsid w:val="00B52763"/>
    <w:rsid w:val="00B52EB1"/>
    <w:rsid w:val="00B531CC"/>
    <w:rsid w:val="00B53B5D"/>
    <w:rsid w:val="00B546F5"/>
    <w:rsid w:val="00B548C4"/>
    <w:rsid w:val="00B54A95"/>
    <w:rsid w:val="00B55C9C"/>
    <w:rsid w:val="00B56538"/>
    <w:rsid w:val="00B57213"/>
    <w:rsid w:val="00B6055E"/>
    <w:rsid w:val="00B6200D"/>
    <w:rsid w:val="00B62A05"/>
    <w:rsid w:val="00B630E7"/>
    <w:rsid w:val="00B6317D"/>
    <w:rsid w:val="00B644F5"/>
    <w:rsid w:val="00B66FE6"/>
    <w:rsid w:val="00B7050A"/>
    <w:rsid w:val="00B72CC9"/>
    <w:rsid w:val="00B72CF5"/>
    <w:rsid w:val="00B72EB9"/>
    <w:rsid w:val="00B73448"/>
    <w:rsid w:val="00B734F3"/>
    <w:rsid w:val="00B745C3"/>
    <w:rsid w:val="00B74829"/>
    <w:rsid w:val="00B758D4"/>
    <w:rsid w:val="00B75E4E"/>
    <w:rsid w:val="00B76368"/>
    <w:rsid w:val="00B7723F"/>
    <w:rsid w:val="00B7730C"/>
    <w:rsid w:val="00B80534"/>
    <w:rsid w:val="00B8094D"/>
    <w:rsid w:val="00B8148E"/>
    <w:rsid w:val="00B835D4"/>
    <w:rsid w:val="00B84045"/>
    <w:rsid w:val="00B8433C"/>
    <w:rsid w:val="00B843D6"/>
    <w:rsid w:val="00B84B0F"/>
    <w:rsid w:val="00B851F5"/>
    <w:rsid w:val="00B8706E"/>
    <w:rsid w:val="00B87491"/>
    <w:rsid w:val="00B87B5F"/>
    <w:rsid w:val="00B87E70"/>
    <w:rsid w:val="00B9117E"/>
    <w:rsid w:val="00B9171A"/>
    <w:rsid w:val="00B92611"/>
    <w:rsid w:val="00B92D98"/>
    <w:rsid w:val="00B9438E"/>
    <w:rsid w:val="00B949AC"/>
    <w:rsid w:val="00B949D9"/>
    <w:rsid w:val="00B9558E"/>
    <w:rsid w:val="00B96264"/>
    <w:rsid w:val="00B96B8A"/>
    <w:rsid w:val="00B97E1A"/>
    <w:rsid w:val="00BA29E9"/>
    <w:rsid w:val="00BA37AA"/>
    <w:rsid w:val="00BA5908"/>
    <w:rsid w:val="00BA6CFA"/>
    <w:rsid w:val="00BA7142"/>
    <w:rsid w:val="00BA78AE"/>
    <w:rsid w:val="00BA7E2C"/>
    <w:rsid w:val="00BB13A2"/>
    <w:rsid w:val="00BB21B3"/>
    <w:rsid w:val="00BB237C"/>
    <w:rsid w:val="00BB3CD1"/>
    <w:rsid w:val="00BB41A3"/>
    <w:rsid w:val="00BB6E31"/>
    <w:rsid w:val="00BB71B0"/>
    <w:rsid w:val="00BB77C9"/>
    <w:rsid w:val="00BC1540"/>
    <w:rsid w:val="00BC32DC"/>
    <w:rsid w:val="00BC35B6"/>
    <w:rsid w:val="00BC4976"/>
    <w:rsid w:val="00BC6F38"/>
    <w:rsid w:val="00BC7066"/>
    <w:rsid w:val="00BD0163"/>
    <w:rsid w:val="00BD1B51"/>
    <w:rsid w:val="00BD1DDF"/>
    <w:rsid w:val="00BD2209"/>
    <w:rsid w:val="00BD31FD"/>
    <w:rsid w:val="00BD3483"/>
    <w:rsid w:val="00BD3A7D"/>
    <w:rsid w:val="00BD3FCC"/>
    <w:rsid w:val="00BD4596"/>
    <w:rsid w:val="00BD56C4"/>
    <w:rsid w:val="00BD6828"/>
    <w:rsid w:val="00BD7867"/>
    <w:rsid w:val="00BE0340"/>
    <w:rsid w:val="00BE07F5"/>
    <w:rsid w:val="00BE1405"/>
    <w:rsid w:val="00BE1BA0"/>
    <w:rsid w:val="00BE2AF9"/>
    <w:rsid w:val="00BE2F46"/>
    <w:rsid w:val="00BE312D"/>
    <w:rsid w:val="00BE35A7"/>
    <w:rsid w:val="00BE3ABF"/>
    <w:rsid w:val="00BE4A13"/>
    <w:rsid w:val="00BE5453"/>
    <w:rsid w:val="00BE7005"/>
    <w:rsid w:val="00BE7424"/>
    <w:rsid w:val="00BE7561"/>
    <w:rsid w:val="00BE7C4D"/>
    <w:rsid w:val="00BF0E76"/>
    <w:rsid w:val="00BF1B89"/>
    <w:rsid w:val="00BF1C20"/>
    <w:rsid w:val="00BF63E3"/>
    <w:rsid w:val="00BF7434"/>
    <w:rsid w:val="00BF7603"/>
    <w:rsid w:val="00C0021F"/>
    <w:rsid w:val="00C006D6"/>
    <w:rsid w:val="00C006FC"/>
    <w:rsid w:val="00C00D18"/>
    <w:rsid w:val="00C01938"/>
    <w:rsid w:val="00C023F6"/>
    <w:rsid w:val="00C036B4"/>
    <w:rsid w:val="00C0385D"/>
    <w:rsid w:val="00C04718"/>
    <w:rsid w:val="00C068F3"/>
    <w:rsid w:val="00C070C8"/>
    <w:rsid w:val="00C103AD"/>
    <w:rsid w:val="00C10578"/>
    <w:rsid w:val="00C10763"/>
    <w:rsid w:val="00C10E3F"/>
    <w:rsid w:val="00C1138D"/>
    <w:rsid w:val="00C1174B"/>
    <w:rsid w:val="00C1198E"/>
    <w:rsid w:val="00C135BC"/>
    <w:rsid w:val="00C13D77"/>
    <w:rsid w:val="00C14378"/>
    <w:rsid w:val="00C147C8"/>
    <w:rsid w:val="00C149EA"/>
    <w:rsid w:val="00C14CA7"/>
    <w:rsid w:val="00C15C95"/>
    <w:rsid w:val="00C16D66"/>
    <w:rsid w:val="00C174B8"/>
    <w:rsid w:val="00C17CBB"/>
    <w:rsid w:val="00C20287"/>
    <w:rsid w:val="00C20FE6"/>
    <w:rsid w:val="00C22485"/>
    <w:rsid w:val="00C22ACC"/>
    <w:rsid w:val="00C232E9"/>
    <w:rsid w:val="00C234EF"/>
    <w:rsid w:val="00C24207"/>
    <w:rsid w:val="00C2596A"/>
    <w:rsid w:val="00C267EB"/>
    <w:rsid w:val="00C26B15"/>
    <w:rsid w:val="00C27537"/>
    <w:rsid w:val="00C27718"/>
    <w:rsid w:val="00C277AD"/>
    <w:rsid w:val="00C27D50"/>
    <w:rsid w:val="00C30D72"/>
    <w:rsid w:val="00C31263"/>
    <w:rsid w:val="00C3221F"/>
    <w:rsid w:val="00C328FE"/>
    <w:rsid w:val="00C329BA"/>
    <w:rsid w:val="00C33330"/>
    <w:rsid w:val="00C33507"/>
    <w:rsid w:val="00C3409E"/>
    <w:rsid w:val="00C34763"/>
    <w:rsid w:val="00C35209"/>
    <w:rsid w:val="00C35718"/>
    <w:rsid w:val="00C362DF"/>
    <w:rsid w:val="00C36814"/>
    <w:rsid w:val="00C36A7B"/>
    <w:rsid w:val="00C37212"/>
    <w:rsid w:val="00C403EF"/>
    <w:rsid w:val="00C410DD"/>
    <w:rsid w:val="00C42A88"/>
    <w:rsid w:val="00C42D0B"/>
    <w:rsid w:val="00C43238"/>
    <w:rsid w:val="00C43B74"/>
    <w:rsid w:val="00C4409D"/>
    <w:rsid w:val="00C44200"/>
    <w:rsid w:val="00C443C6"/>
    <w:rsid w:val="00C44403"/>
    <w:rsid w:val="00C44E72"/>
    <w:rsid w:val="00C45125"/>
    <w:rsid w:val="00C452A6"/>
    <w:rsid w:val="00C45617"/>
    <w:rsid w:val="00C45A06"/>
    <w:rsid w:val="00C45C0D"/>
    <w:rsid w:val="00C45EEB"/>
    <w:rsid w:val="00C47E5B"/>
    <w:rsid w:val="00C50B12"/>
    <w:rsid w:val="00C50BAD"/>
    <w:rsid w:val="00C515C5"/>
    <w:rsid w:val="00C524E5"/>
    <w:rsid w:val="00C5298D"/>
    <w:rsid w:val="00C54E55"/>
    <w:rsid w:val="00C55007"/>
    <w:rsid w:val="00C555FF"/>
    <w:rsid w:val="00C55FB6"/>
    <w:rsid w:val="00C5624C"/>
    <w:rsid w:val="00C56868"/>
    <w:rsid w:val="00C60D03"/>
    <w:rsid w:val="00C60ED9"/>
    <w:rsid w:val="00C60EE5"/>
    <w:rsid w:val="00C612BE"/>
    <w:rsid w:val="00C61E4B"/>
    <w:rsid w:val="00C62663"/>
    <w:rsid w:val="00C6400C"/>
    <w:rsid w:val="00C64BFF"/>
    <w:rsid w:val="00C66012"/>
    <w:rsid w:val="00C662A7"/>
    <w:rsid w:val="00C66389"/>
    <w:rsid w:val="00C66699"/>
    <w:rsid w:val="00C66DF2"/>
    <w:rsid w:val="00C67EF0"/>
    <w:rsid w:val="00C67FE8"/>
    <w:rsid w:val="00C704E9"/>
    <w:rsid w:val="00C71DD0"/>
    <w:rsid w:val="00C735BC"/>
    <w:rsid w:val="00C74532"/>
    <w:rsid w:val="00C7486C"/>
    <w:rsid w:val="00C74E0E"/>
    <w:rsid w:val="00C753BF"/>
    <w:rsid w:val="00C763C9"/>
    <w:rsid w:val="00C76415"/>
    <w:rsid w:val="00C76A0E"/>
    <w:rsid w:val="00C77E29"/>
    <w:rsid w:val="00C80057"/>
    <w:rsid w:val="00C8018C"/>
    <w:rsid w:val="00C80F4B"/>
    <w:rsid w:val="00C817A3"/>
    <w:rsid w:val="00C81859"/>
    <w:rsid w:val="00C82232"/>
    <w:rsid w:val="00C82913"/>
    <w:rsid w:val="00C8401B"/>
    <w:rsid w:val="00C84404"/>
    <w:rsid w:val="00C84851"/>
    <w:rsid w:val="00C849C4"/>
    <w:rsid w:val="00C84B95"/>
    <w:rsid w:val="00C86110"/>
    <w:rsid w:val="00C86536"/>
    <w:rsid w:val="00C86583"/>
    <w:rsid w:val="00C873DA"/>
    <w:rsid w:val="00C87A8C"/>
    <w:rsid w:val="00C905C4"/>
    <w:rsid w:val="00C90726"/>
    <w:rsid w:val="00C91417"/>
    <w:rsid w:val="00C91731"/>
    <w:rsid w:val="00C91D99"/>
    <w:rsid w:val="00C92376"/>
    <w:rsid w:val="00C92391"/>
    <w:rsid w:val="00C9470F"/>
    <w:rsid w:val="00C95067"/>
    <w:rsid w:val="00C972B1"/>
    <w:rsid w:val="00C974B9"/>
    <w:rsid w:val="00CA166F"/>
    <w:rsid w:val="00CA2288"/>
    <w:rsid w:val="00CA2CCE"/>
    <w:rsid w:val="00CA3DF4"/>
    <w:rsid w:val="00CA3FAC"/>
    <w:rsid w:val="00CA43FD"/>
    <w:rsid w:val="00CA4E9E"/>
    <w:rsid w:val="00CA50A2"/>
    <w:rsid w:val="00CA5B62"/>
    <w:rsid w:val="00CA7EF8"/>
    <w:rsid w:val="00CB0C21"/>
    <w:rsid w:val="00CB0E07"/>
    <w:rsid w:val="00CB1280"/>
    <w:rsid w:val="00CB15D2"/>
    <w:rsid w:val="00CB2C13"/>
    <w:rsid w:val="00CB41B5"/>
    <w:rsid w:val="00CB5E51"/>
    <w:rsid w:val="00CB63E7"/>
    <w:rsid w:val="00CB6895"/>
    <w:rsid w:val="00CC0DA4"/>
    <w:rsid w:val="00CC1903"/>
    <w:rsid w:val="00CC1A22"/>
    <w:rsid w:val="00CC1CAE"/>
    <w:rsid w:val="00CC2568"/>
    <w:rsid w:val="00CC388A"/>
    <w:rsid w:val="00CC3BCD"/>
    <w:rsid w:val="00CC4104"/>
    <w:rsid w:val="00CC489B"/>
    <w:rsid w:val="00CC6AB8"/>
    <w:rsid w:val="00CD00D8"/>
    <w:rsid w:val="00CD102F"/>
    <w:rsid w:val="00CD2BCD"/>
    <w:rsid w:val="00CD2F3D"/>
    <w:rsid w:val="00CD308C"/>
    <w:rsid w:val="00CD34BE"/>
    <w:rsid w:val="00CD35F1"/>
    <w:rsid w:val="00CD3A4C"/>
    <w:rsid w:val="00CD4614"/>
    <w:rsid w:val="00CD5426"/>
    <w:rsid w:val="00CD5D4B"/>
    <w:rsid w:val="00CE10E9"/>
    <w:rsid w:val="00CE2910"/>
    <w:rsid w:val="00CE2D50"/>
    <w:rsid w:val="00CE304C"/>
    <w:rsid w:val="00CE339E"/>
    <w:rsid w:val="00CE38BC"/>
    <w:rsid w:val="00CE5393"/>
    <w:rsid w:val="00CE54EA"/>
    <w:rsid w:val="00CF26F4"/>
    <w:rsid w:val="00CF3522"/>
    <w:rsid w:val="00CF36BE"/>
    <w:rsid w:val="00CF3F96"/>
    <w:rsid w:val="00CF4F9F"/>
    <w:rsid w:val="00CF5453"/>
    <w:rsid w:val="00CF6000"/>
    <w:rsid w:val="00D003F3"/>
    <w:rsid w:val="00D0092C"/>
    <w:rsid w:val="00D0175B"/>
    <w:rsid w:val="00D02170"/>
    <w:rsid w:val="00D024CA"/>
    <w:rsid w:val="00D032BB"/>
    <w:rsid w:val="00D0364F"/>
    <w:rsid w:val="00D03B9E"/>
    <w:rsid w:val="00D046CF"/>
    <w:rsid w:val="00D05862"/>
    <w:rsid w:val="00D05A25"/>
    <w:rsid w:val="00D061D6"/>
    <w:rsid w:val="00D0638A"/>
    <w:rsid w:val="00D06834"/>
    <w:rsid w:val="00D07B6F"/>
    <w:rsid w:val="00D07D8D"/>
    <w:rsid w:val="00D10107"/>
    <w:rsid w:val="00D1017C"/>
    <w:rsid w:val="00D1114A"/>
    <w:rsid w:val="00D11180"/>
    <w:rsid w:val="00D1256B"/>
    <w:rsid w:val="00D14E01"/>
    <w:rsid w:val="00D15DFE"/>
    <w:rsid w:val="00D169A2"/>
    <w:rsid w:val="00D17C40"/>
    <w:rsid w:val="00D215A2"/>
    <w:rsid w:val="00D22323"/>
    <w:rsid w:val="00D22ED1"/>
    <w:rsid w:val="00D23CA1"/>
    <w:rsid w:val="00D2416C"/>
    <w:rsid w:val="00D25F9C"/>
    <w:rsid w:val="00D260BB"/>
    <w:rsid w:val="00D260FC"/>
    <w:rsid w:val="00D2629E"/>
    <w:rsid w:val="00D26370"/>
    <w:rsid w:val="00D26416"/>
    <w:rsid w:val="00D27ACB"/>
    <w:rsid w:val="00D308ED"/>
    <w:rsid w:val="00D30F0A"/>
    <w:rsid w:val="00D31403"/>
    <w:rsid w:val="00D31A10"/>
    <w:rsid w:val="00D31DEA"/>
    <w:rsid w:val="00D31F39"/>
    <w:rsid w:val="00D32929"/>
    <w:rsid w:val="00D32C06"/>
    <w:rsid w:val="00D331D7"/>
    <w:rsid w:val="00D33709"/>
    <w:rsid w:val="00D354EB"/>
    <w:rsid w:val="00D35625"/>
    <w:rsid w:val="00D35DD9"/>
    <w:rsid w:val="00D36D86"/>
    <w:rsid w:val="00D37109"/>
    <w:rsid w:val="00D40D90"/>
    <w:rsid w:val="00D42881"/>
    <w:rsid w:val="00D428AA"/>
    <w:rsid w:val="00D42BDA"/>
    <w:rsid w:val="00D42FE8"/>
    <w:rsid w:val="00D43551"/>
    <w:rsid w:val="00D43DDE"/>
    <w:rsid w:val="00D45ED9"/>
    <w:rsid w:val="00D47167"/>
    <w:rsid w:val="00D50A34"/>
    <w:rsid w:val="00D50A7E"/>
    <w:rsid w:val="00D50F9D"/>
    <w:rsid w:val="00D51397"/>
    <w:rsid w:val="00D5292A"/>
    <w:rsid w:val="00D529D6"/>
    <w:rsid w:val="00D538F6"/>
    <w:rsid w:val="00D539B0"/>
    <w:rsid w:val="00D53EFA"/>
    <w:rsid w:val="00D53F5D"/>
    <w:rsid w:val="00D5438F"/>
    <w:rsid w:val="00D54707"/>
    <w:rsid w:val="00D54AD1"/>
    <w:rsid w:val="00D54FCB"/>
    <w:rsid w:val="00D55978"/>
    <w:rsid w:val="00D56A2B"/>
    <w:rsid w:val="00D60D0F"/>
    <w:rsid w:val="00D61580"/>
    <w:rsid w:val="00D6158F"/>
    <w:rsid w:val="00D61C4C"/>
    <w:rsid w:val="00D62FCE"/>
    <w:rsid w:val="00D6437C"/>
    <w:rsid w:val="00D64E50"/>
    <w:rsid w:val="00D66781"/>
    <w:rsid w:val="00D707FE"/>
    <w:rsid w:val="00D708D0"/>
    <w:rsid w:val="00D710B8"/>
    <w:rsid w:val="00D71774"/>
    <w:rsid w:val="00D7186B"/>
    <w:rsid w:val="00D722D8"/>
    <w:rsid w:val="00D7313F"/>
    <w:rsid w:val="00D7437E"/>
    <w:rsid w:val="00D74561"/>
    <w:rsid w:val="00D75DF6"/>
    <w:rsid w:val="00D75ECF"/>
    <w:rsid w:val="00D75FF7"/>
    <w:rsid w:val="00D76EE0"/>
    <w:rsid w:val="00D7712A"/>
    <w:rsid w:val="00D804BD"/>
    <w:rsid w:val="00D80DD7"/>
    <w:rsid w:val="00D813CF"/>
    <w:rsid w:val="00D8178E"/>
    <w:rsid w:val="00D825E3"/>
    <w:rsid w:val="00D827B0"/>
    <w:rsid w:val="00D828FC"/>
    <w:rsid w:val="00D8298C"/>
    <w:rsid w:val="00D83180"/>
    <w:rsid w:val="00D8380F"/>
    <w:rsid w:val="00D84234"/>
    <w:rsid w:val="00D84D36"/>
    <w:rsid w:val="00D86A6B"/>
    <w:rsid w:val="00D9033D"/>
    <w:rsid w:val="00D9096F"/>
    <w:rsid w:val="00D90C44"/>
    <w:rsid w:val="00D90F6C"/>
    <w:rsid w:val="00D91C72"/>
    <w:rsid w:val="00D94A34"/>
    <w:rsid w:val="00D94A7C"/>
    <w:rsid w:val="00D95896"/>
    <w:rsid w:val="00D9625A"/>
    <w:rsid w:val="00D963A2"/>
    <w:rsid w:val="00D97458"/>
    <w:rsid w:val="00D97631"/>
    <w:rsid w:val="00D97D66"/>
    <w:rsid w:val="00DA192B"/>
    <w:rsid w:val="00DA286E"/>
    <w:rsid w:val="00DA3338"/>
    <w:rsid w:val="00DA6588"/>
    <w:rsid w:val="00DA67FF"/>
    <w:rsid w:val="00DA6969"/>
    <w:rsid w:val="00DA786A"/>
    <w:rsid w:val="00DB105C"/>
    <w:rsid w:val="00DB181E"/>
    <w:rsid w:val="00DB192E"/>
    <w:rsid w:val="00DB1BFB"/>
    <w:rsid w:val="00DB2730"/>
    <w:rsid w:val="00DB297C"/>
    <w:rsid w:val="00DB2983"/>
    <w:rsid w:val="00DB3840"/>
    <w:rsid w:val="00DB633F"/>
    <w:rsid w:val="00DB7D5B"/>
    <w:rsid w:val="00DC1257"/>
    <w:rsid w:val="00DC2F2D"/>
    <w:rsid w:val="00DC3520"/>
    <w:rsid w:val="00DC3DC0"/>
    <w:rsid w:val="00DC5B2B"/>
    <w:rsid w:val="00DC5CFA"/>
    <w:rsid w:val="00DC706A"/>
    <w:rsid w:val="00DC7B08"/>
    <w:rsid w:val="00DD0645"/>
    <w:rsid w:val="00DD0FB5"/>
    <w:rsid w:val="00DD1733"/>
    <w:rsid w:val="00DD318D"/>
    <w:rsid w:val="00DD3790"/>
    <w:rsid w:val="00DD6A1E"/>
    <w:rsid w:val="00DE010E"/>
    <w:rsid w:val="00DE0FB1"/>
    <w:rsid w:val="00DE1465"/>
    <w:rsid w:val="00DE2AD2"/>
    <w:rsid w:val="00DE415E"/>
    <w:rsid w:val="00DE5C57"/>
    <w:rsid w:val="00DE62D6"/>
    <w:rsid w:val="00DE6A06"/>
    <w:rsid w:val="00DF0125"/>
    <w:rsid w:val="00DF1181"/>
    <w:rsid w:val="00DF24DE"/>
    <w:rsid w:val="00DF25E7"/>
    <w:rsid w:val="00DF2E12"/>
    <w:rsid w:val="00DF514A"/>
    <w:rsid w:val="00DF5615"/>
    <w:rsid w:val="00DF5BC3"/>
    <w:rsid w:val="00DF5CCA"/>
    <w:rsid w:val="00DF6690"/>
    <w:rsid w:val="00DF6804"/>
    <w:rsid w:val="00DF6F3F"/>
    <w:rsid w:val="00DF7363"/>
    <w:rsid w:val="00DF7FEA"/>
    <w:rsid w:val="00E003B6"/>
    <w:rsid w:val="00E00DB0"/>
    <w:rsid w:val="00E010BD"/>
    <w:rsid w:val="00E02675"/>
    <w:rsid w:val="00E02721"/>
    <w:rsid w:val="00E0358D"/>
    <w:rsid w:val="00E04323"/>
    <w:rsid w:val="00E045A6"/>
    <w:rsid w:val="00E05D22"/>
    <w:rsid w:val="00E0607C"/>
    <w:rsid w:val="00E06477"/>
    <w:rsid w:val="00E070A2"/>
    <w:rsid w:val="00E070A4"/>
    <w:rsid w:val="00E07B51"/>
    <w:rsid w:val="00E07B9C"/>
    <w:rsid w:val="00E11C73"/>
    <w:rsid w:val="00E11F3C"/>
    <w:rsid w:val="00E12546"/>
    <w:rsid w:val="00E12E57"/>
    <w:rsid w:val="00E146D5"/>
    <w:rsid w:val="00E1501F"/>
    <w:rsid w:val="00E157D8"/>
    <w:rsid w:val="00E1668D"/>
    <w:rsid w:val="00E17C35"/>
    <w:rsid w:val="00E2103A"/>
    <w:rsid w:val="00E22683"/>
    <w:rsid w:val="00E22BEC"/>
    <w:rsid w:val="00E22F6F"/>
    <w:rsid w:val="00E23566"/>
    <w:rsid w:val="00E2445A"/>
    <w:rsid w:val="00E24830"/>
    <w:rsid w:val="00E2656A"/>
    <w:rsid w:val="00E30E20"/>
    <w:rsid w:val="00E30F7C"/>
    <w:rsid w:val="00E31C6A"/>
    <w:rsid w:val="00E32385"/>
    <w:rsid w:val="00E325C2"/>
    <w:rsid w:val="00E333EB"/>
    <w:rsid w:val="00E333FB"/>
    <w:rsid w:val="00E33712"/>
    <w:rsid w:val="00E33F3F"/>
    <w:rsid w:val="00E362D9"/>
    <w:rsid w:val="00E3667C"/>
    <w:rsid w:val="00E36F8A"/>
    <w:rsid w:val="00E36FDB"/>
    <w:rsid w:val="00E37308"/>
    <w:rsid w:val="00E379E7"/>
    <w:rsid w:val="00E40DCF"/>
    <w:rsid w:val="00E41276"/>
    <w:rsid w:val="00E412D0"/>
    <w:rsid w:val="00E4167E"/>
    <w:rsid w:val="00E41A7D"/>
    <w:rsid w:val="00E42396"/>
    <w:rsid w:val="00E429A9"/>
    <w:rsid w:val="00E42A0E"/>
    <w:rsid w:val="00E42EBC"/>
    <w:rsid w:val="00E438CB"/>
    <w:rsid w:val="00E43CD5"/>
    <w:rsid w:val="00E43D72"/>
    <w:rsid w:val="00E45336"/>
    <w:rsid w:val="00E4682D"/>
    <w:rsid w:val="00E468A7"/>
    <w:rsid w:val="00E475A5"/>
    <w:rsid w:val="00E479D6"/>
    <w:rsid w:val="00E50803"/>
    <w:rsid w:val="00E52004"/>
    <w:rsid w:val="00E5368F"/>
    <w:rsid w:val="00E54761"/>
    <w:rsid w:val="00E550AF"/>
    <w:rsid w:val="00E56006"/>
    <w:rsid w:val="00E56322"/>
    <w:rsid w:val="00E5794C"/>
    <w:rsid w:val="00E57CBF"/>
    <w:rsid w:val="00E60982"/>
    <w:rsid w:val="00E60BA1"/>
    <w:rsid w:val="00E60CDF"/>
    <w:rsid w:val="00E61F04"/>
    <w:rsid w:val="00E62927"/>
    <w:rsid w:val="00E62C62"/>
    <w:rsid w:val="00E62CD6"/>
    <w:rsid w:val="00E63970"/>
    <w:rsid w:val="00E64637"/>
    <w:rsid w:val="00E654C1"/>
    <w:rsid w:val="00E65864"/>
    <w:rsid w:val="00E65D97"/>
    <w:rsid w:val="00E65E0A"/>
    <w:rsid w:val="00E66A77"/>
    <w:rsid w:val="00E6739C"/>
    <w:rsid w:val="00E67603"/>
    <w:rsid w:val="00E678BB"/>
    <w:rsid w:val="00E70276"/>
    <w:rsid w:val="00E70478"/>
    <w:rsid w:val="00E71983"/>
    <w:rsid w:val="00E728C4"/>
    <w:rsid w:val="00E729F5"/>
    <w:rsid w:val="00E72A5A"/>
    <w:rsid w:val="00E73354"/>
    <w:rsid w:val="00E73989"/>
    <w:rsid w:val="00E74C4E"/>
    <w:rsid w:val="00E76808"/>
    <w:rsid w:val="00E77B70"/>
    <w:rsid w:val="00E809E0"/>
    <w:rsid w:val="00E80BBD"/>
    <w:rsid w:val="00E815EA"/>
    <w:rsid w:val="00E83FCC"/>
    <w:rsid w:val="00E841C9"/>
    <w:rsid w:val="00E84BDA"/>
    <w:rsid w:val="00E85B49"/>
    <w:rsid w:val="00E85B92"/>
    <w:rsid w:val="00E87654"/>
    <w:rsid w:val="00E87CFC"/>
    <w:rsid w:val="00E90D2B"/>
    <w:rsid w:val="00E912B1"/>
    <w:rsid w:val="00E91A54"/>
    <w:rsid w:val="00E9242D"/>
    <w:rsid w:val="00E92A9F"/>
    <w:rsid w:val="00E92FBC"/>
    <w:rsid w:val="00E944B0"/>
    <w:rsid w:val="00EA048E"/>
    <w:rsid w:val="00EA0DDC"/>
    <w:rsid w:val="00EA11C0"/>
    <w:rsid w:val="00EA2D77"/>
    <w:rsid w:val="00EA325E"/>
    <w:rsid w:val="00EA46DD"/>
    <w:rsid w:val="00EA4AA0"/>
    <w:rsid w:val="00EA519D"/>
    <w:rsid w:val="00EA57A1"/>
    <w:rsid w:val="00EA5DF2"/>
    <w:rsid w:val="00EA74F4"/>
    <w:rsid w:val="00EB040E"/>
    <w:rsid w:val="00EB425D"/>
    <w:rsid w:val="00EB5255"/>
    <w:rsid w:val="00EB5968"/>
    <w:rsid w:val="00EB5C47"/>
    <w:rsid w:val="00EB5FAD"/>
    <w:rsid w:val="00EB72CF"/>
    <w:rsid w:val="00EB7CD1"/>
    <w:rsid w:val="00EB7F84"/>
    <w:rsid w:val="00EC0048"/>
    <w:rsid w:val="00EC00E4"/>
    <w:rsid w:val="00EC0D1F"/>
    <w:rsid w:val="00EC245A"/>
    <w:rsid w:val="00EC3950"/>
    <w:rsid w:val="00EC43D5"/>
    <w:rsid w:val="00EC4D0E"/>
    <w:rsid w:val="00EC6995"/>
    <w:rsid w:val="00EC75FC"/>
    <w:rsid w:val="00EC7765"/>
    <w:rsid w:val="00ED0639"/>
    <w:rsid w:val="00ED2A80"/>
    <w:rsid w:val="00ED333B"/>
    <w:rsid w:val="00ED4366"/>
    <w:rsid w:val="00ED6165"/>
    <w:rsid w:val="00ED7049"/>
    <w:rsid w:val="00ED736A"/>
    <w:rsid w:val="00ED7F1F"/>
    <w:rsid w:val="00EE1C6F"/>
    <w:rsid w:val="00EE2882"/>
    <w:rsid w:val="00EE40B9"/>
    <w:rsid w:val="00EE4314"/>
    <w:rsid w:val="00EE4C43"/>
    <w:rsid w:val="00EE4C64"/>
    <w:rsid w:val="00EE4E6B"/>
    <w:rsid w:val="00EE50C8"/>
    <w:rsid w:val="00EE7520"/>
    <w:rsid w:val="00EF038E"/>
    <w:rsid w:val="00EF0D62"/>
    <w:rsid w:val="00EF1CE5"/>
    <w:rsid w:val="00EF218C"/>
    <w:rsid w:val="00EF2255"/>
    <w:rsid w:val="00EF234E"/>
    <w:rsid w:val="00EF4362"/>
    <w:rsid w:val="00EF4755"/>
    <w:rsid w:val="00EF4874"/>
    <w:rsid w:val="00EF4BC8"/>
    <w:rsid w:val="00EF6FA0"/>
    <w:rsid w:val="00EF7135"/>
    <w:rsid w:val="00EF797E"/>
    <w:rsid w:val="00F00523"/>
    <w:rsid w:val="00F00E3D"/>
    <w:rsid w:val="00F015BE"/>
    <w:rsid w:val="00F01BEA"/>
    <w:rsid w:val="00F027DB"/>
    <w:rsid w:val="00F02DEA"/>
    <w:rsid w:val="00F04D58"/>
    <w:rsid w:val="00F10081"/>
    <w:rsid w:val="00F107AB"/>
    <w:rsid w:val="00F10946"/>
    <w:rsid w:val="00F1278F"/>
    <w:rsid w:val="00F13FCF"/>
    <w:rsid w:val="00F142B2"/>
    <w:rsid w:val="00F14A7A"/>
    <w:rsid w:val="00F1500C"/>
    <w:rsid w:val="00F15FA1"/>
    <w:rsid w:val="00F16281"/>
    <w:rsid w:val="00F16DA3"/>
    <w:rsid w:val="00F170B8"/>
    <w:rsid w:val="00F175D6"/>
    <w:rsid w:val="00F207F5"/>
    <w:rsid w:val="00F208ED"/>
    <w:rsid w:val="00F21FB2"/>
    <w:rsid w:val="00F2280C"/>
    <w:rsid w:val="00F22985"/>
    <w:rsid w:val="00F231EE"/>
    <w:rsid w:val="00F2341F"/>
    <w:rsid w:val="00F23A2F"/>
    <w:rsid w:val="00F23F39"/>
    <w:rsid w:val="00F24DC2"/>
    <w:rsid w:val="00F261F8"/>
    <w:rsid w:val="00F26C80"/>
    <w:rsid w:val="00F26ED4"/>
    <w:rsid w:val="00F275FC"/>
    <w:rsid w:val="00F27A4F"/>
    <w:rsid w:val="00F30153"/>
    <w:rsid w:val="00F303A2"/>
    <w:rsid w:val="00F30BFF"/>
    <w:rsid w:val="00F30EA4"/>
    <w:rsid w:val="00F31923"/>
    <w:rsid w:val="00F3383E"/>
    <w:rsid w:val="00F33944"/>
    <w:rsid w:val="00F3487B"/>
    <w:rsid w:val="00F34FB1"/>
    <w:rsid w:val="00F35955"/>
    <w:rsid w:val="00F35B3C"/>
    <w:rsid w:val="00F37AB9"/>
    <w:rsid w:val="00F403A5"/>
    <w:rsid w:val="00F4053A"/>
    <w:rsid w:val="00F407B1"/>
    <w:rsid w:val="00F45549"/>
    <w:rsid w:val="00F46162"/>
    <w:rsid w:val="00F46312"/>
    <w:rsid w:val="00F465A7"/>
    <w:rsid w:val="00F46C4C"/>
    <w:rsid w:val="00F47ECF"/>
    <w:rsid w:val="00F50803"/>
    <w:rsid w:val="00F50B7C"/>
    <w:rsid w:val="00F50FE5"/>
    <w:rsid w:val="00F5141E"/>
    <w:rsid w:val="00F515B9"/>
    <w:rsid w:val="00F5172D"/>
    <w:rsid w:val="00F52228"/>
    <w:rsid w:val="00F522DA"/>
    <w:rsid w:val="00F52758"/>
    <w:rsid w:val="00F53A42"/>
    <w:rsid w:val="00F53B97"/>
    <w:rsid w:val="00F53DB2"/>
    <w:rsid w:val="00F54CCB"/>
    <w:rsid w:val="00F550E6"/>
    <w:rsid w:val="00F551B6"/>
    <w:rsid w:val="00F56274"/>
    <w:rsid w:val="00F60260"/>
    <w:rsid w:val="00F60A6D"/>
    <w:rsid w:val="00F60B11"/>
    <w:rsid w:val="00F61142"/>
    <w:rsid w:val="00F620C6"/>
    <w:rsid w:val="00F62326"/>
    <w:rsid w:val="00F628DF"/>
    <w:rsid w:val="00F64E68"/>
    <w:rsid w:val="00F65274"/>
    <w:rsid w:val="00F65BD4"/>
    <w:rsid w:val="00F66951"/>
    <w:rsid w:val="00F66C56"/>
    <w:rsid w:val="00F66EEE"/>
    <w:rsid w:val="00F66F96"/>
    <w:rsid w:val="00F67757"/>
    <w:rsid w:val="00F70387"/>
    <w:rsid w:val="00F73A42"/>
    <w:rsid w:val="00F74345"/>
    <w:rsid w:val="00F74423"/>
    <w:rsid w:val="00F74D32"/>
    <w:rsid w:val="00F751D2"/>
    <w:rsid w:val="00F7567A"/>
    <w:rsid w:val="00F76123"/>
    <w:rsid w:val="00F76EAA"/>
    <w:rsid w:val="00F77B93"/>
    <w:rsid w:val="00F80784"/>
    <w:rsid w:val="00F80A0A"/>
    <w:rsid w:val="00F820D9"/>
    <w:rsid w:val="00F82B19"/>
    <w:rsid w:val="00F83236"/>
    <w:rsid w:val="00F83D6E"/>
    <w:rsid w:val="00F844B1"/>
    <w:rsid w:val="00F9076A"/>
    <w:rsid w:val="00F90FCC"/>
    <w:rsid w:val="00F91123"/>
    <w:rsid w:val="00F911CE"/>
    <w:rsid w:val="00F9212D"/>
    <w:rsid w:val="00F92C1C"/>
    <w:rsid w:val="00F92E5E"/>
    <w:rsid w:val="00F93770"/>
    <w:rsid w:val="00F944A1"/>
    <w:rsid w:val="00F96017"/>
    <w:rsid w:val="00F96204"/>
    <w:rsid w:val="00F965DA"/>
    <w:rsid w:val="00F97260"/>
    <w:rsid w:val="00FA08F4"/>
    <w:rsid w:val="00FA1281"/>
    <w:rsid w:val="00FA158E"/>
    <w:rsid w:val="00FA191D"/>
    <w:rsid w:val="00FA2358"/>
    <w:rsid w:val="00FA2651"/>
    <w:rsid w:val="00FA3815"/>
    <w:rsid w:val="00FA406A"/>
    <w:rsid w:val="00FA682C"/>
    <w:rsid w:val="00FA691B"/>
    <w:rsid w:val="00FA6931"/>
    <w:rsid w:val="00FA6B49"/>
    <w:rsid w:val="00FA7E48"/>
    <w:rsid w:val="00FB033D"/>
    <w:rsid w:val="00FB039D"/>
    <w:rsid w:val="00FB0CFA"/>
    <w:rsid w:val="00FB2105"/>
    <w:rsid w:val="00FB292F"/>
    <w:rsid w:val="00FB2F85"/>
    <w:rsid w:val="00FB503A"/>
    <w:rsid w:val="00FB516C"/>
    <w:rsid w:val="00FB718E"/>
    <w:rsid w:val="00FB783F"/>
    <w:rsid w:val="00FB7F22"/>
    <w:rsid w:val="00FC03A1"/>
    <w:rsid w:val="00FC0521"/>
    <w:rsid w:val="00FC19FB"/>
    <w:rsid w:val="00FC1DE6"/>
    <w:rsid w:val="00FC1DE8"/>
    <w:rsid w:val="00FC2144"/>
    <w:rsid w:val="00FC26FE"/>
    <w:rsid w:val="00FC3870"/>
    <w:rsid w:val="00FC3923"/>
    <w:rsid w:val="00FC42BD"/>
    <w:rsid w:val="00FC42F7"/>
    <w:rsid w:val="00FC5204"/>
    <w:rsid w:val="00FC52C9"/>
    <w:rsid w:val="00FC68D6"/>
    <w:rsid w:val="00FC76AF"/>
    <w:rsid w:val="00FD0236"/>
    <w:rsid w:val="00FD04F2"/>
    <w:rsid w:val="00FD0556"/>
    <w:rsid w:val="00FD07EA"/>
    <w:rsid w:val="00FD18F4"/>
    <w:rsid w:val="00FD1A61"/>
    <w:rsid w:val="00FD2517"/>
    <w:rsid w:val="00FD2884"/>
    <w:rsid w:val="00FD447A"/>
    <w:rsid w:val="00FD54DB"/>
    <w:rsid w:val="00FD619F"/>
    <w:rsid w:val="00FD6983"/>
    <w:rsid w:val="00FD6FAA"/>
    <w:rsid w:val="00FE0581"/>
    <w:rsid w:val="00FE0E46"/>
    <w:rsid w:val="00FE392C"/>
    <w:rsid w:val="00FE3B33"/>
    <w:rsid w:val="00FE462C"/>
    <w:rsid w:val="00FE5CF3"/>
    <w:rsid w:val="00FF0A2E"/>
    <w:rsid w:val="00FF15B5"/>
    <w:rsid w:val="00FF192D"/>
    <w:rsid w:val="00FF388F"/>
    <w:rsid w:val="00FF4518"/>
    <w:rsid w:val="00FF45BF"/>
    <w:rsid w:val="00FF5E27"/>
    <w:rsid w:val="00FF77C0"/>
    <w:rsid w:val="00FF7832"/>
    <w:rsid w:val="00FF78EC"/>
    <w:rsid w:val="01290F7E"/>
    <w:rsid w:val="015D1E09"/>
    <w:rsid w:val="01763BCE"/>
    <w:rsid w:val="01C901A1"/>
    <w:rsid w:val="02697903"/>
    <w:rsid w:val="027D3B5B"/>
    <w:rsid w:val="02F96569"/>
    <w:rsid w:val="03EA7B21"/>
    <w:rsid w:val="04E2157A"/>
    <w:rsid w:val="05F83EAE"/>
    <w:rsid w:val="063E7D85"/>
    <w:rsid w:val="07293586"/>
    <w:rsid w:val="07295285"/>
    <w:rsid w:val="07636392"/>
    <w:rsid w:val="07770C56"/>
    <w:rsid w:val="090B12AE"/>
    <w:rsid w:val="092217DD"/>
    <w:rsid w:val="093A7294"/>
    <w:rsid w:val="09C41CDB"/>
    <w:rsid w:val="09D773D1"/>
    <w:rsid w:val="0A263993"/>
    <w:rsid w:val="0A2D3AC2"/>
    <w:rsid w:val="0AA755DF"/>
    <w:rsid w:val="0B120D44"/>
    <w:rsid w:val="0BD27BF6"/>
    <w:rsid w:val="0C3B3C7D"/>
    <w:rsid w:val="0CAB2EAE"/>
    <w:rsid w:val="0CC06645"/>
    <w:rsid w:val="0CDF2FE6"/>
    <w:rsid w:val="0D504F8B"/>
    <w:rsid w:val="0D621C7D"/>
    <w:rsid w:val="0D8238FA"/>
    <w:rsid w:val="0D9B5431"/>
    <w:rsid w:val="0E73034D"/>
    <w:rsid w:val="0F13775A"/>
    <w:rsid w:val="0F5F45FE"/>
    <w:rsid w:val="0F9A112B"/>
    <w:rsid w:val="106D2F64"/>
    <w:rsid w:val="10B63710"/>
    <w:rsid w:val="10F10820"/>
    <w:rsid w:val="111C2F7A"/>
    <w:rsid w:val="11462FD9"/>
    <w:rsid w:val="11665CA1"/>
    <w:rsid w:val="131C3DA1"/>
    <w:rsid w:val="13951726"/>
    <w:rsid w:val="14396509"/>
    <w:rsid w:val="14DD2C3C"/>
    <w:rsid w:val="16087E1D"/>
    <w:rsid w:val="17701D14"/>
    <w:rsid w:val="17735226"/>
    <w:rsid w:val="189F624C"/>
    <w:rsid w:val="193C34F7"/>
    <w:rsid w:val="193E6BC5"/>
    <w:rsid w:val="19937B67"/>
    <w:rsid w:val="19E05CD3"/>
    <w:rsid w:val="1A1C66C0"/>
    <w:rsid w:val="1A42393B"/>
    <w:rsid w:val="1A5D3725"/>
    <w:rsid w:val="1A846F04"/>
    <w:rsid w:val="1AAD45DE"/>
    <w:rsid w:val="1B046F80"/>
    <w:rsid w:val="1B3267B5"/>
    <w:rsid w:val="1B40161D"/>
    <w:rsid w:val="1B441859"/>
    <w:rsid w:val="1B6606B1"/>
    <w:rsid w:val="1B8D063C"/>
    <w:rsid w:val="1C161DDD"/>
    <w:rsid w:val="1C5E7925"/>
    <w:rsid w:val="1CC25AC1"/>
    <w:rsid w:val="1CFD070F"/>
    <w:rsid w:val="1D183933"/>
    <w:rsid w:val="1D5F6196"/>
    <w:rsid w:val="1D6132A5"/>
    <w:rsid w:val="1D8E56D5"/>
    <w:rsid w:val="1E7A43DA"/>
    <w:rsid w:val="1EF34658"/>
    <w:rsid w:val="1F446C62"/>
    <w:rsid w:val="1F6C085F"/>
    <w:rsid w:val="1FE7539E"/>
    <w:rsid w:val="202A5EEF"/>
    <w:rsid w:val="20671BE0"/>
    <w:rsid w:val="20963CB8"/>
    <w:rsid w:val="20A81A1B"/>
    <w:rsid w:val="20B07FB6"/>
    <w:rsid w:val="20B646FB"/>
    <w:rsid w:val="213B74B1"/>
    <w:rsid w:val="215A2310"/>
    <w:rsid w:val="21DE318A"/>
    <w:rsid w:val="21EF5B80"/>
    <w:rsid w:val="22576990"/>
    <w:rsid w:val="22C5455D"/>
    <w:rsid w:val="22F47480"/>
    <w:rsid w:val="236732B3"/>
    <w:rsid w:val="239C52B8"/>
    <w:rsid w:val="23DE1C48"/>
    <w:rsid w:val="240210CD"/>
    <w:rsid w:val="24BF09F7"/>
    <w:rsid w:val="24D81ED3"/>
    <w:rsid w:val="252D53FE"/>
    <w:rsid w:val="25EC2D81"/>
    <w:rsid w:val="26155E73"/>
    <w:rsid w:val="277057A2"/>
    <w:rsid w:val="27CA1809"/>
    <w:rsid w:val="2809315A"/>
    <w:rsid w:val="28ED036A"/>
    <w:rsid w:val="28F11C08"/>
    <w:rsid w:val="29206EB8"/>
    <w:rsid w:val="29595666"/>
    <w:rsid w:val="29874881"/>
    <w:rsid w:val="29A1739B"/>
    <w:rsid w:val="29E325E0"/>
    <w:rsid w:val="29E7300B"/>
    <w:rsid w:val="2A452503"/>
    <w:rsid w:val="2A8B7E3A"/>
    <w:rsid w:val="2AEE3B7C"/>
    <w:rsid w:val="2B5E554F"/>
    <w:rsid w:val="2BA936A8"/>
    <w:rsid w:val="2C315A5A"/>
    <w:rsid w:val="2C4B1C25"/>
    <w:rsid w:val="2D616C31"/>
    <w:rsid w:val="2D9E56F5"/>
    <w:rsid w:val="2E667F96"/>
    <w:rsid w:val="2E8226AB"/>
    <w:rsid w:val="2FD065E6"/>
    <w:rsid w:val="2FD96870"/>
    <w:rsid w:val="30580BC9"/>
    <w:rsid w:val="311E2ED7"/>
    <w:rsid w:val="312D39F9"/>
    <w:rsid w:val="31403E0D"/>
    <w:rsid w:val="315619EE"/>
    <w:rsid w:val="315C449C"/>
    <w:rsid w:val="31A64D09"/>
    <w:rsid w:val="31B82709"/>
    <w:rsid w:val="31D05482"/>
    <w:rsid w:val="32285F6F"/>
    <w:rsid w:val="32400B34"/>
    <w:rsid w:val="329E6876"/>
    <w:rsid w:val="333015F2"/>
    <w:rsid w:val="334B6320"/>
    <w:rsid w:val="33D934D4"/>
    <w:rsid w:val="33FE2F6A"/>
    <w:rsid w:val="340E07E5"/>
    <w:rsid w:val="34235BF7"/>
    <w:rsid w:val="358931C8"/>
    <w:rsid w:val="358C5FA8"/>
    <w:rsid w:val="35C15DF1"/>
    <w:rsid w:val="36074A7F"/>
    <w:rsid w:val="36923549"/>
    <w:rsid w:val="36B75FBF"/>
    <w:rsid w:val="36BD0C45"/>
    <w:rsid w:val="376A6F2E"/>
    <w:rsid w:val="37806329"/>
    <w:rsid w:val="37E00298"/>
    <w:rsid w:val="38B302F9"/>
    <w:rsid w:val="38F12CD3"/>
    <w:rsid w:val="38F94775"/>
    <w:rsid w:val="392971ED"/>
    <w:rsid w:val="39325651"/>
    <w:rsid w:val="39AA711C"/>
    <w:rsid w:val="39FB1B0A"/>
    <w:rsid w:val="3A872856"/>
    <w:rsid w:val="3ABA6326"/>
    <w:rsid w:val="3B3763D1"/>
    <w:rsid w:val="3C2F6E1E"/>
    <w:rsid w:val="3C4F64BA"/>
    <w:rsid w:val="3CDA245A"/>
    <w:rsid w:val="3D1E06B7"/>
    <w:rsid w:val="3D846EEA"/>
    <w:rsid w:val="3E7F0448"/>
    <w:rsid w:val="3EDA0523"/>
    <w:rsid w:val="407A6407"/>
    <w:rsid w:val="413D44F8"/>
    <w:rsid w:val="41D852BC"/>
    <w:rsid w:val="4200449D"/>
    <w:rsid w:val="423A3BCC"/>
    <w:rsid w:val="424E57D2"/>
    <w:rsid w:val="427A45C5"/>
    <w:rsid w:val="42965550"/>
    <w:rsid w:val="42B26C49"/>
    <w:rsid w:val="433A6FE6"/>
    <w:rsid w:val="43480868"/>
    <w:rsid w:val="4350713C"/>
    <w:rsid w:val="436653E0"/>
    <w:rsid w:val="43B45FD6"/>
    <w:rsid w:val="43C4431A"/>
    <w:rsid w:val="44400B36"/>
    <w:rsid w:val="44631C22"/>
    <w:rsid w:val="44871B9A"/>
    <w:rsid w:val="44B951CC"/>
    <w:rsid w:val="44CD14E0"/>
    <w:rsid w:val="44F20B0B"/>
    <w:rsid w:val="452E5F4C"/>
    <w:rsid w:val="45612018"/>
    <w:rsid w:val="458946E9"/>
    <w:rsid w:val="45A47C0E"/>
    <w:rsid w:val="46577FD6"/>
    <w:rsid w:val="468D6910"/>
    <w:rsid w:val="46D955A7"/>
    <w:rsid w:val="47133957"/>
    <w:rsid w:val="47A07E0C"/>
    <w:rsid w:val="4829600C"/>
    <w:rsid w:val="4870272E"/>
    <w:rsid w:val="49DC7715"/>
    <w:rsid w:val="4A023139"/>
    <w:rsid w:val="4A7B576F"/>
    <w:rsid w:val="4AF561A9"/>
    <w:rsid w:val="4B663938"/>
    <w:rsid w:val="4B747061"/>
    <w:rsid w:val="4C4A0649"/>
    <w:rsid w:val="4C673E0C"/>
    <w:rsid w:val="4C7E5ECA"/>
    <w:rsid w:val="4C876AA5"/>
    <w:rsid w:val="4D0E00FB"/>
    <w:rsid w:val="4D176606"/>
    <w:rsid w:val="4D946A68"/>
    <w:rsid w:val="4DEC4FB0"/>
    <w:rsid w:val="4E075D8A"/>
    <w:rsid w:val="4EC00FAD"/>
    <w:rsid w:val="4F9843DC"/>
    <w:rsid w:val="4FC62A8C"/>
    <w:rsid w:val="4FE20F0D"/>
    <w:rsid w:val="4FE51552"/>
    <w:rsid w:val="50140C66"/>
    <w:rsid w:val="50504C4B"/>
    <w:rsid w:val="509C6E7C"/>
    <w:rsid w:val="50B878CC"/>
    <w:rsid w:val="5162104E"/>
    <w:rsid w:val="53346A12"/>
    <w:rsid w:val="53A039CC"/>
    <w:rsid w:val="53A1505A"/>
    <w:rsid w:val="53BA3A1A"/>
    <w:rsid w:val="53F35F85"/>
    <w:rsid w:val="54063E08"/>
    <w:rsid w:val="543437E8"/>
    <w:rsid w:val="54F73313"/>
    <w:rsid w:val="54F80955"/>
    <w:rsid w:val="555170A7"/>
    <w:rsid w:val="5587536D"/>
    <w:rsid w:val="559B174B"/>
    <w:rsid w:val="55CE0CF4"/>
    <w:rsid w:val="560721BC"/>
    <w:rsid w:val="56660C90"/>
    <w:rsid w:val="56B22A9C"/>
    <w:rsid w:val="56FB5EDE"/>
    <w:rsid w:val="57B72A76"/>
    <w:rsid w:val="57C3426C"/>
    <w:rsid w:val="57CE1F93"/>
    <w:rsid w:val="588743D1"/>
    <w:rsid w:val="5887701A"/>
    <w:rsid w:val="59685848"/>
    <w:rsid w:val="59856358"/>
    <w:rsid w:val="59C0439F"/>
    <w:rsid w:val="5ABE2233"/>
    <w:rsid w:val="5BDF5D95"/>
    <w:rsid w:val="5BFE7528"/>
    <w:rsid w:val="5CF12C73"/>
    <w:rsid w:val="5E2467F1"/>
    <w:rsid w:val="5EED2DC8"/>
    <w:rsid w:val="5F1A2B43"/>
    <w:rsid w:val="5FB837BB"/>
    <w:rsid w:val="601F3F77"/>
    <w:rsid w:val="60CC405A"/>
    <w:rsid w:val="61E215D8"/>
    <w:rsid w:val="621B3775"/>
    <w:rsid w:val="62364782"/>
    <w:rsid w:val="626544F2"/>
    <w:rsid w:val="62BD2580"/>
    <w:rsid w:val="6394356A"/>
    <w:rsid w:val="63C61B2C"/>
    <w:rsid w:val="63D0385E"/>
    <w:rsid w:val="63D40BE9"/>
    <w:rsid w:val="64102431"/>
    <w:rsid w:val="647E203D"/>
    <w:rsid w:val="64A5243A"/>
    <w:rsid w:val="64E33DF4"/>
    <w:rsid w:val="64F516B1"/>
    <w:rsid w:val="64F531DE"/>
    <w:rsid w:val="65373578"/>
    <w:rsid w:val="65B273C3"/>
    <w:rsid w:val="671F124A"/>
    <w:rsid w:val="677A33C6"/>
    <w:rsid w:val="67D73005"/>
    <w:rsid w:val="681F6961"/>
    <w:rsid w:val="68466DD7"/>
    <w:rsid w:val="68610A2F"/>
    <w:rsid w:val="68805514"/>
    <w:rsid w:val="68A044D6"/>
    <w:rsid w:val="69316E2F"/>
    <w:rsid w:val="694E2071"/>
    <w:rsid w:val="69766163"/>
    <w:rsid w:val="697A3B33"/>
    <w:rsid w:val="69D44760"/>
    <w:rsid w:val="6A520EC7"/>
    <w:rsid w:val="6AF87E20"/>
    <w:rsid w:val="6AFD1B81"/>
    <w:rsid w:val="6B322639"/>
    <w:rsid w:val="6C636C38"/>
    <w:rsid w:val="6CB542C8"/>
    <w:rsid w:val="6DB34098"/>
    <w:rsid w:val="6DB545B6"/>
    <w:rsid w:val="6DE02FB4"/>
    <w:rsid w:val="6E4679AC"/>
    <w:rsid w:val="6E514CED"/>
    <w:rsid w:val="6E930639"/>
    <w:rsid w:val="6EB563D5"/>
    <w:rsid w:val="6ED92677"/>
    <w:rsid w:val="6F225983"/>
    <w:rsid w:val="6F4A6F49"/>
    <w:rsid w:val="6FD20CED"/>
    <w:rsid w:val="6FFC5590"/>
    <w:rsid w:val="706D1DD0"/>
    <w:rsid w:val="70856B87"/>
    <w:rsid w:val="70A53134"/>
    <w:rsid w:val="70D527EE"/>
    <w:rsid w:val="715B5300"/>
    <w:rsid w:val="71D27F8A"/>
    <w:rsid w:val="72553024"/>
    <w:rsid w:val="73122968"/>
    <w:rsid w:val="731F5D5E"/>
    <w:rsid w:val="7371736D"/>
    <w:rsid w:val="73C51AD5"/>
    <w:rsid w:val="741E793C"/>
    <w:rsid w:val="745E3944"/>
    <w:rsid w:val="75BE0ADD"/>
    <w:rsid w:val="7635099D"/>
    <w:rsid w:val="765E373E"/>
    <w:rsid w:val="76D637B8"/>
    <w:rsid w:val="77762421"/>
    <w:rsid w:val="77B56B1F"/>
    <w:rsid w:val="780F09F4"/>
    <w:rsid w:val="781E71C5"/>
    <w:rsid w:val="78A90480"/>
    <w:rsid w:val="79ED6E4F"/>
    <w:rsid w:val="7A364017"/>
    <w:rsid w:val="7A8265E1"/>
    <w:rsid w:val="7A841815"/>
    <w:rsid w:val="7B686D42"/>
    <w:rsid w:val="7B841746"/>
    <w:rsid w:val="7BCC204D"/>
    <w:rsid w:val="7BD77DB7"/>
    <w:rsid w:val="7C6C5AC7"/>
    <w:rsid w:val="7CC6544B"/>
    <w:rsid w:val="7CF93984"/>
    <w:rsid w:val="7D0239FF"/>
    <w:rsid w:val="7D5E40CD"/>
    <w:rsid w:val="7DCD56F2"/>
    <w:rsid w:val="7EB12658"/>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6"/>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4"/>
    <w:link w:val="90"/>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5">
    <w:name w:val="heading 3"/>
    <w:basedOn w:val="1"/>
    <w:next w:val="4"/>
    <w:link w:val="91"/>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1"/>
    <w:link w:val="92"/>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4"/>
    <w:link w:val="93"/>
    <w:qFormat/>
    <w:locked/>
    <w:uiPriority w:val="0"/>
    <w:pPr>
      <w:keepNext/>
      <w:tabs>
        <w:tab w:val="left" w:pos="1080"/>
      </w:tabs>
      <w:ind w:left="851" w:hanging="851"/>
      <w:outlineLvl w:val="4"/>
    </w:pPr>
    <w:rPr>
      <w:rFonts w:ascii="Arial" w:hAnsi="Arial"/>
      <w:b/>
      <w:sz w:val="28"/>
      <w:szCs w:val="20"/>
    </w:rPr>
  </w:style>
  <w:style w:type="paragraph" w:styleId="8">
    <w:name w:val="heading 6"/>
    <w:basedOn w:val="1"/>
    <w:next w:val="1"/>
    <w:link w:val="94"/>
    <w:qFormat/>
    <w:locked/>
    <w:uiPriority w:val="0"/>
    <w:pPr>
      <w:keepNext/>
      <w:widowControl/>
      <w:tabs>
        <w:tab w:val="left" w:pos="0"/>
      </w:tabs>
      <w:jc w:val="center"/>
      <w:outlineLvl w:val="5"/>
    </w:pPr>
    <w:rPr>
      <w:rFonts w:eastAsia="楷体_GB2312"/>
      <w:b/>
      <w:kern w:val="0"/>
      <w:sz w:val="20"/>
      <w:szCs w:val="20"/>
    </w:rPr>
  </w:style>
  <w:style w:type="paragraph" w:styleId="9">
    <w:name w:val="heading 7"/>
    <w:basedOn w:val="1"/>
    <w:next w:val="1"/>
    <w:link w:val="95"/>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eastAsia="zh-CN"/>
    </w:rPr>
  </w:style>
  <w:style w:type="paragraph" w:styleId="10">
    <w:name w:val="heading 8"/>
    <w:basedOn w:val="1"/>
    <w:next w:val="1"/>
    <w:link w:val="96"/>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eastAsia="zh-CN"/>
    </w:rPr>
  </w:style>
  <w:style w:type="paragraph" w:styleId="11">
    <w:name w:val="heading 9"/>
    <w:basedOn w:val="1"/>
    <w:next w:val="1"/>
    <w:link w:val="97"/>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eastAsia="zh-CN"/>
    </w:rPr>
  </w:style>
  <w:style w:type="character" w:default="1" w:styleId="64">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38"/>
    <w:qFormat/>
    <w:locked/>
    <w:uiPriority w:val="0"/>
    <w:pPr>
      <w:ind w:firstLine="420"/>
    </w:pPr>
    <w:rPr>
      <w:kern w:val="0"/>
      <w:sz w:val="20"/>
      <w:szCs w:val="20"/>
    </w:rPr>
  </w:style>
  <w:style w:type="paragraph" w:styleId="12">
    <w:name w:val="toc 7"/>
    <w:basedOn w:val="1"/>
    <w:next w:val="1"/>
    <w:qFormat/>
    <w:locked/>
    <w:uiPriority w:val="39"/>
    <w:pPr>
      <w:ind w:left="2520" w:leftChars="1200"/>
    </w:pPr>
  </w:style>
  <w:style w:type="paragraph" w:styleId="13">
    <w:name w:val="table of authorities"/>
    <w:basedOn w:val="1"/>
    <w:next w:val="1"/>
    <w:qFormat/>
    <w:locked/>
    <w:uiPriority w:val="0"/>
    <w:rPr>
      <w:rFonts w:ascii="宋体"/>
      <w:sz w:val="28"/>
      <w:szCs w:val="20"/>
    </w:rPr>
  </w:style>
  <w:style w:type="paragraph" w:styleId="14">
    <w:name w:val="Note Heading"/>
    <w:basedOn w:val="1"/>
    <w:next w:val="1"/>
    <w:link w:val="238"/>
    <w:qFormat/>
    <w:locked/>
    <w:uiPriority w:val="0"/>
    <w:pPr>
      <w:jc w:val="center"/>
    </w:pPr>
    <w:rPr>
      <w:rFonts w:ascii="宋体"/>
      <w:szCs w:val="20"/>
    </w:rPr>
  </w:style>
  <w:style w:type="paragraph" w:styleId="15">
    <w:name w:val="index 8"/>
    <w:basedOn w:val="1"/>
    <w:next w:val="1"/>
    <w:qFormat/>
    <w:locked/>
    <w:uiPriority w:val="0"/>
    <w:pPr>
      <w:ind w:left="1400" w:leftChars="1400"/>
    </w:pPr>
  </w:style>
  <w:style w:type="paragraph" w:styleId="16">
    <w:name w:val="List Number"/>
    <w:basedOn w:val="1"/>
    <w:qFormat/>
    <w:locked/>
    <w:uiPriority w:val="0"/>
    <w:pPr>
      <w:tabs>
        <w:tab w:val="left" w:pos="360"/>
        <w:tab w:val="left" w:pos="780"/>
      </w:tabs>
      <w:ind w:left="780" w:hanging="210"/>
    </w:pPr>
  </w:style>
  <w:style w:type="paragraph" w:styleId="17">
    <w:name w:val="caption"/>
    <w:basedOn w:val="1"/>
    <w:next w:val="1"/>
    <w:qFormat/>
    <w:locked/>
    <w:uiPriority w:val="0"/>
    <w:pPr>
      <w:keepNext/>
      <w:snapToGrid w:val="0"/>
      <w:jc w:val="center"/>
    </w:pPr>
    <w:rPr>
      <w:rFonts w:ascii="宋体" w:hAnsi="宋体" w:cs="Arial"/>
      <w:szCs w:val="20"/>
    </w:rPr>
  </w:style>
  <w:style w:type="paragraph" w:styleId="18">
    <w:name w:val="Document Map"/>
    <w:basedOn w:val="1"/>
    <w:link w:val="137"/>
    <w:qFormat/>
    <w:locked/>
    <w:uiPriority w:val="99"/>
    <w:pPr>
      <w:widowControl/>
      <w:jc w:val="left"/>
    </w:pPr>
    <w:rPr>
      <w:rFonts w:ascii="宋体"/>
      <w:kern w:val="0"/>
      <w:sz w:val="18"/>
      <w:szCs w:val="20"/>
    </w:rPr>
  </w:style>
  <w:style w:type="paragraph" w:styleId="19">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0">
    <w:name w:val="annotation text"/>
    <w:basedOn w:val="1"/>
    <w:link w:val="82"/>
    <w:qFormat/>
    <w:uiPriority w:val="99"/>
    <w:pPr>
      <w:jc w:val="left"/>
    </w:pPr>
    <w:rPr>
      <w:kern w:val="0"/>
      <w:sz w:val="24"/>
      <w:szCs w:val="20"/>
    </w:rPr>
  </w:style>
  <w:style w:type="paragraph" w:styleId="21">
    <w:name w:val="index 6"/>
    <w:basedOn w:val="1"/>
    <w:next w:val="1"/>
    <w:qFormat/>
    <w:locked/>
    <w:uiPriority w:val="99"/>
    <w:pPr>
      <w:widowControl/>
      <w:ind w:left="1000" w:leftChars="1000"/>
      <w:jc w:val="left"/>
    </w:pPr>
    <w:rPr>
      <w:kern w:val="0"/>
      <w:sz w:val="20"/>
      <w:szCs w:val="20"/>
    </w:rPr>
  </w:style>
  <w:style w:type="paragraph" w:styleId="22">
    <w:name w:val="Body Text 3"/>
    <w:basedOn w:val="1"/>
    <w:link w:val="251"/>
    <w:qFormat/>
    <w:locked/>
    <w:uiPriority w:val="99"/>
    <w:pPr>
      <w:spacing w:after="120"/>
    </w:pPr>
    <w:rPr>
      <w:rFonts w:ascii="宋体" w:hAnsi="宋体"/>
      <w:sz w:val="16"/>
      <w:szCs w:val="16"/>
    </w:rPr>
  </w:style>
  <w:style w:type="paragraph" w:styleId="23">
    <w:name w:val="Body Text"/>
    <w:basedOn w:val="1"/>
    <w:next w:val="1"/>
    <w:link w:val="83"/>
    <w:qFormat/>
    <w:uiPriority w:val="0"/>
    <w:pPr>
      <w:widowControl/>
      <w:snapToGrid w:val="0"/>
      <w:spacing w:before="60" w:after="160" w:line="259" w:lineRule="auto"/>
      <w:ind w:right="113"/>
    </w:pPr>
    <w:rPr>
      <w:kern w:val="0"/>
      <w:sz w:val="18"/>
      <w:szCs w:val="20"/>
    </w:rPr>
  </w:style>
  <w:style w:type="paragraph" w:styleId="24">
    <w:name w:val="Body Text Indent"/>
    <w:basedOn w:val="1"/>
    <w:link w:val="77"/>
    <w:qFormat/>
    <w:uiPriority w:val="0"/>
    <w:pPr>
      <w:spacing w:after="120"/>
      <w:ind w:left="420" w:leftChars="200"/>
    </w:pPr>
    <w:rPr>
      <w:kern w:val="0"/>
      <w:sz w:val="24"/>
      <w:szCs w:val="20"/>
    </w:rPr>
  </w:style>
  <w:style w:type="paragraph" w:styleId="25">
    <w:name w:val="List 2"/>
    <w:basedOn w:val="1"/>
    <w:qFormat/>
    <w:locked/>
    <w:uiPriority w:val="0"/>
    <w:pPr>
      <w:spacing w:line="360" w:lineRule="exact"/>
      <w:jc w:val="center"/>
    </w:pPr>
    <w:rPr>
      <w:rFonts w:ascii="仿宋_GB2312" w:eastAsia="仿宋_GB2312"/>
      <w:szCs w:val="20"/>
    </w:rPr>
  </w:style>
  <w:style w:type="paragraph" w:styleId="26">
    <w:name w:val="Block Text"/>
    <w:basedOn w:val="1"/>
    <w:qFormat/>
    <w:locked/>
    <w:uiPriority w:val="0"/>
    <w:pPr>
      <w:widowControl/>
      <w:spacing w:after="120"/>
      <w:ind w:left="1440" w:leftChars="700" w:right="1440" w:rightChars="700"/>
      <w:jc w:val="left"/>
    </w:pPr>
    <w:rPr>
      <w:kern w:val="0"/>
      <w:sz w:val="20"/>
      <w:szCs w:val="20"/>
    </w:rPr>
  </w:style>
  <w:style w:type="paragraph" w:styleId="27">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8">
    <w:name w:val="index 4"/>
    <w:basedOn w:val="1"/>
    <w:next w:val="1"/>
    <w:qFormat/>
    <w:locked/>
    <w:uiPriority w:val="0"/>
    <w:pPr>
      <w:suppressAutoHyphens/>
      <w:adjustRightInd w:val="0"/>
      <w:spacing w:line="300" w:lineRule="auto"/>
      <w:ind w:left="1260"/>
    </w:pPr>
    <w:rPr>
      <w:kern w:val="28"/>
      <w:sz w:val="24"/>
      <w:szCs w:val="20"/>
    </w:rPr>
  </w:style>
  <w:style w:type="paragraph" w:styleId="29">
    <w:name w:val="toc 5"/>
    <w:basedOn w:val="1"/>
    <w:next w:val="1"/>
    <w:qFormat/>
    <w:locked/>
    <w:uiPriority w:val="39"/>
    <w:pPr>
      <w:adjustRightInd w:val="0"/>
      <w:snapToGrid w:val="0"/>
      <w:spacing w:line="360" w:lineRule="auto"/>
      <w:ind w:left="840" w:firstLine="112"/>
      <w:jc w:val="center"/>
    </w:pPr>
    <w:rPr>
      <w:sz w:val="20"/>
      <w:szCs w:val="20"/>
    </w:rPr>
  </w:style>
  <w:style w:type="paragraph" w:styleId="30">
    <w:name w:val="toc 3"/>
    <w:basedOn w:val="1"/>
    <w:next w:val="1"/>
    <w:qFormat/>
    <w:locked/>
    <w:uiPriority w:val="39"/>
    <w:pPr>
      <w:ind w:left="240"/>
      <w:jc w:val="left"/>
    </w:pPr>
    <w:rPr>
      <w:sz w:val="20"/>
      <w:szCs w:val="20"/>
    </w:rPr>
  </w:style>
  <w:style w:type="paragraph" w:styleId="31">
    <w:name w:val="Plain Text"/>
    <w:basedOn w:val="1"/>
    <w:link w:val="98"/>
    <w:qFormat/>
    <w:locked/>
    <w:uiPriority w:val="0"/>
    <w:rPr>
      <w:rFonts w:ascii="宋体" w:hAnsi="Courier New"/>
      <w:kern w:val="0"/>
      <w:szCs w:val="20"/>
    </w:rPr>
  </w:style>
  <w:style w:type="paragraph" w:styleId="32">
    <w:name w:val="List Bullet 5"/>
    <w:basedOn w:val="1"/>
    <w:qFormat/>
    <w:locked/>
    <w:uiPriority w:val="0"/>
    <w:pPr>
      <w:widowControl/>
      <w:spacing w:line="360" w:lineRule="auto"/>
      <w:ind w:firstLine="480"/>
      <w:jc w:val="left"/>
    </w:pPr>
    <w:rPr>
      <w:kern w:val="0"/>
      <w:sz w:val="24"/>
    </w:rPr>
  </w:style>
  <w:style w:type="paragraph" w:styleId="33">
    <w:name w:val="toc 8"/>
    <w:basedOn w:val="1"/>
    <w:next w:val="1"/>
    <w:qFormat/>
    <w:locked/>
    <w:uiPriority w:val="39"/>
    <w:pPr>
      <w:ind w:left="1440"/>
      <w:jc w:val="left"/>
    </w:pPr>
    <w:rPr>
      <w:sz w:val="20"/>
      <w:szCs w:val="20"/>
    </w:rPr>
  </w:style>
  <w:style w:type="paragraph" w:styleId="34">
    <w:name w:val="Date"/>
    <w:basedOn w:val="1"/>
    <w:next w:val="1"/>
    <w:link w:val="80"/>
    <w:qFormat/>
    <w:uiPriority w:val="99"/>
    <w:pPr>
      <w:ind w:left="100" w:leftChars="2500"/>
    </w:pPr>
    <w:rPr>
      <w:kern w:val="0"/>
      <w:sz w:val="24"/>
      <w:szCs w:val="20"/>
    </w:rPr>
  </w:style>
  <w:style w:type="paragraph" w:styleId="35">
    <w:name w:val="Body Text Indent 2"/>
    <w:basedOn w:val="1"/>
    <w:link w:val="102"/>
    <w:qFormat/>
    <w:locked/>
    <w:uiPriority w:val="0"/>
    <w:pPr>
      <w:widowControl/>
      <w:ind w:firstLine="600"/>
    </w:pPr>
    <w:rPr>
      <w:rFonts w:eastAsia="仿宋_GB2312"/>
      <w:b/>
      <w:kern w:val="0"/>
      <w:sz w:val="20"/>
      <w:szCs w:val="20"/>
    </w:rPr>
  </w:style>
  <w:style w:type="paragraph" w:styleId="36">
    <w:name w:val="endnote text"/>
    <w:basedOn w:val="1"/>
    <w:link w:val="540"/>
    <w:unhideWhenUsed/>
    <w:qFormat/>
    <w:locked/>
    <w:uiPriority w:val="99"/>
    <w:pPr>
      <w:adjustRightInd w:val="0"/>
      <w:snapToGrid w:val="0"/>
      <w:spacing w:line="312" w:lineRule="atLeast"/>
      <w:jc w:val="left"/>
      <w:textAlignment w:val="baseline"/>
    </w:pPr>
    <w:rPr>
      <w:kern w:val="0"/>
      <w:szCs w:val="20"/>
      <w:lang w:val="zh-CN" w:eastAsia="zh-CN"/>
    </w:rPr>
  </w:style>
  <w:style w:type="paragraph" w:styleId="37">
    <w:name w:val="Balloon Text"/>
    <w:basedOn w:val="1"/>
    <w:link w:val="84"/>
    <w:qFormat/>
    <w:uiPriority w:val="99"/>
    <w:rPr>
      <w:kern w:val="0"/>
      <w:sz w:val="18"/>
      <w:szCs w:val="20"/>
    </w:rPr>
  </w:style>
  <w:style w:type="paragraph" w:styleId="38">
    <w:name w:val="footer"/>
    <w:basedOn w:val="1"/>
    <w:link w:val="78"/>
    <w:qFormat/>
    <w:uiPriority w:val="99"/>
    <w:pPr>
      <w:tabs>
        <w:tab w:val="center" w:pos="4153"/>
        <w:tab w:val="right" w:pos="8306"/>
      </w:tabs>
      <w:snapToGrid w:val="0"/>
      <w:jc w:val="left"/>
    </w:pPr>
    <w:rPr>
      <w:kern w:val="0"/>
      <w:sz w:val="18"/>
      <w:szCs w:val="20"/>
    </w:rPr>
  </w:style>
  <w:style w:type="paragraph" w:styleId="39">
    <w:name w:val="header"/>
    <w:basedOn w:val="1"/>
    <w:link w:val="75"/>
    <w:qFormat/>
    <w:uiPriority w:val="99"/>
    <w:pPr>
      <w:pBdr>
        <w:bottom w:val="single" w:color="auto" w:sz="6" w:space="1"/>
      </w:pBdr>
      <w:tabs>
        <w:tab w:val="center" w:pos="4153"/>
        <w:tab w:val="right" w:pos="8306"/>
      </w:tabs>
      <w:snapToGrid w:val="0"/>
      <w:jc w:val="center"/>
    </w:pPr>
    <w:rPr>
      <w:kern w:val="0"/>
      <w:sz w:val="18"/>
      <w:szCs w:val="20"/>
    </w:rPr>
  </w:style>
  <w:style w:type="paragraph" w:styleId="40">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1">
    <w:name w:val="toc 4"/>
    <w:basedOn w:val="1"/>
    <w:next w:val="1"/>
    <w:qFormat/>
    <w:locked/>
    <w:uiPriority w:val="39"/>
    <w:pPr>
      <w:ind w:left="480"/>
      <w:jc w:val="left"/>
    </w:pPr>
    <w:rPr>
      <w:sz w:val="20"/>
      <w:szCs w:val="20"/>
    </w:rPr>
  </w:style>
  <w:style w:type="paragraph" w:styleId="42">
    <w:name w:val="index heading"/>
    <w:basedOn w:val="1"/>
    <w:next w:val="43"/>
    <w:qFormat/>
    <w:locked/>
    <w:uiPriority w:val="0"/>
    <w:pPr>
      <w:spacing w:line="500" w:lineRule="exact"/>
    </w:pPr>
    <w:rPr>
      <w:rFonts w:ascii="仿宋_GB2312" w:eastAsia="仿宋_GB2312"/>
      <w:sz w:val="28"/>
      <w:szCs w:val="20"/>
    </w:rPr>
  </w:style>
  <w:style w:type="paragraph" w:styleId="43">
    <w:name w:val="index 1"/>
    <w:basedOn w:val="1"/>
    <w:next w:val="1"/>
    <w:qFormat/>
    <w:locked/>
    <w:uiPriority w:val="0"/>
  </w:style>
  <w:style w:type="paragraph" w:styleId="44">
    <w:name w:val="Subtitle"/>
    <w:basedOn w:val="1"/>
    <w:next w:val="1"/>
    <w:link w:val="101"/>
    <w:qFormat/>
    <w:locked/>
    <w:uiPriority w:val="0"/>
    <w:pPr>
      <w:spacing w:line="480" w:lineRule="exact"/>
      <w:jc w:val="center"/>
      <w:outlineLvl w:val="4"/>
    </w:pPr>
    <w:rPr>
      <w:rFonts w:ascii="Cambria" w:hAnsi="Cambria"/>
      <w:kern w:val="0"/>
      <w:sz w:val="24"/>
      <w:szCs w:val="20"/>
      <w:lang w:eastAsia="en-US"/>
    </w:rPr>
  </w:style>
  <w:style w:type="paragraph" w:styleId="45">
    <w:name w:val="List"/>
    <w:basedOn w:val="1"/>
    <w:qFormat/>
    <w:locked/>
    <w:uiPriority w:val="99"/>
    <w:pPr>
      <w:spacing w:line="360" w:lineRule="exact"/>
      <w:jc w:val="center"/>
    </w:pPr>
    <w:rPr>
      <w:rFonts w:ascii="仿宋_GB2312" w:eastAsia="仿宋_GB2312"/>
      <w:sz w:val="24"/>
      <w:szCs w:val="20"/>
    </w:rPr>
  </w:style>
  <w:style w:type="paragraph" w:styleId="46">
    <w:name w:val="toc 6"/>
    <w:basedOn w:val="1"/>
    <w:next w:val="1"/>
    <w:qFormat/>
    <w:locked/>
    <w:uiPriority w:val="39"/>
    <w:pPr>
      <w:ind w:left="960"/>
      <w:jc w:val="left"/>
    </w:pPr>
    <w:rPr>
      <w:sz w:val="20"/>
      <w:szCs w:val="20"/>
    </w:rPr>
  </w:style>
  <w:style w:type="paragraph" w:styleId="47">
    <w:name w:val="Body Text Indent 3"/>
    <w:basedOn w:val="1"/>
    <w:link w:val="109"/>
    <w:qFormat/>
    <w:locked/>
    <w:uiPriority w:val="0"/>
    <w:pPr>
      <w:widowControl/>
      <w:spacing w:line="440" w:lineRule="exact"/>
      <w:ind w:firstLine="561" w:firstLineChars="200"/>
    </w:pPr>
    <w:rPr>
      <w:rFonts w:eastAsia="楷体_GB2312"/>
      <w:b/>
      <w:kern w:val="0"/>
      <w:sz w:val="20"/>
      <w:szCs w:val="20"/>
    </w:rPr>
  </w:style>
  <w:style w:type="paragraph" w:styleId="48">
    <w:name w:val="table of figures"/>
    <w:basedOn w:val="1"/>
    <w:next w:val="1"/>
    <w:qFormat/>
    <w:locked/>
    <w:uiPriority w:val="0"/>
    <w:pPr>
      <w:ind w:left="200" w:leftChars="200" w:hanging="200" w:hangingChars="200"/>
    </w:pPr>
  </w:style>
  <w:style w:type="paragraph" w:styleId="49">
    <w:name w:val="toc 2"/>
    <w:basedOn w:val="1"/>
    <w:next w:val="1"/>
    <w:qFormat/>
    <w:locked/>
    <w:uiPriority w:val="39"/>
    <w:pPr>
      <w:tabs>
        <w:tab w:val="right" w:leader="dot" w:pos="9061"/>
      </w:tabs>
      <w:spacing w:line="360" w:lineRule="auto"/>
      <w:ind w:firstLine="480" w:firstLineChars="200"/>
    </w:pPr>
    <w:rPr>
      <w:sz w:val="24"/>
    </w:rPr>
  </w:style>
  <w:style w:type="paragraph" w:styleId="50">
    <w:name w:val="toc 9"/>
    <w:basedOn w:val="1"/>
    <w:next w:val="1"/>
    <w:qFormat/>
    <w:locked/>
    <w:uiPriority w:val="39"/>
    <w:pPr>
      <w:ind w:left="1680"/>
      <w:jc w:val="left"/>
    </w:pPr>
    <w:rPr>
      <w:sz w:val="20"/>
      <w:szCs w:val="20"/>
    </w:rPr>
  </w:style>
  <w:style w:type="paragraph" w:styleId="51">
    <w:name w:val="Body Text 2"/>
    <w:basedOn w:val="1"/>
    <w:link w:val="154"/>
    <w:qFormat/>
    <w:locked/>
    <w:uiPriority w:val="99"/>
    <w:pPr>
      <w:spacing w:after="120" w:line="480" w:lineRule="auto"/>
    </w:pPr>
    <w:rPr>
      <w:kern w:val="0"/>
      <w:sz w:val="20"/>
      <w:szCs w:val="20"/>
    </w:rPr>
  </w:style>
  <w:style w:type="paragraph" w:styleId="52">
    <w:name w:val="HTML Preformatted"/>
    <w:basedOn w:val="1"/>
    <w:link w:val="27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eastAsia="zh-CN"/>
    </w:rPr>
  </w:style>
  <w:style w:type="paragraph" w:styleId="53">
    <w:name w:val="Normal (Web)"/>
    <w:basedOn w:val="1"/>
    <w:link w:val="76"/>
    <w:qFormat/>
    <w:uiPriority w:val="99"/>
    <w:pPr>
      <w:widowControl/>
      <w:spacing w:before="100" w:beforeAutospacing="1" w:after="100" w:afterAutospacing="1"/>
      <w:jc w:val="left"/>
    </w:pPr>
    <w:rPr>
      <w:rFonts w:ascii="宋体" w:hAnsi="宋体"/>
      <w:kern w:val="0"/>
      <w:sz w:val="24"/>
      <w:szCs w:val="20"/>
    </w:rPr>
  </w:style>
  <w:style w:type="paragraph" w:styleId="54">
    <w:name w:val="Title"/>
    <w:basedOn w:val="1"/>
    <w:link w:val="110"/>
    <w:qFormat/>
    <w:locked/>
    <w:uiPriority w:val="0"/>
    <w:pPr>
      <w:widowControl/>
      <w:spacing w:before="100" w:beforeAutospacing="1" w:after="100" w:afterAutospacing="1"/>
      <w:jc w:val="left"/>
    </w:pPr>
    <w:rPr>
      <w:rFonts w:ascii="宋体"/>
      <w:kern w:val="0"/>
      <w:sz w:val="24"/>
      <w:szCs w:val="20"/>
    </w:rPr>
  </w:style>
  <w:style w:type="paragraph" w:styleId="55">
    <w:name w:val="annotation subject"/>
    <w:basedOn w:val="20"/>
    <w:next w:val="20"/>
    <w:link w:val="79"/>
    <w:qFormat/>
    <w:uiPriority w:val="99"/>
    <w:rPr>
      <w:b/>
    </w:rPr>
  </w:style>
  <w:style w:type="paragraph" w:styleId="56">
    <w:name w:val="Body Text First Indent"/>
    <w:basedOn w:val="23"/>
    <w:link w:val="131"/>
    <w:qFormat/>
    <w:locked/>
    <w:uiPriority w:val="99"/>
    <w:pPr>
      <w:widowControl w:val="0"/>
      <w:snapToGrid/>
      <w:spacing w:before="0" w:after="120" w:line="240" w:lineRule="auto"/>
      <w:ind w:right="0" w:firstLine="420" w:firstLineChars="100"/>
    </w:pPr>
    <w:rPr>
      <w:sz w:val="20"/>
    </w:rPr>
  </w:style>
  <w:style w:type="paragraph" w:styleId="57">
    <w:name w:val="Body Text First Indent 2"/>
    <w:basedOn w:val="24"/>
    <w:link w:val="220"/>
    <w:unhideWhenUsed/>
    <w:qFormat/>
    <w:locked/>
    <w:uiPriority w:val="0"/>
    <w:pPr>
      <w:widowControl/>
      <w:ind w:firstLine="420" w:firstLineChars="200"/>
      <w:jc w:val="left"/>
    </w:pPr>
    <w:rPr>
      <w:sz w:val="20"/>
    </w:rPr>
  </w:style>
  <w:style w:type="table" w:styleId="59">
    <w:name w:val="Table Grid"/>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0">
    <w:name w:val="Table Theme"/>
    <w:basedOn w:val="5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1">
    <w:name w:val="Table Elegant"/>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2">
    <w:name w:val="Table Grid 1"/>
    <w:basedOn w:val="58"/>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3">
    <w:name w:val="Table Grid 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5">
    <w:name w:val="Strong"/>
    <w:qFormat/>
    <w:locked/>
    <w:uiPriority w:val="22"/>
    <w:rPr>
      <w:b/>
      <w:bCs/>
    </w:rPr>
  </w:style>
  <w:style w:type="character" w:styleId="66">
    <w:name w:val="endnote reference"/>
    <w:unhideWhenUsed/>
    <w:qFormat/>
    <w:locked/>
    <w:uiPriority w:val="99"/>
    <w:rPr>
      <w:rFonts w:cs="Times New Roman"/>
      <w:vertAlign w:val="superscript"/>
    </w:rPr>
  </w:style>
  <w:style w:type="character" w:styleId="67">
    <w:name w:val="page number"/>
    <w:basedOn w:val="64"/>
    <w:qFormat/>
    <w:locked/>
    <w:uiPriority w:val="0"/>
  </w:style>
  <w:style w:type="character" w:styleId="68">
    <w:name w:val="FollowedHyperlink"/>
    <w:qFormat/>
    <w:locked/>
    <w:uiPriority w:val="0"/>
    <w:rPr>
      <w:color w:val="800080"/>
      <w:u w:val="single"/>
    </w:rPr>
  </w:style>
  <w:style w:type="character" w:styleId="69">
    <w:name w:val="Emphasis"/>
    <w:qFormat/>
    <w:locked/>
    <w:uiPriority w:val="20"/>
    <w:rPr>
      <w:color w:val="CC0000"/>
    </w:rPr>
  </w:style>
  <w:style w:type="character" w:styleId="70">
    <w:name w:val="HTML Typewriter"/>
    <w:qFormat/>
    <w:locked/>
    <w:uiPriority w:val="0"/>
    <w:rPr>
      <w:rFonts w:ascii="宋体" w:hAnsi="宋体" w:eastAsia="宋体" w:cs="宋体"/>
      <w:sz w:val="24"/>
      <w:szCs w:val="24"/>
    </w:rPr>
  </w:style>
  <w:style w:type="character" w:styleId="71">
    <w:name w:val="Hyperlink"/>
    <w:qFormat/>
    <w:locked/>
    <w:uiPriority w:val="99"/>
    <w:rPr>
      <w:rFonts w:cs="Times New Roman"/>
      <w:color w:val="136EC2"/>
      <w:u w:val="single"/>
    </w:rPr>
  </w:style>
  <w:style w:type="character" w:styleId="72">
    <w:name w:val="annotation reference"/>
    <w:qFormat/>
    <w:uiPriority w:val="99"/>
    <w:rPr>
      <w:sz w:val="21"/>
    </w:rPr>
  </w:style>
  <w:style w:type="character" w:customStyle="1" w:styleId="73">
    <w:name w:val="批注文字 字符1"/>
    <w:semiHidden/>
    <w:qFormat/>
    <w:uiPriority w:val="0"/>
    <w:rPr>
      <w:rFonts w:ascii="Times New Roman" w:hAnsi="Times New Roman" w:eastAsia="宋体"/>
      <w:sz w:val="24"/>
    </w:rPr>
  </w:style>
  <w:style w:type="character" w:customStyle="1" w:styleId="74">
    <w:name w:val="页脚 字符"/>
    <w:basedOn w:val="64"/>
    <w:qFormat/>
    <w:uiPriority w:val="99"/>
  </w:style>
  <w:style w:type="character" w:customStyle="1" w:styleId="75">
    <w:name w:val="页眉 Char2"/>
    <w:link w:val="39"/>
    <w:qFormat/>
    <w:locked/>
    <w:uiPriority w:val="99"/>
    <w:rPr>
      <w:sz w:val="18"/>
    </w:rPr>
  </w:style>
  <w:style w:type="character" w:customStyle="1" w:styleId="76">
    <w:name w:val="普通(网站) Char2"/>
    <w:link w:val="53"/>
    <w:qFormat/>
    <w:locked/>
    <w:uiPriority w:val="0"/>
    <w:rPr>
      <w:rFonts w:ascii="宋体" w:hAnsi="宋体" w:eastAsia="宋体"/>
      <w:sz w:val="24"/>
    </w:rPr>
  </w:style>
  <w:style w:type="character" w:customStyle="1" w:styleId="77">
    <w:name w:val="正文文本缩进 Char3"/>
    <w:link w:val="24"/>
    <w:qFormat/>
    <w:locked/>
    <w:uiPriority w:val="0"/>
    <w:rPr>
      <w:rFonts w:ascii="Times New Roman" w:hAnsi="Times New Roman" w:eastAsia="宋体"/>
      <w:sz w:val="24"/>
    </w:rPr>
  </w:style>
  <w:style w:type="character" w:customStyle="1" w:styleId="78">
    <w:name w:val="页脚 Char3"/>
    <w:link w:val="38"/>
    <w:qFormat/>
    <w:locked/>
    <w:uiPriority w:val="99"/>
    <w:rPr>
      <w:sz w:val="18"/>
    </w:rPr>
  </w:style>
  <w:style w:type="character" w:customStyle="1" w:styleId="79">
    <w:name w:val="批注主题 Char2"/>
    <w:link w:val="55"/>
    <w:qFormat/>
    <w:locked/>
    <w:uiPriority w:val="99"/>
    <w:rPr>
      <w:rFonts w:ascii="Times New Roman" w:hAnsi="Times New Roman" w:eastAsia="宋体"/>
      <w:b/>
      <w:kern w:val="2"/>
      <w:sz w:val="24"/>
    </w:rPr>
  </w:style>
  <w:style w:type="character" w:customStyle="1" w:styleId="80">
    <w:name w:val="日期 Char2"/>
    <w:link w:val="34"/>
    <w:qFormat/>
    <w:locked/>
    <w:uiPriority w:val="0"/>
    <w:rPr>
      <w:rFonts w:ascii="Times New Roman" w:hAnsi="Times New Roman" w:eastAsia="宋体"/>
      <w:sz w:val="24"/>
    </w:rPr>
  </w:style>
  <w:style w:type="character" w:customStyle="1" w:styleId="81">
    <w:name w:val="正文文本 字符1"/>
    <w:semiHidden/>
    <w:qFormat/>
    <w:uiPriority w:val="0"/>
    <w:rPr>
      <w:rFonts w:ascii="Times New Roman" w:hAnsi="Times New Roman" w:eastAsia="宋体"/>
      <w:sz w:val="24"/>
    </w:rPr>
  </w:style>
  <w:style w:type="character" w:customStyle="1" w:styleId="82">
    <w:name w:val="批注文字 Char3"/>
    <w:link w:val="20"/>
    <w:qFormat/>
    <w:locked/>
    <w:uiPriority w:val="99"/>
    <w:rPr>
      <w:rFonts w:ascii="Times New Roman" w:hAnsi="Times New Roman" w:eastAsia="宋体"/>
      <w:sz w:val="24"/>
    </w:rPr>
  </w:style>
  <w:style w:type="character" w:customStyle="1" w:styleId="83">
    <w:name w:val="正文文本 Char3"/>
    <w:link w:val="23"/>
    <w:qFormat/>
    <w:locked/>
    <w:uiPriority w:val="0"/>
    <w:rPr>
      <w:sz w:val="18"/>
    </w:rPr>
  </w:style>
  <w:style w:type="character" w:customStyle="1" w:styleId="84">
    <w:name w:val="批注框文本 Char3"/>
    <w:link w:val="37"/>
    <w:qFormat/>
    <w:locked/>
    <w:uiPriority w:val="99"/>
    <w:rPr>
      <w:rFonts w:ascii="Times New Roman" w:hAnsi="Times New Roman" w:eastAsia="宋体"/>
      <w:sz w:val="18"/>
    </w:rPr>
  </w:style>
  <w:style w:type="character" w:customStyle="1" w:styleId="85">
    <w:name w:val="表格 Char"/>
    <w:link w:val="86"/>
    <w:qFormat/>
    <w:locked/>
    <w:uiPriority w:val="0"/>
    <w:rPr>
      <w:rFonts w:ascii="宋体"/>
      <w:sz w:val="21"/>
    </w:rPr>
  </w:style>
  <w:style w:type="paragraph" w:customStyle="1" w:styleId="86">
    <w:name w:val="表格"/>
    <w:basedOn w:val="1"/>
    <w:next w:val="1"/>
    <w:link w:val="85"/>
    <w:qFormat/>
    <w:uiPriority w:val="0"/>
    <w:pPr>
      <w:adjustRightInd w:val="0"/>
      <w:snapToGrid w:val="0"/>
      <w:spacing w:beforeLines="10" w:afterLines="10" w:line="259" w:lineRule="auto"/>
      <w:jc w:val="center"/>
    </w:pPr>
    <w:rPr>
      <w:rFonts w:ascii="宋体"/>
      <w:kern w:val="0"/>
      <w:szCs w:val="20"/>
    </w:rPr>
  </w:style>
  <w:style w:type="character" w:customStyle="1" w:styleId="87">
    <w:name w:val="日期 字符"/>
    <w:qFormat/>
    <w:uiPriority w:val="99"/>
    <w:rPr>
      <w:rFonts w:ascii="Times New Roman" w:hAnsi="Times New Roman" w:eastAsia="宋体"/>
      <w:sz w:val="24"/>
    </w:rPr>
  </w:style>
  <w:style w:type="paragraph" w:customStyle="1" w:styleId="8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9">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0">
    <w:name w:val="标题 2 Char"/>
    <w:link w:val="3"/>
    <w:qFormat/>
    <w:uiPriority w:val="99"/>
    <w:rPr>
      <w:rFonts w:ascii="Arial" w:hAnsi="Arial" w:eastAsia="黑体"/>
      <w:b/>
      <w:kern w:val="2"/>
      <w:sz w:val="36"/>
    </w:rPr>
  </w:style>
  <w:style w:type="character" w:customStyle="1" w:styleId="91">
    <w:name w:val="标题 3 Char"/>
    <w:link w:val="5"/>
    <w:qFormat/>
    <w:uiPriority w:val="0"/>
    <w:rPr>
      <w:rFonts w:ascii="Arial" w:hAnsi="Arial" w:eastAsia="黑体"/>
      <w:b/>
      <w:kern w:val="2"/>
      <w:sz w:val="30"/>
    </w:rPr>
  </w:style>
  <w:style w:type="character" w:customStyle="1" w:styleId="92">
    <w:name w:val="标题 4 Char"/>
    <w:link w:val="6"/>
    <w:qFormat/>
    <w:uiPriority w:val="99"/>
    <w:rPr>
      <w:rFonts w:ascii="Arial" w:hAnsi="Arial" w:eastAsia="黑体"/>
      <w:b/>
      <w:kern w:val="2"/>
      <w:sz w:val="28"/>
    </w:rPr>
  </w:style>
  <w:style w:type="character" w:customStyle="1" w:styleId="93">
    <w:name w:val="标题 5 Char"/>
    <w:link w:val="7"/>
    <w:qFormat/>
    <w:uiPriority w:val="0"/>
    <w:rPr>
      <w:rFonts w:ascii="Arial" w:hAnsi="Arial"/>
      <w:b/>
      <w:kern w:val="2"/>
      <w:sz w:val="28"/>
    </w:rPr>
  </w:style>
  <w:style w:type="character" w:customStyle="1" w:styleId="94">
    <w:name w:val="标题 6 Char"/>
    <w:link w:val="8"/>
    <w:qFormat/>
    <w:uiPriority w:val="0"/>
    <w:rPr>
      <w:rFonts w:eastAsia="楷体_GB2312"/>
      <w:b/>
    </w:rPr>
  </w:style>
  <w:style w:type="character" w:customStyle="1" w:styleId="95">
    <w:name w:val="标题 7 Char"/>
    <w:link w:val="9"/>
    <w:qFormat/>
    <w:uiPriority w:val="0"/>
    <w:rPr>
      <w:rFonts w:eastAsia="仿宋_GB2312"/>
      <w:b/>
      <w:sz w:val="24"/>
      <w:szCs w:val="24"/>
      <w:lang w:val="zh-CN" w:eastAsia="zh-CN"/>
    </w:rPr>
  </w:style>
  <w:style w:type="character" w:customStyle="1" w:styleId="96">
    <w:name w:val="标题 8 Char"/>
    <w:link w:val="10"/>
    <w:qFormat/>
    <w:uiPriority w:val="0"/>
    <w:rPr>
      <w:rFonts w:ascii="Arial" w:hAnsi="Arial" w:eastAsia="黑体"/>
      <w:bCs/>
      <w:sz w:val="24"/>
      <w:szCs w:val="24"/>
      <w:lang w:val="zh-CN" w:eastAsia="zh-CN"/>
    </w:rPr>
  </w:style>
  <w:style w:type="character" w:customStyle="1" w:styleId="97">
    <w:name w:val="标题 9 Char"/>
    <w:link w:val="11"/>
    <w:qFormat/>
    <w:uiPriority w:val="0"/>
    <w:rPr>
      <w:rFonts w:ascii="Arial" w:hAnsi="Arial" w:eastAsia="黑体"/>
      <w:bCs/>
      <w:sz w:val="24"/>
      <w:szCs w:val="24"/>
      <w:lang w:val="zh-CN" w:eastAsia="zh-CN"/>
    </w:rPr>
  </w:style>
  <w:style w:type="character" w:customStyle="1" w:styleId="98">
    <w:name w:val="纯文本 Char1"/>
    <w:link w:val="31"/>
    <w:qFormat/>
    <w:locked/>
    <w:uiPriority w:val="0"/>
    <w:rPr>
      <w:rFonts w:ascii="宋体" w:hAnsi="Courier New"/>
      <w:sz w:val="21"/>
    </w:rPr>
  </w:style>
  <w:style w:type="character" w:customStyle="1" w:styleId="99">
    <w:name w:val="纯文本 Char"/>
    <w:qFormat/>
    <w:uiPriority w:val="0"/>
    <w:rPr>
      <w:rFonts w:ascii="宋体" w:hAnsi="Courier New" w:eastAsia="宋体"/>
      <w:kern w:val="0"/>
      <w:sz w:val="21"/>
    </w:rPr>
  </w:style>
  <w:style w:type="character" w:customStyle="1" w:styleId="100">
    <w:name w:val="height"/>
    <w:qFormat/>
    <w:uiPriority w:val="99"/>
    <w:rPr>
      <w:rFonts w:cs="Times New Roman"/>
    </w:rPr>
  </w:style>
  <w:style w:type="character" w:customStyle="1" w:styleId="101">
    <w:name w:val="副标题 Char"/>
    <w:link w:val="44"/>
    <w:qFormat/>
    <w:locked/>
    <w:uiPriority w:val="0"/>
    <w:rPr>
      <w:rFonts w:ascii="Cambria" w:hAnsi="Cambria"/>
      <w:sz w:val="24"/>
      <w:lang w:eastAsia="en-US"/>
    </w:rPr>
  </w:style>
  <w:style w:type="character" w:customStyle="1" w:styleId="102">
    <w:name w:val="正文文本缩进 2 Char"/>
    <w:link w:val="35"/>
    <w:qFormat/>
    <w:locked/>
    <w:uiPriority w:val="99"/>
    <w:rPr>
      <w:rFonts w:eastAsia="仿宋_GB2312"/>
      <w:b/>
    </w:rPr>
  </w:style>
  <w:style w:type="character" w:customStyle="1" w:styleId="103">
    <w:name w:val="apple-converted-space"/>
    <w:qFormat/>
    <w:uiPriority w:val="0"/>
  </w:style>
  <w:style w:type="character" w:customStyle="1" w:styleId="104">
    <w:name w:val="表格内文字 Char Char"/>
    <w:qFormat/>
    <w:uiPriority w:val="0"/>
    <w:rPr>
      <w:rFonts w:eastAsia="仿宋_GB2312"/>
      <w:kern w:val="2"/>
      <w:sz w:val="24"/>
    </w:rPr>
  </w:style>
  <w:style w:type="character" w:customStyle="1" w:styleId="105">
    <w:name w:val="表格文字 Char"/>
    <w:link w:val="106"/>
    <w:qFormat/>
    <w:locked/>
    <w:uiPriority w:val="99"/>
    <w:rPr>
      <w:rFonts w:ascii="仿宋_GB2312" w:hAnsi="Arial Black" w:eastAsia="仿宋_GB2312"/>
      <w:kern w:val="44"/>
      <w:sz w:val="24"/>
    </w:rPr>
  </w:style>
  <w:style w:type="paragraph" w:customStyle="1" w:styleId="106">
    <w:name w:val="表格文字"/>
    <w:basedOn w:val="1"/>
    <w:link w:val="105"/>
    <w:qFormat/>
    <w:uiPriority w:val="0"/>
    <w:pPr>
      <w:jc w:val="center"/>
    </w:pPr>
    <w:rPr>
      <w:rFonts w:ascii="仿宋_GB2312" w:hAnsi="Arial Black" w:eastAsia="仿宋_GB2312"/>
      <w:kern w:val="44"/>
      <w:sz w:val="24"/>
      <w:szCs w:val="20"/>
    </w:rPr>
  </w:style>
  <w:style w:type="character" w:customStyle="1" w:styleId="107">
    <w:name w:val="谏壁正文chen Char Char"/>
    <w:link w:val="108"/>
    <w:qFormat/>
    <w:locked/>
    <w:uiPriority w:val="99"/>
    <w:rPr>
      <w:kern w:val="2"/>
      <w:sz w:val="24"/>
    </w:rPr>
  </w:style>
  <w:style w:type="paragraph" w:customStyle="1" w:styleId="108">
    <w:name w:val="谏壁正文chen"/>
    <w:basedOn w:val="1"/>
    <w:link w:val="107"/>
    <w:qFormat/>
    <w:uiPriority w:val="99"/>
    <w:pPr>
      <w:spacing w:line="360" w:lineRule="auto"/>
      <w:ind w:firstLine="200" w:firstLineChars="200"/>
    </w:pPr>
    <w:rPr>
      <w:sz w:val="24"/>
      <w:szCs w:val="20"/>
    </w:rPr>
  </w:style>
  <w:style w:type="character" w:customStyle="1" w:styleId="109">
    <w:name w:val="正文文本缩进 3 Char"/>
    <w:link w:val="47"/>
    <w:qFormat/>
    <w:locked/>
    <w:uiPriority w:val="0"/>
    <w:rPr>
      <w:rFonts w:eastAsia="楷体_GB2312"/>
      <w:b/>
    </w:rPr>
  </w:style>
  <w:style w:type="character" w:customStyle="1" w:styleId="110">
    <w:name w:val="标题 Char"/>
    <w:link w:val="54"/>
    <w:qFormat/>
    <w:locked/>
    <w:uiPriority w:val="0"/>
    <w:rPr>
      <w:rFonts w:ascii="宋体"/>
      <w:sz w:val="24"/>
    </w:rPr>
  </w:style>
  <w:style w:type="character" w:customStyle="1" w:styleId="111">
    <w:name w:val="正文文本 Char"/>
    <w:qFormat/>
    <w:locked/>
    <w:uiPriority w:val="0"/>
    <w:rPr>
      <w:rFonts w:ascii="Times New Roman" w:hAnsi="Times New Roman" w:eastAsia="宋体" w:cs="Times New Roman"/>
      <w:kern w:val="0"/>
      <w:sz w:val="20"/>
    </w:rPr>
  </w:style>
  <w:style w:type="character" w:customStyle="1" w:styleId="112">
    <w:name w:val="批注主题 Char"/>
    <w:qFormat/>
    <w:locked/>
    <w:uiPriority w:val="99"/>
    <w:rPr>
      <w:rFonts w:ascii="Times New Roman" w:hAnsi="Times New Roman" w:cs="Times New Roman"/>
      <w:b/>
    </w:rPr>
  </w:style>
  <w:style w:type="character" w:customStyle="1" w:styleId="113">
    <w:name w:val="price_unline"/>
    <w:qFormat/>
    <w:uiPriority w:val="99"/>
    <w:rPr>
      <w:rFonts w:cs="Times New Roman"/>
    </w:rPr>
  </w:style>
  <w:style w:type="character" w:customStyle="1" w:styleId="114">
    <w:name w:val="表格样式 Char"/>
    <w:link w:val="115"/>
    <w:qFormat/>
    <w:locked/>
    <w:uiPriority w:val="99"/>
    <w:rPr>
      <w:rFonts w:ascii="宋体"/>
      <w:kern w:val="2"/>
      <w:sz w:val="21"/>
    </w:rPr>
  </w:style>
  <w:style w:type="paragraph" w:customStyle="1" w:styleId="115">
    <w:name w:val="表格样式"/>
    <w:basedOn w:val="1"/>
    <w:link w:val="114"/>
    <w:qFormat/>
    <w:uiPriority w:val="99"/>
    <w:pPr>
      <w:jc w:val="center"/>
    </w:pPr>
    <w:rPr>
      <w:rFonts w:ascii="宋体"/>
      <w:szCs w:val="20"/>
    </w:rPr>
  </w:style>
  <w:style w:type="character" w:customStyle="1" w:styleId="116">
    <w:name w:val="表文字 Char1"/>
    <w:link w:val="117"/>
    <w:qFormat/>
    <w:locked/>
    <w:uiPriority w:val="99"/>
  </w:style>
  <w:style w:type="paragraph" w:customStyle="1" w:styleId="117">
    <w:name w:val="表文字"/>
    <w:basedOn w:val="1"/>
    <w:link w:val="116"/>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18">
    <w:name w:val="aspmaker1"/>
    <w:qFormat/>
    <w:uiPriority w:val="0"/>
    <w:rPr>
      <w:sz w:val="20"/>
    </w:rPr>
  </w:style>
  <w:style w:type="character" w:customStyle="1" w:styleId="119">
    <w:name w:val="正文（首行缩进2字） Char1"/>
    <w:link w:val="120"/>
    <w:qFormat/>
    <w:locked/>
    <w:uiPriority w:val="99"/>
    <w:rPr>
      <w:kern w:val="2"/>
      <w:sz w:val="30"/>
    </w:rPr>
  </w:style>
  <w:style w:type="paragraph" w:customStyle="1" w:styleId="120">
    <w:name w:val="正文（首行缩进2字）"/>
    <w:basedOn w:val="1"/>
    <w:link w:val="119"/>
    <w:qFormat/>
    <w:uiPriority w:val="99"/>
    <w:pPr>
      <w:spacing w:line="440" w:lineRule="exact"/>
      <w:ind w:firstLine="480" w:firstLineChars="200"/>
    </w:pPr>
    <w:rPr>
      <w:sz w:val="30"/>
      <w:szCs w:val="20"/>
    </w:rPr>
  </w:style>
  <w:style w:type="character" w:customStyle="1" w:styleId="121">
    <w:name w:val="正文文本 + MingLiU7"/>
    <w:qFormat/>
    <w:uiPriority w:val="99"/>
    <w:rPr>
      <w:rFonts w:ascii="MingLiU" w:hAnsi="宋体" w:eastAsia="MingLiU"/>
      <w:i/>
      <w:sz w:val="19"/>
    </w:rPr>
  </w:style>
  <w:style w:type="character" w:customStyle="1" w:styleId="122">
    <w:name w:val="表格标题博泵 Char"/>
    <w:link w:val="123"/>
    <w:qFormat/>
    <w:locked/>
    <w:uiPriority w:val="99"/>
    <w:rPr>
      <w:b/>
      <w:color w:val="000000"/>
    </w:rPr>
  </w:style>
  <w:style w:type="paragraph" w:customStyle="1" w:styleId="123">
    <w:name w:val="表格标题博泵"/>
    <w:basedOn w:val="1"/>
    <w:link w:val="122"/>
    <w:qFormat/>
    <w:uiPriority w:val="99"/>
    <w:pPr>
      <w:adjustRightInd w:val="0"/>
      <w:snapToGrid w:val="0"/>
      <w:jc w:val="center"/>
      <w:textAlignment w:val="baseline"/>
    </w:pPr>
    <w:rPr>
      <w:b/>
      <w:color w:val="000000"/>
      <w:kern w:val="0"/>
      <w:sz w:val="20"/>
      <w:szCs w:val="20"/>
    </w:rPr>
  </w:style>
  <w:style w:type="character" w:customStyle="1" w:styleId="124">
    <w:name w:val="正文文本 (6)_"/>
    <w:link w:val="125"/>
    <w:qFormat/>
    <w:locked/>
    <w:uiPriority w:val="99"/>
    <w:rPr>
      <w:rFonts w:ascii="宋体"/>
      <w:shd w:val="clear" w:color="auto" w:fill="FFFFFF"/>
    </w:rPr>
  </w:style>
  <w:style w:type="paragraph" w:customStyle="1" w:styleId="125">
    <w:name w:val="正文文本 (6)"/>
    <w:basedOn w:val="1"/>
    <w:link w:val="124"/>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6">
    <w:name w:val="日期 Char"/>
    <w:qFormat/>
    <w:locked/>
    <w:uiPriority w:val="99"/>
    <w:rPr>
      <w:rFonts w:ascii="Times New Roman" w:hAnsi="Times New Roman" w:eastAsia="宋体" w:cs="Times New Roman"/>
      <w:sz w:val="20"/>
    </w:rPr>
  </w:style>
  <w:style w:type="character" w:customStyle="1" w:styleId="127">
    <w:name w:val="博泵1 Char"/>
    <w:link w:val="128"/>
    <w:qFormat/>
    <w:locked/>
    <w:uiPriority w:val="0"/>
    <w:rPr>
      <w:rFonts w:hAnsi="宋体"/>
      <w:color w:val="000000"/>
      <w:sz w:val="24"/>
    </w:rPr>
  </w:style>
  <w:style w:type="paragraph" w:customStyle="1" w:styleId="128">
    <w:name w:val="博泵1"/>
    <w:basedOn w:val="1"/>
    <w:link w:val="127"/>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29">
    <w:name w:val="批注框文本 Char"/>
    <w:qFormat/>
    <w:locked/>
    <w:uiPriority w:val="99"/>
    <w:rPr>
      <w:rFonts w:ascii="Times New Roman" w:hAnsi="Times New Roman" w:eastAsia="宋体" w:cs="Times New Roman"/>
      <w:kern w:val="0"/>
      <w:sz w:val="18"/>
    </w:rPr>
  </w:style>
  <w:style w:type="character" w:customStyle="1" w:styleId="130">
    <w:name w:val="标题 Char1"/>
    <w:qFormat/>
    <w:uiPriority w:val="99"/>
    <w:rPr>
      <w:rFonts w:ascii="Cambria" w:hAnsi="Cambria" w:eastAsia="宋体"/>
      <w:b/>
      <w:kern w:val="0"/>
      <w:sz w:val="32"/>
    </w:rPr>
  </w:style>
  <w:style w:type="character" w:customStyle="1" w:styleId="131">
    <w:name w:val="正文首行缩进 Char"/>
    <w:link w:val="56"/>
    <w:qFormat/>
    <w:locked/>
    <w:uiPriority w:val="99"/>
  </w:style>
  <w:style w:type="character" w:customStyle="1" w:styleId="132">
    <w:name w:val="正文文本缩进 Char"/>
    <w:qFormat/>
    <w:locked/>
    <w:uiPriority w:val="0"/>
    <w:rPr>
      <w:rFonts w:ascii="Times New Roman" w:hAnsi="Times New Roman" w:eastAsia="楷体_GB2312" w:cs="Times New Roman"/>
      <w:b/>
      <w:kern w:val="0"/>
      <w:sz w:val="20"/>
    </w:rPr>
  </w:style>
  <w:style w:type="character" w:customStyle="1" w:styleId="133">
    <w:name w:val="页眉 Char"/>
    <w:qFormat/>
    <w:locked/>
    <w:uiPriority w:val="99"/>
    <w:rPr>
      <w:rFonts w:cs="Times New Roman"/>
      <w:sz w:val="18"/>
    </w:rPr>
  </w:style>
  <w:style w:type="character" w:customStyle="1" w:styleId="134">
    <w:name w:val="表头 Char"/>
    <w:link w:val="135"/>
    <w:qFormat/>
    <w:locked/>
    <w:uiPriority w:val="0"/>
    <w:rPr>
      <w:rFonts w:eastAsia="黑体"/>
    </w:rPr>
  </w:style>
  <w:style w:type="paragraph" w:customStyle="1" w:styleId="135">
    <w:name w:val="表头"/>
    <w:basedOn w:val="56"/>
    <w:link w:val="134"/>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6">
    <w:name w:val="标题 1 Char"/>
    <w:link w:val="2"/>
    <w:qFormat/>
    <w:locked/>
    <w:uiPriority w:val="0"/>
    <w:rPr>
      <w:rFonts w:eastAsia="黑体"/>
      <w:b/>
      <w:bCs/>
      <w:color w:val="000000"/>
      <w:kern w:val="44"/>
      <w:sz w:val="30"/>
      <w:szCs w:val="30"/>
    </w:rPr>
  </w:style>
  <w:style w:type="character" w:customStyle="1" w:styleId="137">
    <w:name w:val="文档结构图 Char"/>
    <w:link w:val="18"/>
    <w:qFormat/>
    <w:locked/>
    <w:uiPriority w:val="99"/>
    <w:rPr>
      <w:rFonts w:ascii="宋体"/>
      <w:sz w:val="18"/>
    </w:rPr>
  </w:style>
  <w:style w:type="character" w:customStyle="1" w:styleId="138">
    <w:name w:val="正文缩进 Char"/>
    <w:link w:val="4"/>
    <w:qFormat/>
    <w:locked/>
    <w:uiPriority w:val="0"/>
  </w:style>
  <w:style w:type="character" w:customStyle="1" w:styleId="139">
    <w:name w:val="1正文段落 Char"/>
    <w:link w:val="140"/>
    <w:qFormat/>
    <w:locked/>
    <w:uiPriority w:val="99"/>
    <w:rPr>
      <w:snapToGrid w:val="0"/>
      <w:sz w:val="24"/>
    </w:rPr>
  </w:style>
  <w:style w:type="paragraph" w:customStyle="1" w:styleId="140">
    <w:name w:val="1正文段落"/>
    <w:basedOn w:val="1"/>
    <w:link w:val="139"/>
    <w:qFormat/>
    <w:uiPriority w:val="0"/>
    <w:pPr>
      <w:spacing w:line="360" w:lineRule="auto"/>
      <w:ind w:firstLine="480" w:firstLineChars="200"/>
      <w:jc w:val="left"/>
    </w:pPr>
    <w:rPr>
      <w:snapToGrid w:val="0"/>
      <w:kern w:val="0"/>
      <w:sz w:val="24"/>
      <w:szCs w:val="20"/>
    </w:rPr>
  </w:style>
  <w:style w:type="character" w:customStyle="1" w:styleId="141">
    <w:name w:val="批注文字 Char"/>
    <w:qFormat/>
    <w:locked/>
    <w:uiPriority w:val="99"/>
    <w:rPr>
      <w:rFonts w:ascii="Times New Roman" w:hAnsi="Times New Roman" w:cs="Times New Roman"/>
    </w:rPr>
  </w:style>
  <w:style w:type="character" w:customStyle="1" w:styleId="142">
    <w:name w:val="环评正文 Char1"/>
    <w:link w:val="143"/>
    <w:qFormat/>
    <w:locked/>
    <w:uiPriority w:val="99"/>
    <w:rPr>
      <w:rFonts w:ascii="仿宋_GB2312" w:eastAsia="仿宋_GB2312"/>
      <w:kern w:val="2"/>
      <w:sz w:val="28"/>
      <w:lang w:val="zh-CN"/>
    </w:rPr>
  </w:style>
  <w:style w:type="paragraph" w:customStyle="1" w:styleId="143">
    <w:name w:val="环评正文"/>
    <w:basedOn w:val="34"/>
    <w:link w:val="142"/>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4">
    <w:name w:val="正文(首行缩进) Char Char"/>
    <w:link w:val="145"/>
    <w:qFormat/>
    <w:locked/>
    <w:uiPriority w:val="99"/>
    <w:rPr>
      <w:snapToGrid w:val="0"/>
      <w:sz w:val="24"/>
    </w:rPr>
  </w:style>
  <w:style w:type="paragraph" w:customStyle="1" w:styleId="145">
    <w:name w:val="正文(首行缩进)"/>
    <w:basedOn w:val="1"/>
    <w:link w:val="144"/>
    <w:qFormat/>
    <w:uiPriority w:val="0"/>
    <w:pPr>
      <w:spacing w:line="360" w:lineRule="auto"/>
      <w:ind w:firstLine="480" w:firstLineChars="200"/>
    </w:pPr>
    <w:rPr>
      <w:snapToGrid w:val="0"/>
      <w:kern w:val="0"/>
      <w:sz w:val="24"/>
      <w:szCs w:val="20"/>
    </w:rPr>
  </w:style>
  <w:style w:type="character" w:customStyle="1" w:styleId="146">
    <w:name w:val="正文01 Char1"/>
    <w:link w:val="147"/>
    <w:qFormat/>
    <w:locked/>
    <w:uiPriority w:val="0"/>
    <w:rPr>
      <w:kern w:val="2"/>
      <w:sz w:val="24"/>
    </w:rPr>
  </w:style>
  <w:style w:type="paragraph" w:customStyle="1" w:styleId="147">
    <w:name w:val="正文01"/>
    <w:basedOn w:val="1"/>
    <w:link w:val="146"/>
    <w:qFormat/>
    <w:uiPriority w:val="0"/>
    <w:pPr>
      <w:adjustRightInd w:val="0"/>
      <w:snapToGrid w:val="0"/>
      <w:spacing w:before="60" w:line="460" w:lineRule="exact"/>
      <w:ind w:firstLine="200" w:firstLineChars="200"/>
    </w:pPr>
    <w:rPr>
      <w:sz w:val="24"/>
      <w:szCs w:val="20"/>
    </w:rPr>
  </w:style>
  <w:style w:type="character" w:customStyle="1" w:styleId="148">
    <w:name w:val="我的样式（正文） Char"/>
    <w:link w:val="149"/>
    <w:qFormat/>
    <w:locked/>
    <w:uiPriority w:val="99"/>
    <w:rPr>
      <w:rFonts w:ascii="宋体"/>
      <w:kern w:val="2"/>
      <w:sz w:val="24"/>
    </w:rPr>
  </w:style>
  <w:style w:type="paragraph" w:customStyle="1" w:styleId="149">
    <w:name w:val="我的样式（正文）"/>
    <w:basedOn w:val="1"/>
    <w:link w:val="148"/>
    <w:qFormat/>
    <w:uiPriority w:val="0"/>
    <w:pPr>
      <w:adjustRightInd w:val="0"/>
      <w:snapToGrid w:val="0"/>
      <w:spacing w:line="360" w:lineRule="auto"/>
      <w:ind w:firstLine="200" w:firstLineChars="200"/>
    </w:pPr>
    <w:rPr>
      <w:rFonts w:ascii="宋体"/>
      <w:sz w:val="24"/>
      <w:szCs w:val="20"/>
    </w:rPr>
  </w:style>
  <w:style w:type="character" w:customStyle="1" w:styleId="150">
    <w:name w:val="页脚 Char"/>
    <w:qFormat/>
    <w:locked/>
    <w:uiPriority w:val="99"/>
    <w:rPr>
      <w:rFonts w:cs="Times New Roman"/>
      <w:sz w:val="18"/>
    </w:rPr>
  </w:style>
  <w:style w:type="character" w:customStyle="1" w:styleId="151">
    <w:name w:val="正文(首行缩进) Char"/>
    <w:qFormat/>
    <w:uiPriority w:val="0"/>
    <w:rPr>
      <w:rFonts w:eastAsia="宋体"/>
      <w:snapToGrid w:val="0"/>
      <w:sz w:val="24"/>
      <w:lang w:val="en-US" w:eastAsia="zh-CN"/>
    </w:rPr>
  </w:style>
  <w:style w:type="character" w:customStyle="1" w:styleId="152">
    <w:name w:val="表格内文字 Char"/>
    <w:link w:val="153"/>
    <w:qFormat/>
    <w:locked/>
    <w:uiPriority w:val="0"/>
    <w:rPr>
      <w:rFonts w:eastAsia="仿宋_GB2312"/>
      <w:sz w:val="24"/>
    </w:rPr>
  </w:style>
  <w:style w:type="paragraph" w:customStyle="1" w:styleId="153">
    <w:name w:val="表格内文字"/>
    <w:basedOn w:val="1"/>
    <w:link w:val="152"/>
    <w:qFormat/>
    <w:uiPriority w:val="0"/>
    <w:pPr>
      <w:tabs>
        <w:tab w:val="left" w:pos="0"/>
      </w:tabs>
      <w:adjustRightInd w:val="0"/>
      <w:snapToGrid w:val="0"/>
      <w:jc w:val="center"/>
    </w:pPr>
    <w:rPr>
      <w:rFonts w:eastAsia="仿宋_GB2312"/>
      <w:kern w:val="0"/>
      <w:sz w:val="24"/>
      <w:szCs w:val="20"/>
    </w:rPr>
  </w:style>
  <w:style w:type="character" w:customStyle="1" w:styleId="154">
    <w:name w:val="正文文本 2 Char"/>
    <w:link w:val="51"/>
    <w:qFormat/>
    <w:locked/>
    <w:uiPriority w:val="99"/>
  </w:style>
  <w:style w:type="character" w:customStyle="1" w:styleId="155">
    <w:name w:val="crumb"/>
    <w:qFormat/>
    <w:uiPriority w:val="99"/>
  </w:style>
  <w:style w:type="character" w:customStyle="1" w:styleId="156">
    <w:name w:val="样式1 Char"/>
    <w:link w:val="157"/>
    <w:qFormat/>
    <w:locked/>
    <w:uiPriority w:val="0"/>
    <w:rPr>
      <w:rFonts w:ascii="Calibri" w:hAnsi="Calibri"/>
      <w:color w:val="000000"/>
      <w:sz w:val="24"/>
    </w:rPr>
  </w:style>
  <w:style w:type="paragraph" w:customStyle="1" w:styleId="157">
    <w:name w:val="样式1"/>
    <w:basedOn w:val="1"/>
    <w:next w:val="26"/>
    <w:link w:val="156"/>
    <w:qFormat/>
    <w:uiPriority w:val="0"/>
    <w:pPr>
      <w:adjustRightInd w:val="0"/>
      <w:snapToGrid w:val="0"/>
      <w:spacing w:line="320" w:lineRule="exact"/>
      <w:jc w:val="center"/>
    </w:pPr>
    <w:rPr>
      <w:rFonts w:ascii="Calibri" w:hAnsi="Calibri"/>
      <w:color w:val="000000"/>
      <w:kern w:val="0"/>
      <w:sz w:val="24"/>
      <w:szCs w:val="20"/>
    </w:rPr>
  </w:style>
  <w:style w:type="character" w:customStyle="1" w:styleId="158">
    <w:name w:val="报告正文-连续目录 Char Char"/>
    <w:link w:val="159"/>
    <w:qFormat/>
    <w:locked/>
    <w:uiPriority w:val="99"/>
    <w:rPr>
      <w:rFonts w:ascii="Arial" w:hAnsi="Arial"/>
      <w:snapToGrid w:val="0"/>
      <w:sz w:val="24"/>
    </w:rPr>
  </w:style>
  <w:style w:type="paragraph" w:customStyle="1" w:styleId="159">
    <w:name w:val="报告正文-连续目录"/>
    <w:basedOn w:val="1"/>
    <w:link w:val="158"/>
    <w:qFormat/>
    <w:uiPriority w:val="99"/>
    <w:pPr>
      <w:spacing w:line="440" w:lineRule="exact"/>
      <w:ind w:firstLine="200" w:firstLineChars="200"/>
    </w:pPr>
    <w:rPr>
      <w:rFonts w:ascii="Arial" w:hAnsi="Arial"/>
      <w:snapToGrid w:val="0"/>
      <w:kern w:val="0"/>
      <w:sz w:val="24"/>
      <w:szCs w:val="20"/>
    </w:rPr>
  </w:style>
  <w:style w:type="character" w:customStyle="1" w:styleId="160">
    <w:name w:val="表格 普通文字 Char"/>
    <w:link w:val="161"/>
    <w:qFormat/>
    <w:uiPriority w:val="0"/>
    <w:rPr>
      <w:rFonts w:eastAsia="仿宋_GB2312"/>
      <w:kern w:val="2"/>
      <w:sz w:val="21"/>
      <w:szCs w:val="21"/>
    </w:rPr>
  </w:style>
  <w:style w:type="paragraph" w:customStyle="1" w:styleId="161">
    <w:name w:val="表格 普通文字"/>
    <w:link w:val="160"/>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2">
    <w:name w:val="文档结构图 Char1"/>
    <w:qFormat/>
    <w:uiPriority w:val="99"/>
    <w:rPr>
      <w:rFonts w:ascii="宋体"/>
      <w:kern w:val="2"/>
      <w:sz w:val="18"/>
      <w:szCs w:val="18"/>
    </w:rPr>
  </w:style>
  <w:style w:type="paragraph" w:customStyle="1" w:styleId="163">
    <w:name w:val="海尔正文"/>
    <w:basedOn w:val="1"/>
    <w:qFormat/>
    <w:uiPriority w:val="0"/>
    <w:pPr>
      <w:spacing w:line="360" w:lineRule="auto"/>
      <w:ind w:firstLine="200" w:firstLineChars="200"/>
    </w:pPr>
    <w:rPr>
      <w:rFonts w:ascii="宋体" w:cs="宋体"/>
      <w:sz w:val="28"/>
    </w:rPr>
  </w:style>
  <w:style w:type="paragraph" w:customStyle="1" w:styleId="164">
    <w:name w:val="表标题"/>
    <w:basedOn w:val="1"/>
    <w:qFormat/>
    <w:uiPriority w:val="0"/>
    <w:pPr>
      <w:spacing w:line="360" w:lineRule="auto"/>
      <w:ind w:left="3420"/>
    </w:pPr>
    <w:rPr>
      <w:rFonts w:ascii="宋体" w:hAnsi="宋体"/>
      <w:sz w:val="24"/>
    </w:rPr>
  </w:style>
  <w:style w:type="character" w:customStyle="1" w:styleId="165">
    <w:name w:val="正文文本缩进 3 Char1"/>
    <w:qFormat/>
    <w:uiPriority w:val="0"/>
    <w:rPr>
      <w:kern w:val="2"/>
      <w:sz w:val="16"/>
      <w:szCs w:val="16"/>
    </w:rPr>
  </w:style>
  <w:style w:type="paragraph" w:customStyle="1" w:styleId="166">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7">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68">
    <w:name w:val="列出段落1"/>
    <w:basedOn w:val="1"/>
    <w:link w:val="543"/>
    <w:qFormat/>
    <w:uiPriority w:val="34"/>
    <w:pPr>
      <w:widowControl/>
      <w:ind w:firstLine="420" w:firstLineChars="200"/>
      <w:jc w:val="left"/>
    </w:pPr>
    <w:rPr>
      <w:kern w:val="0"/>
      <w:sz w:val="20"/>
      <w:szCs w:val="20"/>
    </w:rPr>
  </w:style>
  <w:style w:type="paragraph" w:customStyle="1" w:styleId="169">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0">
    <w:name w:val="正文文本缩进 2 Char1"/>
    <w:qFormat/>
    <w:uiPriority w:val="0"/>
    <w:rPr>
      <w:kern w:val="2"/>
      <w:sz w:val="21"/>
      <w:szCs w:val="24"/>
    </w:rPr>
  </w:style>
  <w:style w:type="paragraph" w:customStyle="1" w:styleId="171">
    <w:name w:val="Char Char Char1 Char Char Char"/>
    <w:basedOn w:val="1"/>
    <w:qFormat/>
    <w:uiPriority w:val="99"/>
    <w:rPr>
      <w:rFonts w:ascii="Courier New" w:hAnsi="Courier New" w:eastAsia="仿宋" w:cs="Courier New"/>
      <w:sz w:val="24"/>
    </w:rPr>
  </w:style>
  <w:style w:type="character" w:customStyle="1" w:styleId="172">
    <w:name w:val="纯文本 Char2"/>
    <w:qFormat/>
    <w:uiPriority w:val="0"/>
    <w:rPr>
      <w:rFonts w:ascii="宋体" w:hAnsi="Courier New" w:cs="Courier New"/>
      <w:kern w:val="2"/>
      <w:sz w:val="21"/>
      <w:szCs w:val="21"/>
    </w:rPr>
  </w:style>
  <w:style w:type="paragraph" w:customStyle="1" w:styleId="173">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4">
    <w:name w:val="Char Char Char Char1"/>
    <w:basedOn w:val="1"/>
    <w:qFormat/>
    <w:uiPriority w:val="99"/>
    <w:pPr>
      <w:spacing w:line="360" w:lineRule="auto"/>
      <w:ind w:firstLine="200" w:firstLineChars="200"/>
    </w:pPr>
    <w:rPr>
      <w:rFonts w:ascii="宋体" w:hAnsi="宋体" w:cs="宋体"/>
      <w:sz w:val="24"/>
    </w:rPr>
  </w:style>
  <w:style w:type="paragraph" w:customStyle="1" w:styleId="175">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6">
    <w:name w:val="表格正文"/>
    <w:basedOn w:val="1"/>
    <w:link w:val="1101"/>
    <w:qFormat/>
    <w:uiPriority w:val="99"/>
    <w:pPr>
      <w:spacing w:line="360" w:lineRule="exact"/>
      <w:jc w:val="center"/>
    </w:pPr>
    <w:rPr>
      <w:szCs w:val="20"/>
    </w:rPr>
  </w:style>
  <w:style w:type="paragraph" w:customStyle="1" w:styleId="177">
    <w:name w:val="Char Char4 Char Char"/>
    <w:basedOn w:val="1"/>
    <w:qFormat/>
    <w:uiPriority w:val="99"/>
    <w:rPr>
      <w:szCs w:val="20"/>
    </w:rPr>
  </w:style>
  <w:style w:type="paragraph" w:customStyle="1" w:styleId="178">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79">
    <w:name w:val="列出段落2"/>
    <w:basedOn w:val="1"/>
    <w:qFormat/>
    <w:uiPriority w:val="99"/>
    <w:pPr>
      <w:widowControl/>
      <w:ind w:firstLine="420" w:firstLineChars="200"/>
      <w:jc w:val="left"/>
    </w:pPr>
    <w:rPr>
      <w:kern w:val="0"/>
      <w:sz w:val="20"/>
      <w:szCs w:val="20"/>
    </w:rPr>
  </w:style>
  <w:style w:type="character" w:customStyle="1" w:styleId="180">
    <w:name w:val="标题 Char2"/>
    <w:qFormat/>
    <w:uiPriority w:val="0"/>
    <w:rPr>
      <w:rFonts w:ascii="Cambria" w:hAnsi="Cambria" w:cs="Times New Roman"/>
      <w:b/>
      <w:bCs/>
      <w:kern w:val="2"/>
      <w:sz w:val="32"/>
      <w:szCs w:val="32"/>
    </w:rPr>
  </w:style>
  <w:style w:type="paragraph" w:customStyle="1" w:styleId="181">
    <w:name w:val="表格下方正文"/>
    <w:basedOn w:val="1"/>
    <w:qFormat/>
    <w:uiPriority w:val="99"/>
    <w:pPr>
      <w:adjustRightInd w:val="0"/>
      <w:snapToGrid w:val="0"/>
      <w:spacing w:before="300" w:line="460" w:lineRule="exact"/>
      <w:ind w:firstLine="482"/>
    </w:pPr>
    <w:rPr>
      <w:sz w:val="24"/>
    </w:rPr>
  </w:style>
  <w:style w:type="paragraph" w:customStyle="1" w:styleId="18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3">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4">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5">
    <w:name w:val="二级无标题条"/>
    <w:basedOn w:val="1"/>
    <w:qFormat/>
    <w:uiPriority w:val="0"/>
  </w:style>
  <w:style w:type="paragraph" w:customStyle="1" w:styleId="186">
    <w:name w:val="框图"/>
    <w:basedOn w:val="1"/>
    <w:qFormat/>
    <w:uiPriority w:val="99"/>
    <w:pPr>
      <w:adjustRightInd w:val="0"/>
      <w:snapToGrid w:val="0"/>
      <w:jc w:val="center"/>
    </w:pPr>
    <w:rPr>
      <w:rFonts w:ascii="仿宋_GB2312" w:hAnsi="宋体" w:eastAsia="仿宋_GB2312"/>
      <w:szCs w:val="21"/>
    </w:rPr>
  </w:style>
  <w:style w:type="paragraph" w:customStyle="1" w:styleId="18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8">
    <w:name w:val="默认段落字体 Para Char Char Char Char"/>
    <w:basedOn w:val="1"/>
    <w:qFormat/>
    <w:uiPriority w:val="0"/>
    <w:rPr>
      <w:sz w:val="24"/>
    </w:rPr>
  </w:style>
  <w:style w:type="paragraph" w:customStyle="1" w:styleId="189">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0">
    <w:name w:val="Char Char Char Char"/>
    <w:basedOn w:val="1"/>
    <w:qFormat/>
    <w:uiPriority w:val="0"/>
    <w:rPr>
      <w:szCs w:val="20"/>
    </w:rPr>
  </w:style>
  <w:style w:type="paragraph" w:customStyle="1" w:styleId="191">
    <w:name w:val="样式 表中文字 +"/>
    <w:basedOn w:val="1"/>
    <w:qFormat/>
    <w:uiPriority w:val="99"/>
    <w:pPr>
      <w:adjustRightInd w:val="0"/>
      <w:snapToGrid w:val="0"/>
      <w:spacing w:line="400" w:lineRule="exact"/>
      <w:jc w:val="center"/>
    </w:pPr>
    <w:rPr>
      <w:kern w:val="0"/>
      <w:szCs w:val="21"/>
    </w:rPr>
  </w:style>
  <w:style w:type="paragraph" w:customStyle="1" w:styleId="192">
    <w:name w:val="无间隔1"/>
    <w:basedOn w:val="1"/>
    <w:qFormat/>
    <w:uiPriority w:val="99"/>
    <w:pPr>
      <w:widowControl/>
      <w:jc w:val="left"/>
    </w:pPr>
    <w:rPr>
      <w:rFonts w:ascii="宋体" w:hAnsi="宋体"/>
      <w:kern w:val="0"/>
      <w:sz w:val="20"/>
      <w:szCs w:val="20"/>
    </w:rPr>
  </w:style>
  <w:style w:type="paragraph" w:customStyle="1" w:styleId="193">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4">
    <w:name w:val="表格文字（对中）"/>
    <w:basedOn w:val="4"/>
    <w:qFormat/>
    <w:uiPriority w:val="0"/>
    <w:pPr>
      <w:spacing w:line="480" w:lineRule="exact"/>
      <w:ind w:firstLine="0"/>
      <w:jc w:val="center"/>
    </w:pPr>
    <w:rPr>
      <w:rFonts w:ascii="黑体" w:hAnsi="Calibri" w:eastAsia="黑体"/>
      <w:color w:val="000000"/>
      <w:sz w:val="24"/>
      <w:szCs w:val="21"/>
    </w:rPr>
  </w:style>
  <w:style w:type="character" w:customStyle="1" w:styleId="195">
    <w:name w:val="正文首行缩进 Char1"/>
    <w:qFormat/>
    <w:uiPriority w:val="99"/>
    <w:rPr>
      <w:kern w:val="2"/>
      <w:sz w:val="21"/>
      <w:szCs w:val="24"/>
    </w:rPr>
  </w:style>
  <w:style w:type="character" w:customStyle="1" w:styleId="196">
    <w:name w:val="正文文本 2 Char1"/>
    <w:qFormat/>
    <w:uiPriority w:val="99"/>
    <w:rPr>
      <w:kern w:val="2"/>
      <w:sz w:val="21"/>
      <w:szCs w:val="24"/>
    </w:rPr>
  </w:style>
  <w:style w:type="character" w:customStyle="1" w:styleId="197">
    <w:name w:val="副标题 Char1"/>
    <w:qFormat/>
    <w:uiPriority w:val="11"/>
    <w:rPr>
      <w:rFonts w:ascii="Cambria" w:hAnsi="Cambria" w:cs="Times New Roman"/>
      <w:b/>
      <w:bCs/>
      <w:kern w:val="28"/>
      <w:sz w:val="32"/>
      <w:szCs w:val="32"/>
    </w:rPr>
  </w:style>
  <w:style w:type="paragraph" w:customStyle="1" w:styleId="198">
    <w:name w:val="默认段落字体 Para Char"/>
    <w:basedOn w:val="1"/>
    <w:qFormat/>
    <w:uiPriority w:val="0"/>
  </w:style>
  <w:style w:type="paragraph" w:customStyle="1" w:styleId="199">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0">
    <w:name w:val="Char Char Char Char Char Char"/>
    <w:basedOn w:val="1"/>
    <w:qFormat/>
    <w:uiPriority w:val="0"/>
    <w:rPr>
      <w:sz w:val="24"/>
    </w:rPr>
  </w:style>
  <w:style w:type="paragraph" w:customStyle="1" w:styleId="201">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2">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3">
    <w:name w:val="1 Char Char Char Char"/>
    <w:basedOn w:val="1"/>
    <w:qFormat/>
    <w:uiPriority w:val="0"/>
    <w:pPr>
      <w:spacing w:line="360" w:lineRule="auto"/>
      <w:ind w:firstLine="200" w:firstLineChars="200"/>
    </w:pPr>
    <w:rPr>
      <w:rFonts w:ascii="宋体" w:hAnsi="宋体" w:cs="宋体"/>
      <w:sz w:val="24"/>
    </w:rPr>
  </w:style>
  <w:style w:type="paragraph" w:customStyle="1" w:styleId="204">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5">
    <w:name w:val="新格式表"/>
    <w:basedOn w:val="1"/>
    <w:qFormat/>
    <w:uiPriority w:val="99"/>
    <w:pPr>
      <w:spacing w:line="240" w:lineRule="exact"/>
      <w:jc w:val="center"/>
    </w:pPr>
    <w:rPr>
      <w:bCs/>
      <w:szCs w:val="21"/>
    </w:rPr>
  </w:style>
  <w:style w:type="paragraph" w:customStyle="1" w:styleId="206">
    <w:name w:val="Char"/>
    <w:basedOn w:val="1"/>
    <w:qFormat/>
    <w:uiPriority w:val="99"/>
    <w:rPr>
      <w:sz w:val="24"/>
    </w:rPr>
  </w:style>
  <w:style w:type="paragraph" w:customStyle="1" w:styleId="207">
    <w:name w:val="表格内容自定"/>
    <w:basedOn w:val="1"/>
    <w:qFormat/>
    <w:uiPriority w:val="0"/>
    <w:pPr>
      <w:spacing w:line="280" w:lineRule="exact"/>
      <w:jc w:val="center"/>
    </w:pPr>
    <w:rPr>
      <w:kern w:val="0"/>
      <w:sz w:val="18"/>
      <w:szCs w:val="21"/>
    </w:rPr>
  </w:style>
  <w:style w:type="paragraph" w:customStyle="1" w:styleId="208">
    <w:name w:val="Char Char Char1 Char Char Char1"/>
    <w:basedOn w:val="1"/>
    <w:qFormat/>
    <w:uiPriority w:val="99"/>
    <w:rPr>
      <w:rFonts w:ascii="Courier New" w:hAnsi="Courier New" w:eastAsia="仿宋" w:cs="Courier New"/>
      <w:sz w:val="24"/>
    </w:rPr>
  </w:style>
  <w:style w:type="paragraph" w:customStyle="1" w:styleId="209">
    <w:name w:val="WPS Plain"/>
    <w:qFormat/>
    <w:uiPriority w:val="0"/>
    <w:rPr>
      <w:rFonts w:ascii="Times New Roman" w:hAnsi="Times New Roman" w:eastAsia="宋体" w:cs="Times New Roman"/>
      <w:sz w:val="24"/>
      <w:szCs w:val="24"/>
      <w:lang w:val="en-US" w:eastAsia="zh-CN" w:bidi="ar-SA"/>
    </w:rPr>
  </w:style>
  <w:style w:type="paragraph" w:customStyle="1" w:styleId="2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1">
    <w:name w:val="码头正文"/>
    <w:basedOn w:val="4"/>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2">
    <w:name w:val="Char Char Char Char Char Char Char"/>
    <w:basedOn w:val="1"/>
    <w:qFormat/>
    <w:uiPriority w:val="0"/>
    <w:rPr>
      <w:sz w:val="24"/>
    </w:rPr>
  </w:style>
  <w:style w:type="paragraph" w:customStyle="1" w:styleId="213">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4">
    <w:name w:val="网格型-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5">
    <w:name w:val="ylf"/>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paragraph" w:customStyle="1" w:styleId="216">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7">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18">
    <w:name w:val="List Paragraph"/>
    <w:basedOn w:val="1"/>
    <w:qFormat/>
    <w:uiPriority w:val="0"/>
    <w:pPr>
      <w:widowControl/>
      <w:ind w:firstLine="420" w:firstLineChars="200"/>
      <w:jc w:val="left"/>
    </w:pPr>
    <w:rPr>
      <w:kern w:val="0"/>
      <w:sz w:val="20"/>
      <w:szCs w:val="20"/>
    </w:rPr>
  </w:style>
  <w:style w:type="character" w:styleId="219">
    <w:name w:val="Placeholder Text"/>
    <w:unhideWhenUsed/>
    <w:qFormat/>
    <w:uiPriority w:val="99"/>
    <w:rPr>
      <w:color w:val="808080"/>
    </w:rPr>
  </w:style>
  <w:style w:type="character" w:customStyle="1" w:styleId="220">
    <w:name w:val="正文首行缩进 2 Char"/>
    <w:basedOn w:val="77"/>
    <w:link w:val="57"/>
    <w:qFormat/>
    <w:uiPriority w:val="0"/>
    <w:rPr>
      <w:rFonts w:ascii="Times New Roman" w:hAnsi="Times New Roman" w:eastAsia="宋体"/>
      <w:sz w:val="24"/>
    </w:rPr>
  </w:style>
  <w:style w:type="character" w:customStyle="1" w:styleId="221">
    <w:name w:val="报告表正文 Char"/>
    <w:link w:val="222"/>
    <w:qFormat/>
    <w:uiPriority w:val="0"/>
    <w:rPr>
      <w:sz w:val="24"/>
    </w:rPr>
  </w:style>
  <w:style w:type="paragraph" w:customStyle="1" w:styleId="222">
    <w:name w:val="报告表正文"/>
    <w:basedOn w:val="1"/>
    <w:link w:val="221"/>
    <w:qFormat/>
    <w:uiPriority w:val="0"/>
    <w:pPr>
      <w:adjustRightInd w:val="0"/>
      <w:spacing w:line="300" w:lineRule="auto"/>
      <w:ind w:left="113" w:right="113"/>
      <w:textAlignment w:val="baseline"/>
    </w:pPr>
    <w:rPr>
      <w:kern w:val="0"/>
      <w:sz w:val="24"/>
      <w:szCs w:val="20"/>
    </w:rPr>
  </w:style>
  <w:style w:type="character" w:customStyle="1" w:styleId="223">
    <w:name w:val="Char Char29"/>
    <w:qFormat/>
    <w:uiPriority w:val="0"/>
    <w:rPr>
      <w:rFonts w:eastAsia="宋体"/>
      <w:b/>
      <w:bCs/>
      <w:kern w:val="2"/>
      <w:sz w:val="32"/>
      <w:szCs w:val="32"/>
      <w:lang w:val="en-US" w:eastAsia="zh-CN" w:bidi="ar-SA"/>
    </w:rPr>
  </w:style>
  <w:style w:type="character" w:customStyle="1" w:styleId="224">
    <w:name w:val="tt"/>
    <w:qFormat/>
    <w:uiPriority w:val="0"/>
  </w:style>
  <w:style w:type="character" w:customStyle="1" w:styleId="225">
    <w:name w:val="3zw1"/>
    <w:qFormat/>
    <w:uiPriority w:val="0"/>
    <w:rPr>
      <w:color w:val="000000"/>
      <w:sz w:val="21"/>
      <w:szCs w:val="21"/>
    </w:rPr>
  </w:style>
  <w:style w:type="character" w:customStyle="1" w:styleId="226">
    <w:name w:val="Char Char11"/>
    <w:qFormat/>
    <w:uiPriority w:val="0"/>
    <w:rPr>
      <w:rFonts w:ascii="Calibri" w:hAnsi="Tahoma" w:eastAsia="Calibri" w:cs="Tahoma"/>
      <w:kern w:val="2"/>
      <w:sz w:val="21"/>
      <w:szCs w:val="21"/>
      <w:lang w:val="en-US" w:eastAsia="zh-CN" w:bidi="ar-SA"/>
    </w:rPr>
  </w:style>
  <w:style w:type="character" w:customStyle="1" w:styleId="227">
    <w:name w:val="未命名11"/>
    <w:qFormat/>
    <w:uiPriority w:val="0"/>
    <w:rPr>
      <w:rFonts w:hint="eastAsia" w:ascii="宋体" w:hAnsi="宋体" w:eastAsia="宋体"/>
      <w:sz w:val="18"/>
      <w:szCs w:val="18"/>
    </w:rPr>
  </w:style>
  <w:style w:type="character" w:customStyle="1" w:styleId="228">
    <w:name w:val="正文文本 + 10 pt8"/>
    <w:qFormat/>
    <w:uiPriority w:val="0"/>
    <w:rPr>
      <w:rFonts w:ascii="宋体" w:eastAsia="宋体" w:cs="宋体"/>
      <w:b/>
      <w:bCs/>
      <w:sz w:val="20"/>
      <w:szCs w:val="20"/>
    </w:rPr>
  </w:style>
  <w:style w:type="character" w:customStyle="1" w:styleId="229">
    <w:name w:val="p18-hei"/>
    <w:qFormat/>
    <w:uiPriority w:val="0"/>
  </w:style>
  <w:style w:type="character" w:customStyle="1" w:styleId="230">
    <w:name w:val="表格内容1 Char"/>
    <w:link w:val="231"/>
    <w:qFormat/>
    <w:uiPriority w:val="0"/>
    <w:rPr>
      <w:kern w:val="24"/>
      <w:sz w:val="21"/>
      <w:szCs w:val="21"/>
    </w:rPr>
  </w:style>
  <w:style w:type="paragraph" w:customStyle="1" w:styleId="231">
    <w:name w:val="表格内容1"/>
    <w:basedOn w:val="1"/>
    <w:link w:val="230"/>
    <w:qFormat/>
    <w:uiPriority w:val="0"/>
    <w:pPr>
      <w:widowControl/>
      <w:jc w:val="center"/>
    </w:pPr>
    <w:rPr>
      <w:kern w:val="24"/>
      <w:szCs w:val="21"/>
    </w:rPr>
  </w:style>
  <w:style w:type="character" w:customStyle="1" w:styleId="232">
    <w:name w:val="正文文本 + 10 pt5"/>
    <w:qFormat/>
    <w:uiPriority w:val="0"/>
    <w:rPr>
      <w:rFonts w:ascii="宋体" w:eastAsia="宋体" w:cs="宋体"/>
      <w:b/>
      <w:bCs/>
      <w:sz w:val="20"/>
      <w:szCs w:val="20"/>
    </w:rPr>
  </w:style>
  <w:style w:type="character" w:customStyle="1" w:styleId="233">
    <w:name w:val="edit_font_color"/>
    <w:qFormat/>
    <w:uiPriority w:val="0"/>
  </w:style>
  <w:style w:type="character" w:customStyle="1" w:styleId="234">
    <w:name w:val="keyword1"/>
    <w:qFormat/>
    <w:uiPriority w:val="0"/>
  </w:style>
  <w:style w:type="character" w:customStyle="1" w:styleId="235">
    <w:name w:val="报告 Char"/>
    <w:link w:val="236"/>
    <w:qFormat/>
    <w:uiPriority w:val="0"/>
    <w:rPr>
      <w:rFonts w:ascii="TimesNewRoman" w:hAnsi="TimesNewRoman"/>
      <w:sz w:val="24"/>
    </w:rPr>
  </w:style>
  <w:style w:type="paragraph" w:customStyle="1" w:styleId="236">
    <w:name w:val="报告"/>
    <w:basedOn w:val="1"/>
    <w:link w:val="235"/>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7">
    <w:name w:val="px141"/>
    <w:qFormat/>
    <w:uiPriority w:val="0"/>
    <w:rPr>
      <w:rFonts w:hint="default" w:ascii="ˎ̥" w:hAnsi="ˎ̥"/>
      <w:sz w:val="21"/>
      <w:szCs w:val="21"/>
    </w:rPr>
  </w:style>
  <w:style w:type="character" w:customStyle="1" w:styleId="238">
    <w:name w:val="注释标题 Char"/>
    <w:link w:val="14"/>
    <w:qFormat/>
    <w:uiPriority w:val="0"/>
    <w:rPr>
      <w:rFonts w:ascii="宋体"/>
      <w:kern w:val="2"/>
      <w:sz w:val="21"/>
    </w:rPr>
  </w:style>
  <w:style w:type="character" w:customStyle="1" w:styleId="239">
    <w:name w:val="标题1"/>
    <w:qFormat/>
    <w:uiPriority w:val="0"/>
  </w:style>
  <w:style w:type="character" w:customStyle="1" w:styleId="240">
    <w:name w:val="spelle"/>
    <w:qFormat/>
    <w:uiPriority w:val="0"/>
  </w:style>
  <w:style w:type="character" w:customStyle="1" w:styleId="241">
    <w:name w:val="css"/>
    <w:qFormat/>
    <w:uiPriority w:val="0"/>
  </w:style>
  <w:style w:type="character" w:customStyle="1" w:styleId="242">
    <w:name w:val="正文B Char"/>
    <w:link w:val="243"/>
    <w:qFormat/>
    <w:locked/>
    <w:uiPriority w:val="0"/>
    <w:rPr>
      <w:rFonts w:ascii="楷体_GB2312" w:eastAsia="楷体_GB2312"/>
      <w:kern w:val="2"/>
      <w:sz w:val="28"/>
    </w:rPr>
  </w:style>
  <w:style w:type="paragraph" w:customStyle="1" w:styleId="243">
    <w:name w:val="正文B"/>
    <w:basedOn w:val="1"/>
    <w:link w:val="242"/>
    <w:qFormat/>
    <w:uiPriority w:val="0"/>
    <w:pPr>
      <w:spacing w:line="500" w:lineRule="exact"/>
    </w:pPr>
    <w:rPr>
      <w:rFonts w:ascii="楷体_GB2312" w:eastAsia="楷体_GB2312"/>
      <w:sz w:val="28"/>
      <w:szCs w:val="20"/>
    </w:rPr>
  </w:style>
  <w:style w:type="character" w:customStyle="1" w:styleId="244">
    <w:name w:val="标题 3 Char Char2"/>
    <w:qFormat/>
    <w:uiPriority w:val="0"/>
    <w:rPr>
      <w:rFonts w:eastAsia="宋体"/>
      <w:b/>
      <w:bCs/>
      <w:kern w:val="2"/>
      <w:sz w:val="32"/>
      <w:szCs w:val="32"/>
      <w:lang w:val="en-US" w:eastAsia="zh-CN" w:bidi="ar-SA"/>
    </w:rPr>
  </w:style>
  <w:style w:type="character" w:customStyle="1" w:styleId="245">
    <w:name w:val="Char Char4"/>
    <w:qFormat/>
    <w:uiPriority w:val="0"/>
    <w:rPr>
      <w:rFonts w:ascii="宋体" w:hAnsi="Courier New" w:eastAsia="宋体"/>
      <w:kern w:val="2"/>
      <w:sz w:val="21"/>
      <w:lang w:val="en-US" w:eastAsia="zh-CN" w:bidi="ar-SA"/>
    </w:rPr>
  </w:style>
  <w:style w:type="character" w:customStyle="1" w:styleId="246">
    <w:name w:val="正文文本 + 6.5 pt3"/>
    <w:qFormat/>
    <w:uiPriority w:val="0"/>
    <w:rPr>
      <w:rFonts w:ascii="宋体" w:hAnsi="宋体" w:eastAsia="宋体" w:cs="宋体"/>
      <w:b/>
      <w:bCs/>
      <w:sz w:val="13"/>
      <w:szCs w:val="13"/>
      <w:lang w:val="en-US" w:eastAsia="zh-CN"/>
    </w:rPr>
  </w:style>
  <w:style w:type="character" w:customStyle="1" w:styleId="247">
    <w:name w:val="t_tag"/>
    <w:qFormat/>
    <w:uiPriority w:val="0"/>
  </w:style>
  <w:style w:type="character" w:customStyle="1" w:styleId="248">
    <w:name w:val="style31"/>
    <w:qFormat/>
    <w:uiPriority w:val="0"/>
    <w:rPr>
      <w:color w:val="000000"/>
      <w:sz w:val="21"/>
      <w:szCs w:val="21"/>
    </w:rPr>
  </w:style>
  <w:style w:type="character" w:customStyle="1" w:styleId="249">
    <w:name w:val="链接"/>
    <w:qFormat/>
    <w:uiPriority w:val="0"/>
    <w:rPr>
      <w:color w:val="0000FF"/>
      <w:u w:val="single" w:color="0000FF"/>
    </w:rPr>
  </w:style>
  <w:style w:type="character" w:customStyle="1" w:styleId="250">
    <w:name w:val="Char Char9"/>
    <w:qFormat/>
    <w:uiPriority w:val="0"/>
    <w:rPr>
      <w:rFonts w:ascii="宋体" w:hAnsi="宋体" w:eastAsia="宋体"/>
      <w:kern w:val="2"/>
      <w:sz w:val="24"/>
      <w:szCs w:val="24"/>
      <w:lang w:val="en-US" w:eastAsia="zh-CN" w:bidi="ar-SA"/>
    </w:rPr>
  </w:style>
  <w:style w:type="character" w:customStyle="1" w:styleId="251">
    <w:name w:val="正文文本 3 Char"/>
    <w:link w:val="22"/>
    <w:qFormat/>
    <w:locked/>
    <w:uiPriority w:val="99"/>
    <w:rPr>
      <w:rFonts w:ascii="宋体" w:hAnsi="宋体"/>
      <w:kern w:val="2"/>
      <w:sz w:val="16"/>
      <w:szCs w:val="16"/>
    </w:rPr>
  </w:style>
  <w:style w:type="character" w:customStyle="1" w:styleId="252">
    <w:name w:val="表1 Char"/>
    <w:link w:val="253"/>
    <w:qFormat/>
    <w:uiPriority w:val="0"/>
    <w:rPr>
      <w:rFonts w:eastAsia="Times New Roman"/>
      <w:sz w:val="21"/>
    </w:rPr>
  </w:style>
  <w:style w:type="paragraph" w:customStyle="1" w:styleId="253">
    <w:name w:val="表1"/>
    <w:next w:val="1"/>
    <w:link w:val="252"/>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4">
    <w:name w:val="标题 2 Char3"/>
    <w:qFormat/>
    <w:uiPriority w:val="0"/>
    <w:rPr>
      <w:rFonts w:eastAsia="宋体"/>
      <w:b/>
      <w:bCs/>
      <w:kern w:val="2"/>
      <w:sz w:val="21"/>
      <w:szCs w:val="24"/>
      <w:lang w:val="en-US" w:eastAsia="zh-CN" w:bidi="ar-SA"/>
    </w:rPr>
  </w:style>
  <w:style w:type="character" w:customStyle="1" w:styleId="255">
    <w:name w:val="grame"/>
    <w:qFormat/>
    <w:uiPriority w:val="0"/>
  </w:style>
  <w:style w:type="character" w:customStyle="1" w:styleId="256">
    <w:name w:val="纯文本1"/>
    <w:qFormat/>
    <w:uiPriority w:val="0"/>
    <w:rPr>
      <w:rFonts w:ascii="宋体" w:hAnsi="Courier New" w:eastAsia="宋体" w:cs="Courier New"/>
      <w:kern w:val="2"/>
      <w:sz w:val="21"/>
      <w:szCs w:val="21"/>
      <w:lang w:val="en-US" w:eastAsia="zh-CN" w:bidi="ar-SA"/>
    </w:rPr>
  </w:style>
  <w:style w:type="character" w:customStyle="1" w:styleId="257">
    <w:name w:val="ddd"/>
    <w:qFormat/>
    <w:uiPriority w:val="0"/>
  </w:style>
  <w:style w:type="character" w:customStyle="1" w:styleId="258">
    <w:name w:val="表格 Char1"/>
    <w:qFormat/>
    <w:uiPriority w:val="0"/>
    <w:rPr>
      <w:rFonts w:ascii="Times New Roman" w:hAnsi="Times New Roman" w:eastAsia="仿宋_GB2312"/>
      <w:color w:val="auto"/>
      <w:kern w:val="2"/>
      <w:sz w:val="21"/>
      <w:szCs w:val="24"/>
    </w:rPr>
  </w:style>
  <w:style w:type="character" w:customStyle="1" w:styleId="259">
    <w:name w:val="表 Char1"/>
    <w:qFormat/>
    <w:uiPriority w:val="0"/>
    <w:rPr>
      <w:rFonts w:eastAsia="仿宋_GB2312" w:cs="仿宋_GB2312"/>
      <w:kern w:val="2"/>
      <w:sz w:val="21"/>
      <w:szCs w:val="21"/>
      <w:lang w:val="en-US" w:eastAsia="zh-CN" w:bidi="ar-SA"/>
    </w:rPr>
  </w:style>
  <w:style w:type="character" w:customStyle="1" w:styleId="260">
    <w:name w:val="正文1 Char"/>
    <w:link w:val="261"/>
    <w:qFormat/>
    <w:uiPriority w:val="0"/>
    <w:rPr>
      <w:rFonts w:ascii="宋体" w:hAnsi="宋体"/>
      <w:color w:val="000000"/>
      <w:kern w:val="2"/>
      <w:sz w:val="24"/>
    </w:rPr>
  </w:style>
  <w:style w:type="paragraph" w:customStyle="1" w:styleId="261">
    <w:name w:val="正文1"/>
    <w:basedOn w:val="1"/>
    <w:link w:val="260"/>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2">
    <w:name w:val="正文调整 Char"/>
    <w:link w:val="263"/>
    <w:qFormat/>
    <w:uiPriority w:val="0"/>
    <w:rPr>
      <w:kern w:val="2"/>
      <w:sz w:val="24"/>
      <w:szCs w:val="24"/>
    </w:rPr>
  </w:style>
  <w:style w:type="paragraph" w:customStyle="1" w:styleId="263">
    <w:name w:val="正文调整"/>
    <w:basedOn w:val="1"/>
    <w:link w:val="262"/>
    <w:qFormat/>
    <w:uiPriority w:val="0"/>
    <w:pPr>
      <w:spacing w:before="60" w:line="460" w:lineRule="atLeast"/>
      <w:ind w:firstLine="200" w:firstLineChars="200"/>
    </w:pPr>
    <w:rPr>
      <w:sz w:val="24"/>
    </w:rPr>
  </w:style>
  <w:style w:type="character" w:customStyle="1" w:styleId="264">
    <w:name w:val="表格标题 Char Char"/>
    <w:link w:val="265"/>
    <w:qFormat/>
    <w:uiPriority w:val="0"/>
    <w:rPr>
      <w:rFonts w:eastAsia="方正魏碑简体"/>
      <w:kern w:val="2"/>
      <w:sz w:val="24"/>
    </w:rPr>
  </w:style>
  <w:style w:type="paragraph" w:customStyle="1" w:styleId="265">
    <w:name w:val="表格标题"/>
    <w:basedOn w:val="1"/>
    <w:link w:val="264"/>
    <w:qFormat/>
    <w:uiPriority w:val="0"/>
    <w:pPr>
      <w:spacing w:before="120"/>
      <w:jc w:val="center"/>
    </w:pPr>
    <w:rPr>
      <w:rFonts w:eastAsia="方正魏碑简体"/>
      <w:sz w:val="24"/>
      <w:szCs w:val="20"/>
    </w:rPr>
  </w:style>
  <w:style w:type="paragraph" w:customStyle="1" w:styleId="266">
    <w:name w:val="居中正文"/>
    <w:basedOn w:val="56"/>
    <w:qFormat/>
    <w:uiPriority w:val="0"/>
    <w:pPr>
      <w:adjustRightInd w:val="0"/>
      <w:spacing w:before="120" w:after="0" w:line="360" w:lineRule="auto"/>
      <w:ind w:firstLine="0" w:firstLineChars="0"/>
      <w:jc w:val="center"/>
      <w:textAlignment w:val="baseline"/>
    </w:pPr>
    <w:rPr>
      <w:rFonts w:ascii="宋体"/>
      <w:kern w:val="28"/>
      <w:sz w:val="24"/>
      <w:szCs w:val="24"/>
      <w:lang w:val="zh-CN" w:eastAsia="zh-CN"/>
    </w:rPr>
  </w:style>
  <w:style w:type="character" w:customStyle="1" w:styleId="267">
    <w:name w:val="注释标题 Char1"/>
    <w:qFormat/>
    <w:uiPriority w:val="99"/>
    <w:rPr>
      <w:kern w:val="2"/>
      <w:sz w:val="21"/>
      <w:szCs w:val="24"/>
    </w:rPr>
  </w:style>
  <w:style w:type="paragraph" w:customStyle="1" w:styleId="26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69">
    <w:name w:val="CM11"/>
    <w:basedOn w:val="210"/>
    <w:next w:val="210"/>
    <w:qFormat/>
    <w:uiPriority w:val="0"/>
    <w:pPr>
      <w:spacing w:line="460" w:lineRule="atLeast"/>
    </w:pPr>
    <w:rPr>
      <w:rFonts w:ascii="黑体" w:eastAsia="黑体" w:cs="Times New Roman"/>
      <w:color w:val="auto"/>
      <w:sz w:val="20"/>
    </w:rPr>
  </w:style>
  <w:style w:type="character" w:customStyle="1" w:styleId="270">
    <w:name w:val="HTML 预设格式 Char"/>
    <w:link w:val="52"/>
    <w:qFormat/>
    <w:uiPriority w:val="99"/>
    <w:rPr>
      <w:rFonts w:ascii="Arial" w:hAnsi="Arial"/>
      <w:sz w:val="23"/>
      <w:szCs w:val="23"/>
      <w:lang w:val="zh-CN" w:eastAsia="zh-CN"/>
    </w:rPr>
  </w:style>
  <w:style w:type="character" w:customStyle="1" w:styleId="271">
    <w:name w:val="正文文本 3 Char1"/>
    <w:qFormat/>
    <w:uiPriority w:val="99"/>
    <w:rPr>
      <w:kern w:val="2"/>
      <w:sz w:val="16"/>
      <w:szCs w:val="16"/>
    </w:rPr>
  </w:style>
  <w:style w:type="paragraph" w:customStyle="1" w:styleId="272">
    <w:name w:val="IDC A-Head (2nd Line)"/>
    <w:basedOn w:val="1"/>
    <w:next w:val="1"/>
    <w:qFormat/>
    <w:uiPriority w:val="0"/>
    <w:pPr>
      <w:widowControl/>
      <w:jc w:val="center"/>
    </w:pPr>
    <w:rPr>
      <w:caps/>
      <w:kern w:val="0"/>
      <w:sz w:val="24"/>
      <w:szCs w:val="20"/>
    </w:rPr>
  </w:style>
  <w:style w:type="paragraph" w:customStyle="1" w:styleId="27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4">
    <w:name w:val="默认段落字体 Para Char Char Char Char Char Char Char Char Char Char Char Char Char"/>
    <w:basedOn w:val="1"/>
    <w:qFormat/>
    <w:uiPriority w:val="0"/>
    <w:rPr>
      <w:sz w:val="24"/>
    </w:rPr>
  </w:style>
  <w:style w:type="paragraph" w:customStyle="1" w:styleId="275">
    <w:name w:val="1 Char Char Char Char Char Char Char Char Char Char Char Char Char Char Char Char"/>
    <w:basedOn w:val="1"/>
    <w:qFormat/>
    <w:uiPriority w:val="0"/>
  </w:style>
  <w:style w:type="paragraph" w:customStyle="1" w:styleId="27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表2"/>
    <w:basedOn w:val="4"/>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7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79">
    <w:name w:val="码头表"/>
    <w:basedOn w:val="1"/>
    <w:qFormat/>
    <w:uiPriority w:val="0"/>
    <w:pPr>
      <w:jc w:val="center"/>
    </w:pPr>
    <w:rPr>
      <w:rFonts w:ascii="宋体" w:hAnsi="宋体"/>
      <w:color w:val="FF0000"/>
      <w:sz w:val="24"/>
    </w:rPr>
  </w:style>
  <w:style w:type="paragraph" w:customStyle="1" w:styleId="28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1">
    <w:name w:val="Char1"/>
    <w:basedOn w:val="1"/>
    <w:qFormat/>
    <w:uiPriority w:val="0"/>
    <w:rPr>
      <w:sz w:val="24"/>
    </w:rPr>
  </w:style>
  <w:style w:type="paragraph" w:customStyle="1" w:styleId="28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4">
    <w:name w:val="样式 标题 3ReHead 3 WSAh3标题 3 Char标题 32标题 311Re11Head 3 WSA1..."/>
    <w:basedOn w:val="5"/>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85">
    <w:name w:val="1 Char Char Char Char Char Char Char Char Char Char"/>
    <w:basedOn w:val="1"/>
    <w:qFormat/>
    <w:uiPriority w:val="0"/>
  </w:style>
  <w:style w:type="paragraph" w:customStyle="1" w:styleId="28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7">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88">
    <w:name w:val="正文两端对齐"/>
    <w:basedOn w:val="1"/>
    <w:qFormat/>
    <w:uiPriority w:val="0"/>
    <w:pPr>
      <w:spacing w:line="480" w:lineRule="exact"/>
    </w:pPr>
    <w:rPr>
      <w:rFonts w:ascii="宋体"/>
      <w:sz w:val="24"/>
    </w:rPr>
  </w:style>
  <w:style w:type="paragraph" w:customStyle="1" w:styleId="289">
    <w:name w:val="Char2"/>
    <w:basedOn w:val="1"/>
    <w:qFormat/>
    <w:uiPriority w:val="0"/>
    <w:pPr>
      <w:ind w:firstLine="200" w:firstLineChars="200"/>
    </w:pPr>
    <w:rPr>
      <w:rFonts w:ascii="宋体" w:hAnsi="宋体" w:cs="宋体"/>
    </w:rPr>
  </w:style>
  <w:style w:type="paragraph" w:customStyle="1" w:styleId="290">
    <w:name w:val="1 Char Char Char Char Char Char Char Char Char Char Char Char Char"/>
    <w:basedOn w:val="1"/>
    <w:qFormat/>
    <w:uiPriority w:val="0"/>
  </w:style>
  <w:style w:type="paragraph" w:customStyle="1" w:styleId="291">
    <w:name w:val="表格1"/>
    <w:basedOn w:val="1"/>
    <w:qFormat/>
    <w:uiPriority w:val="0"/>
    <w:pPr>
      <w:spacing w:before="120" w:line="360" w:lineRule="auto"/>
    </w:pPr>
    <w:rPr>
      <w:sz w:val="24"/>
      <w:szCs w:val="20"/>
    </w:rPr>
  </w:style>
  <w:style w:type="paragraph" w:customStyle="1" w:styleId="29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4">
    <w:name w:val="简单回函地址"/>
    <w:basedOn w:val="1"/>
    <w:qFormat/>
    <w:uiPriority w:val="0"/>
    <w:rPr>
      <w:szCs w:val="20"/>
    </w:rPr>
  </w:style>
  <w:style w:type="paragraph" w:customStyle="1" w:styleId="295">
    <w:name w:val="Char Char2"/>
    <w:basedOn w:val="1"/>
    <w:qFormat/>
    <w:uiPriority w:val="0"/>
    <w:pPr>
      <w:adjustRightInd w:val="0"/>
      <w:spacing w:line="360" w:lineRule="auto"/>
    </w:pPr>
    <w:rPr>
      <w:kern w:val="0"/>
      <w:sz w:val="24"/>
    </w:rPr>
  </w:style>
  <w:style w:type="paragraph" w:customStyle="1" w:styleId="296">
    <w:name w:val="二级条标题"/>
    <w:basedOn w:val="297"/>
    <w:next w:val="1"/>
    <w:qFormat/>
    <w:uiPriority w:val="0"/>
    <w:pPr>
      <w:tabs>
        <w:tab w:val="left" w:pos="360"/>
        <w:tab w:val="left" w:pos="903"/>
      </w:tabs>
      <w:outlineLvl w:val="3"/>
    </w:pPr>
  </w:style>
  <w:style w:type="paragraph" w:customStyle="1" w:styleId="297">
    <w:name w:val="一级条标题"/>
    <w:basedOn w:val="298"/>
    <w:next w:val="1"/>
    <w:qFormat/>
    <w:uiPriority w:val="0"/>
    <w:pPr>
      <w:tabs>
        <w:tab w:val="left" w:pos="360"/>
        <w:tab w:val="left" w:pos="903"/>
      </w:tabs>
      <w:spacing w:before="0" w:after="0"/>
      <w:ind w:left="0" w:firstLine="0"/>
      <w:outlineLvl w:val="2"/>
    </w:pPr>
  </w:style>
  <w:style w:type="paragraph" w:customStyle="1" w:styleId="29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29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0">
    <w:name w:val="xl27"/>
    <w:basedOn w:val="1"/>
    <w:next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1">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2">
    <w:name w:val="表格001"/>
    <w:basedOn w:val="1"/>
    <w:qFormat/>
    <w:uiPriority w:val="0"/>
    <w:pPr>
      <w:jc w:val="center"/>
    </w:pPr>
    <w:rPr>
      <w:rFonts w:ascii="宋体" w:hAnsi="宋体"/>
      <w:sz w:val="24"/>
      <w:szCs w:val="20"/>
    </w:rPr>
  </w:style>
  <w:style w:type="paragraph" w:customStyle="1" w:styleId="303">
    <w:name w:val="三级标题"/>
    <w:basedOn w:val="1"/>
    <w:next w:val="57"/>
    <w:qFormat/>
    <w:uiPriority w:val="0"/>
    <w:pPr>
      <w:spacing w:line="360" w:lineRule="exact"/>
      <w:jc w:val="center"/>
    </w:pPr>
    <w:rPr>
      <w:sz w:val="24"/>
    </w:rPr>
  </w:style>
  <w:style w:type="paragraph" w:customStyle="1" w:styleId="304">
    <w:name w:val="表格内容"/>
    <w:basedOn w:val="1"/>
    <w:link w:val="462"/>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5">
    <w:name w:val="1文章"/>
    <w:basedOn w:val="1"/>
    <w:qFormat/>
    <w:uiPriority w:val="0"/>
    <w:pPr>
      <w:snapToGrid w:val="0"/>
      <w:spacing w:line="420" w:lineRule="auto"/>
      <w:ind w:firstLine="454"/>
      <w:outlineLvl w:val="4"/>
    </w:pPr>
    <w:rPr>
      <w:spacing w:val="4"/>
      <w:sz w:val="24"/>
    </w:rPr>
  </w:style>
  <w:style w:type="paragraph" w:customStyle="1" w:styleId="306">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7">
    <w:name w:val="Char Char Char"/>
    <w:basedOn w:val="1"/>
    <w:qFormat/>
    <w:uiPriority w:val="0"/>
  </w:style>
  <w:style w:type="paragraph" w:customStyle="1" w:styleId="308">
    <w:name w:val="样式"/>
    <w:basedOn w:val="1"/>
    <w:next w:val="31"/>
    <w:qFormat/>
    <w:uiPriority w:val="0"/>
    <w:rPr>
      <w:rFonts w:ascii="宋体" w:hAnsi="Courier New"/>
      <w:sz w:val="24"/>
    </w:rPr>
  </w:style>
  <w:style w:type="paragraph" w:customStyle="1" w:styleId="309">
    <w:name w:val="4级标题"/>
    <w:basedOn w:val="140"/>
    <w:qFormat/>
    <w:uiPriority w:val="0"/>
    <w:pPr>
      <w:ind w:firstLine="0" w:firstLineChars="0"/>
    </w:pPr>
    <w:rPr>
      <w:b/>
      <w:szCs w:val="24"/>
      <w:lang w:val="zh-CN" w:eastAsia="zh-CN"/>
    </w:rPr>
  </w:style>
  <w:style w:type="paragraph" w:customStyle="1" w:styleId="310">
    <w:name w:val="Char Char Char Char Char Char1 Char"/>
    <w:basedOn w:val="1"/>
    <w:qFormat/>
    <w:uiPriority w:val="0"/>
    <w:pPr>
      <w:spacing w:line="360" w:lineRule="auto"/>
    </w:pPr>
    <w:rPr>
      <w:sz w:val="24"/>
    </w:rPr>
  </w:style>
  <w:style w:type="paragraph" w:customStyle="1" w:styleId="311">
    <w:name w:val="样式2"/>
    <w:basedOn w:val="1"/>
    <w:link w:val="401"/>
    <w:qFormat/>
    <w:uiPriority w:val="0"/>
    <w:pPr>
      <w:spacing w:line="240" w:lineRule="exact"/>
      <w:jc w:val="left"/>
      <w:outlineLvl w:val="0"/>
    </w:pPr>
    <w:rPr>
      <w:sz w:val="24"/>
    </w:rPr>
  </w:style>
  <w:style w:type="paragraph" w:customStyle="1" w:styleId="312">
    <w:name w:val="表文"/>
    <w:basedOn w:val="135"/>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13">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4">
    <w:name w:val="xl22"/>
    <w:basedOn w:val="1"/>
    <w:qFormat/>
    <w:uiPriority w:val="0"/>
    <w:pPr>
      <w:widowControl/>
      <w:spacing w:before="100" w:after="100"/>
      <w:jc w:val="center"/>
    </w:pPr>
    <w:rPr>
      <w:kern w:val="0"/>
      <w:sz w:val="24"/>
    </w:rPr>
  </w:style>
  <w:style w:type="paragraph" w:customStyle="1" w:styleId="315">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6">
    <w:name w:val="三级条标题"/>
    <w:basedOn w:val="296"/>
    <w:next w:val="1"/>
    <w:qFormat/>
    <w:uiPriority w:val="0"/>
    <w:pPr>
      <w:tabs>
        <w:tab w:val="clear" w:pos="360"/>
      </w:tabs>
      <w:outlineLvl w:val="4"/>
    </w:pPr>
  </w:style>
  <w:style w:type="paragraph" w:customStyle="1" w:styleId="317">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8">
    <w:name w:val="CM2"/>
    <w:basedOn w:val="210"/>
    <w:next w:val="210"/>
    <w:qFormat/>
    <w:uiPriority w:val="0"/>
    <w:pPr>
      <w:spacing w:line="460" w:lineRule="atLeast"/>
    </w:pPr>
    <w:rPr>
      <w:rFonts w:ascii="黑体" w:eastAsia="黑体" w:cs="Times New Roman"/>
      <w:color w:val="auto"/>
      <w:sz w:val="20"/>
    </w:rPr>
  </w:style>
  <w:style w:type="paragraph" w:customStyle="1" w:styleId="319">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20">
    <w:name w:val="2"/>
    <w:basedOn w:val="1"/>
    <w:next w:val="47"/>
    <w:qFormat/>
    <w:uiPriority w:val="0"/>
    <w:pPr>
      <w:spacing w:line="360" w:lineRule="auto"/>
      <w:ind w:firstLine="480"/>
    </w:pPr>
    <w:rPr>
      <w:sz w:val="24"/>
      <w:szCs w:val="20"/>
    </w:rPr>
  </w:style>
  <w:style w:type="paragraph" w:customStyle="1" w:styleId="321">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2">
    <w:name w:val="1"/>
    <w:basedOn w:val="1"/>
    <w:next w:val="4"/>
    <w:qFormat/>
    <w:uiPriority w:val="0"/>
    <w:pPr>
      <w:ind w:firstLine="420"/>
    </w:pPr>
    <w:rPr>
      <w:sz w:val="24"/>
    </w:rPr>
  </w:style>
  <w:style w:type="paragraph" w:customStyle="1" w:styleId="323">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4">
    <w:name w:val="y表格"/>
    <w:basedOn w:val="23"/>
    <w:qFormat/>
    <w:uiPriority w:val="0"/>
    <w:pPr>
      <w:adjustRightInd w:val="0"/>
      <w:spacing w:before="0" w:after="0" w:line="240" w:lineRule="auto"/>
      <w:ind w:right="0"/>
      <w:jc w:val="center"/>
      <w:textAlignment w:val="baseline"/>
    </w:pPr>
    <w:rPr>
      <w:rFonts w:hint="eastAsia" w:ascii="宋体" w:hAnsi="宋体"/>
      <w:sz w:val="24"/>
      <w:lang w:val="zh-CN" w:eastAsia="zh-CN"/>
    </w:rPr>
  </w:style>
  <w:style w:type="paragraph" w:customStyle="1" w:styleId="325">
    <w:name w:val="四级条标题"/>
    <w:basedOn w:val="316"/>
    <w:next w:val="1"/>
    <w:qFormat/>
    <w:uiPriority w:val="0"/>
    <w:pPr>
      <w:outlineLvl w:val="5"/>
    </w:pPr>
  </w:style>
  <w:style w:type="paragraph" w:customStyle="1" w:styleId="326">
    <w:name w:val="五级条标题"/>
    <w:basedOn w:val="325"/>
    <w:next w:val="1"/>
    <w:qFormat/>
    <w:uiPriority w:val="0"/>
    <w:pPr>
      <w:outlineLvl w:val="6"/>
    </w:pPr>
  </w:style>
  <w:style w:type="paragraph" w:customStyle="1" w:styleId="327">
    <w:name w:val="标题b"/>
    <w:basedOn w:val="1"/>
    <w:next w:val="1"/>
    <w:qFormat/>
    <w:uiPriority w:val="0"/>
    <w:pPr>
      <w:spacing w:line="700" w:lineRule="exact"/>
    </w:pPr>
    <w:rPr>
      <w:rFonts w:ascii="楷体_GB2312" w:hAnsi="楷体_GB2312" w:eastAsia="楷体_GB2312"/>
      <w:b/>
      <w:sz w:val="30"/>
      <w:szCs w:val="20"/>
    </w:rPr>
  </w:style>
  <w:style w:type="paragraph" w:customStyle="1" w:styleId="328">
    <w:name w:val="iw_poi_title"/>
    <w:basedOn w:val="1"/>
    <w:qFormat/>
    <w:uiPriority w:val="0"/>
    <w:pPr>
      <w:widowControl/>
      <w:jc w:val="left"/>
    </w:pPr>
    <w:rPr>
      <w:rFonts w:ascii="宋体" w:hAnsi="宋体" w:cs="宋体"/>
      <w:b/>
      <w:bCs/>
      <w:color w:val="CC5522"/>
      <w:kern w:val="0"/>
      <w:szCs w:val="21"/>
    </w:rPr>
  </w:style>
  <w:style w:type="paragraph" w:customStyle="1" w:styleId="329">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0">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1">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2">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3">
    <w:name w:val="_Style 10"/>
    <w:basedOn w:val="1"/>
    <w:qFormat/>
    <w:uiPriority w:val="0"/>
    <w:rPr>
      <w:sz w:val="24"/>
    </w:rPr>
  </w:style>
  <w:style w:type="paragraph" w:customStyle="1" w:styleId="334">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5">
    <w:name w:val="表前文字"/>
    <w:basedOn w:val="1"/>
    <w:qFormat/>
    <w:uiPriority w:val="0"/>
    <w:pPr>
      <w:jc w:val="center"/>
    </w:pPr>
    <w:rPr>
      <w:sz w:val="24"/>
      <w:szCs w:val="21"/>
    </w:rPr>
  </w:style>
  <w:style w:type="paragraph" w:customStyle="1" w:styleId="336">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7">
    <w:name w:val="样式 正文文字缩进 + 小四 首行缩进:  2 字符1"/>
    <w:basedOn w:val="24"/>
    <w:qFormat/>
    <w:uiPriority w:val="0"/>
    <w:pPr>
      <w:spacing w:afterLines="50" w:line="400" w:lineRule="exact"/>
      <w:ind w:left="0" w:leftChars="0" w:firstLine="200" w:firstLineChars="200"/>
    </w:pPr>
    <w:rPr>
      <w:rFonts w:eastAsia="华文楷体" w:cs="宋体"/>
      <w:kern w:val="2"/>
      <w:sz w:val="28"/>
    </w:rPr>
  </w:style>
  <w:style w:type="paragraph" w:customStyle="1" w:styleId="338">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39">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0">
    <w:name w:val="引言"/>
    <w:basedOn w:val="1"/>
    <w:next w:val="1"/>
    <w:qFormat/>
    <w:uiPriority w:val="0"/>
    <w:pPr>
      <w:jc w:val="center"/>
    </w:pPr>
    <w:rPr>
      <w:bCs/>
      <w:color w:val="000000"/>
      <w:szCs w:val="20"/>
    </w:rPr>
  </w:style>
  <w:style w:type="paragraph" w:customStyle="1" w:styleId="341">
    <w:name w:val="正文楷体"/>
    <w:basedOn w:val="1"/>
    <w:qFormat/>
    <w:uiPriority w:val="0"/>
    <w:rPr>
      <w:rFonts w:eastAsia="楷体_GB2312"/>
    </w:rPr>
  </w:style>
  <w:style w:type="paragraph" w:customStyle="1" w:styleId="342">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3">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4">
    <w:name w:val="body"/>
    <w:basedOn w:val="1"/>
    <w:qFormat/>
    <w:uiPriority w:val="0"/>
    <w:pPr>
      <w:spacing w:line="360" w:lineRule="auto"/>
    </w:pPr>
    <w:rPr>
      <w:rFonts w:ascii="宋体" w:hAnsi="宋体" w:cs="宋体"/>
      <w:sz w:val="24"/>
    </w:rPr>
  </w:style>
  <w:style w:type="paragraph" w:customStyle="1" w:styleId="345">
    <w:name w:val="小四表文左齐"/>
    <w:basedOn w:val="1"/>
    <w:qFormat/>
    <w:uiPriority w:val="0"/>
    <w:pPr>
      <w:jc w:val="center"/>
    </w:pPr>
    <w:rPr>
      <w:rFonts w:ascii="宋体" w:hAnsi="宋体"/>
      <w:color w:val="000000"/>
      <w:szCs w:val="21"/>
    </w:rPr>
  </w:style>
  <w:style w:type="paragraph" w:customStyle="1" w:styleId="346">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7">
    <w:name w:val="新正文样式"/>
    <w:basedOn w:val="1"/>
    <w:qFormat/>
    <w:uiPriority w:val="0"/>
    <w:pPr>
      <w:tabs>
        <w:tab w:val="left" w:pos="567"/>
      </w:tabs>
      <w:spacing w:line="360" w:lineRule="auto"/>
      <w:ind w:firstLine="567"/>
    </w:pPr>
    <w:rPr>
      <w:spacing w:val="20"/>
      <w:sz w:val="24"/>
      <w:szCs w:val="20"/>
    </w:rPr>
  </w:style>
  <w:style w:type="paragraph" w:customStyle="1" w:styleId="348">
    <w:name w:val="标题11"/>
    <w:basedOn w:val="1"/>
    <w:qFormat/>
    <w:uiPriority w:val="0"/>
    <w:pPr>
      <w:spacing w:line="360" w:lineRule="auto"/>
    </w:pPr>
    <w:rPr>
      <w:b/>
      <w:bCs/>
      <w:sz w:val="28"/>
    </w:rPr>
  </w:style>
  <w:style w:type="paragraph" w:customStyle="1" w:styleId="349">
    <w:name w:val="字元 字元"/>
    <w:basedOn w:val="1"/>
    <w:qFormat/>
    <w:uiPriority w:val="0"/>
    <w:rPr>
      <w:sz w:val="24"/>
    </w:rPr>
  </w:style>
  <w:style w:type="paragraph" w:customStyle="1" w:styleId="350">
    <w:name w:val="Char Char Char Char Char Char1 Char Char Char Char Char Char Char Char Char"/>
    <w:basedOn w:val="1"/>
    <w:qFormat/>
    <w:uiPriority w:val="0"/>
    <w:rPr>
      <w:sz w:val="24"/>
    </w:rPr>
  </w:style>
  <w:style w:type="paragraph" w:customStyle="1" w:styleId="351">
    <w:name w:val="默认段落字体 Para Char Char Char1 Char Char Char Char Char Char Char Char Char Char"/>
    <w:basedOn w:val="1"/>
    <w:qFormat/>
    <w:uiPriority w:val="0"/>
    <w:rPr>
      <w:sz w:val="24"/>
    </w:rPr>
  </w:style>
  <w:style w:type="paragraph" w:customStyle="1" w:styleId="352">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3">
    <w:name w:val="正文 1"/>
    <w:basedOn w:val="1"/>
    <w:qFormat/>
    <w:uiPriority w:val="0"/>
    <w:pPr>
      <w:spacing w:line="480" w:lineRule="exact"/>
      <w:ind w:firstLine="567"/>
    </w:pPr>
    <w:rPr>
      <w:sz w:val="28"/>
    </w:rPr>
  </w:style>
  <w:style w:type="paragraph" w:customStyle="1" w:styleId="354">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5">
    <w:name w:val="表格主题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6">
    <w:name w:val="网格型 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7">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8">
    <w:name w:val="左右无边框"/>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359">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0">
    <w:name w:val="无左右边框型"/>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1">
    <w:name w:val="典雅型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2">
    <w:name w:val="左右无边表格"/>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363">
    <w:name w:val="典雅型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4">
    <w:name w:val="Char Char Char1 Char1 Char Char Char"/>
    <w:basedOn w:val="1"/>
    <w:qFormat/>
    <w:uiPriority w:val="0"/>
    <w:pPr>
      <w:spacing w:line="500" w:lineRule="exact"/>
      <w:ind w:firstLine="480" w:firstLineChars="200"/>
    </w:pPr>
    <w:rPr>
      <w:sz w:val="24"/>
      <w:szCs w:val="20"/>
    </w:rPr>
  </w:style>
  <w:style w:type="character" w:customStyle="1" w:styleId="365">
    <w:name w:val="A标准格式 Char Char"/>
    <w:link w:val="366"/>
    <w:qFormat/>
    <w:uiPriority w:val="0"/>
    <w:rPr>
      <w:kern w:val="2"/>
      <w:sz w:val="24"/>
      <w:szCs w:val="24"/>
    </w:rPr>
  </w:style>
  <w:style w:type="paragraph" w:customStyle="1" w:styleId="366">
    <w:name w:val="A标准格式"/>
    <w:basedOn w:val="1"/>
    <w:link w:val="365"/>
    <w:qFormat/>
    <w:uiPriority w:val="0"/>
    <w:pPr>
      <w:spacing w:line="440" w:lineRule="exact"/>
      <w:ind w:firstLine="480" w:firstLineChars="200"/>
    </w:pPr>
    <w:rPr>
      <w:sz w:val="24"/>
    </w:rPr>
  </w:style>
  <w:style w:type="paragraph" w:customStyle="1" w:styleId="367">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8">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Normal+3"/>
    <w:basedOn w:val="210"/>
    <w:next w:val="210"/>
    <w:qFormat/>
    <w:uiPriority w:val="0"/>
    <w:rPr>
      <w:rFonts w:cs="Times New Roman"/>
      <w:color w:val="auto"/>
    </w:rPr>
  </w:style>
  <w:style w:type="character" w:customStyle="1" w:styleId="381">
    <w:name w:val="地理段落 Char"/>
    <w:link w:val="382"/>
    <w:qFormat/>
    <w:uiPriority w:val="0"/>
    <w:rPr>
      <w:rFonts w:ascii="仿宋_GB2312" w:eastAsia="仿宋_GB2312"/>
      <w:kern w:val="2"/>
      <w:sz w:val="28"/>
      <w:szCs w:val="28"/>
    </w:rPr>
  </w:style>
  <w:style w:type="paragraph" w:customStyle="1" w:styleId="382">
    <w:name w:val="地理段落"/>
    <w:basedOn w:val="1"/>
    <w:link w:val="381"/>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3">
    <w:name w:val="报告正文"/>
    <w:basedOn w:val="1"/>
    <w:link w:val="384"/>
    <w:qFormat/>
    <w:uiPriority w:val="0"/>
    <w:pPr>
      <w:spacing w:line="360" w:lineRule="auto"/>
      <w:ind w:firstLine="482"/>
    </w:pPr>
    <w:rPr>
      <w:sz w:val="24"/>
      <w:szCs w:val="21"/>
    </w:rPr>
  </w:style>
  <w:style w:type="character" w:customStyle="1" w:styleId="384">
    <w:name w:val="报告正文 Char"/>
    <w:link w:val="383"/>
    <w:qFormat/>
    <w:uiPriority w:val="0"/>
    <w:rPr>
      <w:kern w:val="2"/>
      <w:sz w:val="24"/>
      <w:szCs w:val="21"/>
    </w:rPr>
  </w:style>
  <w:style w:type="character" w:customStyle="1" w:styleId="385">
    <w:name w:val="Char Char30"/>
    <w:qFormat/>
    <w:uiPriority w:val="0"/>
    <w:rPr>
      <w:rFonts w:eastAsia="宋体"/>
      <w:b/>
      <w:bCs/>
      <w:kern w:val="2"/>
      <w:sz w:val="21"/>
      <w:szCs w:val="24"/>
      <w:lang w:val="en-US" w:eastAsia="zh-CN" w:bidi="ar-SA"/>
    </w:rPr>
  </w:style>
  <w:style w:type="character" w:customStyle="1" w:styleId="386">
    <w:name w:val="Char Char17"/>
    <w:qFormat/>
    <w:locked/>
    <w:uiPriority w:val="0"/>
    <w:rPr>
      <w:rFonts w:eastAsia="宋体"/>
      <w:b/>
      <w:bCs/>
      <w:kern w:val="2"/>
      <w:sz w:val="32"/>
      <w:szCs w:val="32"/>
      <w:lang w:val="en-US" w:eastAsia="zh-CN" w:bidi="ar-SA"/>
    </w:rPr>
  </w:style>
  <w:style w:type="character" w:customStyle="1" w:styleId="387">
    <w:name w:val="Char Char6"/>
    <w:qFormat/>
    <w:locked/>
    <w:uiPriority w:val="0"/>
    <w:rPr>
      <w:rFonts w:eastAsia="宋体"/>
      <w:kern w:val="2"/>
      <w:sz w:val="21"/>
      <w:szCs w:val="24"/>
      <w:lang w:val="en-US" w:eastAsia="zh-CN" w:bidi="ar-SA"/>
    </w:rPr>
  </w:style>
  <w:style w:type="character" w:customStyle="1" w:styleId="388">
    <w:name w:val="Char Char1"/>
    <w:qFormat/>
    <w:uiPriority w:val="0"/>
    <w:rPr>
      <w:rFonts w:eastAsia="宋体"/>
      <w:kern w:val="2"/>
      <w:sz w:val="18"/>
      <w:szCs w:val="18"/>
      <w:lang w:val="en-US" w:eastAsia="zh-CN" w:bidi="ar-SA"/>
    </w:rPr>
  </w:style>
  <w:style w:type="character" w:customStyle="1" w:styleId="389">
    <w:name w:val="text06"/>
    <w:qFormat/>
    <w:uiPriority w:val="0"/>
  </w:style>
  <w:style w:type="character" w:customStyle="1" w:styleId="390">
    <w:name w:val="标题 4 Char1"/>
    <w:qFormat/>
    <w:locked/>
    <w:uiPriority w:val="0"/>
    <w:rPr>
      <w:rFonts w:ascii="Arial" w:hAnsi="Arial" w:eastAsia="黑体"/>
      <w:b/>
      <w:bCs/>
      <w:kern w:val="2"/>
      <w:sz w:val="28"/>
      <w:szCs w:val="28"/>
      <w:lang w:val="en-US" w:eastAsia="zh-CN" w:bidi="ar-SA"/>
    </w:rPr>
  </w:style>
  <w:style w:type="character" w:customStyle="1" w:styleId="391">
    <w:name w:val="表 标题 Char"/>
    <w:link w:val="392"/>
    <w:qFormat/>
    <w:uiPriority w:val="0"/>
    <w:rPr>
      <w:rFonts w:hAnsi="宋体" w:cs="宋体"/>
      <w:b/>
      <w:smallCaps/>
      <w:kern w:val="2"/>
      <w:sz w:val="24"/>
    </w:rPr>
  </w:style>
  <w:style w:type="paragraph" w:customStyle="1" w:styleId="392">
    <w:name w:val="表 标题"/>
    <w:basedOn w:val="48"/>
    <w:next w:val="1"/>
    <w:link w:val="391"/>
    <w:qFormat/>
    <w:uiPriority w:val="0"/>
    <w:pPr>
      <w:spacing w:beforeLines="50"/>
      <w:ind w:left="420" w:leftChars="0" w:firstLine="0" w:firstLineChars="0"/>
      <w:jc w:val="center"/>
    </w:pPr>
    <w:rPr>
      <w:rFonts w:hAnsi="宋体" w:cs="宋体"/>
      <w:b/>
      <w:smallCaps/>
      <w:sz w:val="24"/>
      <w:szCs w:val="20"/>
    </w:rPr>
  </w:style>
  <w:style w:type="character" w:customStyle="1" w:styleId="393">
    <w:name w:val="文本 Char"/>
    <w:link w:val="394"/>
    <w:qFormat/>
    <w:uiPriority w:val="0"/>
    <w:rPr>
      <w:rFonts w:eastAsia="Times New Roman"/>
      <w:kern w:val="2"/>
      <w:sz w:val="24"/>
      <w:szCs w:val="24"/>
    </w:rPr>
  </w:style>
  <w:style w:type="paragraph" w:customStyle="1" w:styleId="394">
    <w:name w:val="文本"/>
    <w:link w:val="393"/>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5">
    <w:name w:val="dandan6-13正文 Char Char Char"/>
    <w:basedOn w:val="1"/>
    <w:next w:val="1"/>
    <w:autoRedefine/>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6">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7">
    <w:name w:val="表格中文字 Char"/>
    <w:link w:val="398"/>
    <w:qFormat/>
    <w:uiPriority w:val="0"/>
    <w:rPr>
      <w:kern w:val="18"/>
      <w:sz w:val="21"/>
      <w:szCs w:val="21"/>
    </w:rPr>
  </w:style>
  <w:style w:type="paragraph" w:customStyle="1" w:styleId="398">
    <w:name w:val="表格中文字"/>
    <w:basedOn w:val="1"/>
    <w:link w:val="397"/>
    <w:qFormat/>
    <w:uiPriority w:val="0"/>
    <w:pPr>
      <w:adjustRightInd w:val="0"/>
      <w:snapToGrid w:val="0"/>
      <w:jc w:val="center"/>
    </w:pPr>
    <w:rPr>
      <w:kern w:val="18"/>
      <w:szCs w:val="21"/>
    </w:rPr>
  </w:style>
  <w:style w:type="character" w:customStyle="1" w:styleId="399">
    <w:name w:val="正本文字 Char"/>
    <w:link w:val="400"/>
    <w:qFormat/>
    <w:uiPriority w:val="0"/>
    <w:rPr>
      <w:kern w:val="18"/>
      <w:sz w:val="24"/>
    </w:rPr>
  </w:style>
  <w:style w:type="paragraph" w:customStyle="1" w:styleId="400">
    <w:name w:val="正本文字"/>
    <w:basedOn w:val="1"/>
    <w:link w:val="399"/>
    <w:qFormat/>
    <w:uiPriority w:val="0"/>
    <w:pPr>
      <w:adjustRightInd w:val="0"/>
      <w:snapToGrid w:val="0"/>
      <w:spacing w:line="360" w:lineRule="auto"/>
      <w:ind w:firstLine="480" w:firstLineChars="200"/>
      <w:jc w:val="left"/>
    </w:pPr>
    <w:rPr>
      <w:kern w:val="18"/>
      <w:sz w:val="24"/>
      <w:szCs w:val="20"/>
    </w:rPr>
  </w:style>
  <w:style w:type="character" w:customStyle="1" w:styleId="401">
    <w:name w:val="样式2 Char"/>
    <w:link w:val="311"/>
    <w:qFormat/>
    <w:uiPriority w:val="0"/>
    <w:rPr>
      <w:kern w:val="2"/>
      <w:sz w:val="24"/>
      <w:szCs w:val="24"/>
    </w:rPr>
  </w:style>
  <w:style w:type="paragraph" w:customStyle="1" w:styleId="402">
    <w:name w:val="Char Char1 Char Char Char Char"/>
    <w:basedOn w:val="1"/>
    <w:qFormat/>
    <w:uiPriority w:val="0"/>
    <w:pPr>
      <w:spacing w:line="360" w:lineRule="auto"/>
    </w:pPr>
    <w:rPr>
      <w:sz w:val="32"/>
    </w:rPr>
  </w:style>
  <w:style w:type="paragraph" w:customStyle="1" w:styleId="403">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4">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5">
    <w:name w:val="普通(网站) Char"/>
    <w:qFormat/>
    <w:uiPriority w:val="0"/>
    <w:rPr>
      <w:rFonts w:ascii="宋体" w:hAnsi="宋体" w:cs="宋体"/>
      <w:sz w:val="24"/>
      <w:szCs w:val="24"/>
    </w:rPr>
  </w:style>
  <w:style w:type="character" w:customStyle="1" w:styleId="406">
    <w:name w:val="表格标题新 Char Char Char"/>
    <w:qFormat/>
    <w:uiPriority w:val="0"/>
    <w:rPr>
      <w:rFonts w:ascii="仿宋_GB2312" w:eastAsia="仿宋_GB2312"/>
      <w:kern w:val="2"/>
      <w:sz w:val="24"/>
      <w:szCs w:val="24"/>
      <w:lang w:val="en-US" w:eastAsia="zh-CN" w:bidi="ar-SA"/>
    </w:rPr>
  </w:style>
  <w:style w:type="character" w:customStyle="1" w:styleId="407">
    <w:name w:val="Char Char15"/>
    <w:qFormat/>
    <w:uiPriority w:val="0"/>
    <w:rPr>
      <w:rFonts w:ascii="宋体" w:hAnsi="Courier New" w:eastAsia="宋体"/>
      <w:kern w:val="2"/>
      <w:sz w:val="21"/>
      <w:lang w:val="en-US" w:eastAsia="zh-CN" w:bidi="ar-SA"/>
    </w:rPr>
  </w:style>
  <w:style w:type="character" w:customStyle="1" w:styleId="408">
    <w:name w:val="霍尼韦尔 Char Char"/>
    <w:link w:val="409"/>
    <w:qFormat/>
    <w:uiPriority w:val="0"/>
    <w:rPr>
      <w:rFonts w:cs="宋体"/>
      <w:kern w:val="2"/>
      <w:sz w:val="24"/>
    </w:rPr>
  </w:style>
  <w:style w:type="paragraph" w:customStyle="1" w:styleId="409">
    <w:name w:val="霍尼韦尔"/>
    <w:basedOn w:val="1"/>
    <w:link w:val="408"/>
    <w:qFormat/>
    <w:uiPriority w:val="0"/>
    <w:pPr>
      <w:spacing w:line="480" w:lineRule="exact"/>
      <w:ind w:firstLine="480" w:firstLineChars="200"/>
      <w:jc w:val="left"/>
    </w:pPr>
    <w:rPr>
      <w:rFonts w:cs="宋体"/>
      <w:sz w:val="24"/>
      <w:szCs w:val="20"/>
    </w:rPr>
  </w:style>
  <w:style w:type="character" w:customStyle="1" w:styleId="410">
    <w:name w:val="条标题1.1.1 Char2"/>
    <w:qFormat/>
    <w:uiPriority w:val="0"/>
    <w:rPr>
      <w:rFonts w:eastAsia="宋体"/>
      <w:b/>
      <w:bCs/>
      <w:kern w:val="2"/>
      <w:sz w:val="32"/>
      <w:szCs w:val="32"/>
      <w:lang w:val="en-US" w:eastAsia="zh-CN" w:bidi="ar-SA"/>
    </w:rPr>
  </w:style>
  <w:style w:type="character" w:customStyle="1" w:styleId="411">
    <w:name w:val="z101"/>
    <w:qFormat/>
    <w:uiPriority w:val="0"/>
    <w:rPr>
      <w:color w:val="000000"/>
      <w:sz w:val="21"/>
      <w:szCs w:val="21"/>
    </w:rPr>
  </w:style>
  <w:style w:type="character" w:customStyle="1" w:styleId="412">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3">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4">
    <w:name w:val="正文4号 Char Char"/>
    <w:link w:val="415"/>
    <w:qFormat/>
    <w:uiPriority w:val="0"/>
    <w:rPr>
      <w:kern w:val="2"/>
      <w:sz w:val="24"/>
      <w:szCs w:val="24"/>
    </w:rPr>
  </w:style>
  <w:style w:type="paragraph" w:customStyle="1" w:styleId="415">
    <w:name w:val="正文4号"/>
    <w:link w:val="414"/>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6">
    <w:name w:val="图表文字"/>
    <w:basedOn w:val="1"/>
    <w:qFormat/>
    <w:uiPriority w:val="0"/>
    <w:pPr>
      <w:spacing w:line="300" w:lineRule="exact"/>
      <w:jc w:val="center"/>
    </w:pPr>
    <w:rPr>
      <w:bCs/>
      <w:szCs w:val="20"/>
    </w:rPr>
  </w:style>
  <w:style w:type="paragraph" w:customStyle="1" w:styleId="41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18">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19">
    <w:name w:val="二级标题"/>
    <w:basedOn w:val="44"/>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0">
    <w:name w:val="五号表格 Char Char"/>
    <w:link w:val="421"/>
    <w:qFormat/>
    <w:locked/>
    <w:uiPriority w:val="0"/>
    <w:rPr>
      <w:rFonts w:ascii="宋体" w:hAnsi="宋体"/>
      <w:color w:val="000000"/>
      <w:kern w:val="2"/>
      <w:sz w:val="21"/>
      <w:szCs w:val="21"/>
      <w:lang w:val="en-GB"/>
    </w:rPr>
  </w:style>
  <w:style w:type="paragraph" w:customStyle="1" w:styleId="421">
    <w:name w:val="五号表格"/>
    <w:next w:val="1"/>
    <w:link w:val="420"/>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2">
    <w:name w:val="占位符文本1"/>
    <w:semiHidden/>
    <w:qFormat/>
    <w:uiPriority w:val="99"/>
    <w:rPr>
      <w:rFonts w:cs="Times New Roman"/>
      <w:color w:val="808080"/>
    </w:rPr>
  </w:style>
  <w:style w:type="character" w:customStyle="1" w:styleId="423">
    <w:name w:val="宗兴正文 Char Char"/>
    <w:link w:val="424"/>
    <w:qFormat/>
    <w:locked/>
    <w:uiPriority w:val="0"/>
    <w:rPr>
      <w:sz w:val="24"/>
    </w:rPr>
  </w:style>
  <w:style w:type="paragraph" w:customStyle="1" w:styleId="424">
    <w:name w:val="宗兴正文"/>
    <w:basedOn w:val="1"/>
    <w:link w:val="423"/>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5">
    <w:name w:val="表题 Char Char"/>
    <w:link w:val="426"/>
    <w:qFormat/>
    <w:locked/>
    <w:uiPriority w:val="0"/>
    <w:rPr>
      <w:rFonts w:ascii="宋体"/>
      <w:b/>
      <w:sz w:val="24"/>
      <w:lang w:eastAsia="en-US"/>
    </w:rPr>
  </w:style>
  <w:style w:type="paragraph" w:customStyle="1" w:styleId="426">
    <w:name w:val="表题"/>
    <w:basedOn w:val="1"/>
    <w:link w:val="425"/>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7">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8">
    <w:name w:val="样式 样式 标题 2节 + (西文) Times New Roman (中文) 宋体 四号 段前: 0.5 行 段后: 0...... Char Char"/>
    <w:link w:val="429"/>
    <w:qFormat/>
    <w:locked/>
    <w:uiPriority w:val="0"/>
    <w:rPr>
      <w:rFonts w:ascii="宋体"/>
      <w:b/>
      <w:sz w:val="30"/>
    </w:rPr>
  </w:style>
  <w:style w:type="paragraph" w:customStyle="1" w:styleId="429">
    <w:name w:val="样式 样式 标题 2节 + (西文) Times New Roman (中文) 宋体 四号 段前: 0.5 行 段后: 0......"/>
    <w:basedOn w:val="1"/>
    <w:link w:val="428"/>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0">
    <w:name w:val="纯文本1 Char1"/>
    <w:qFormat/>
    <w:uiPriority w:val="0"/>
    <w:rPr>
      <w:rFonts w:ascii="宋体" w:hAnsi="Courier New" w:eastAsia="宋体"/>
      <w:kern w:val="2"/>
      <w:sz w:val="21"/>
      <w:lang w:val="en-US" w:eastAsia="zh-CN"/>
    </w:rPr>
  </w:style>
  <w:style w:type="character" w:customStyle="1" w:styleId="431">
    <w:name w:val="表格 Char Char"/>
    <w:qFormat/>
    <w:locked/>
    <w:uiPriority w:val="0"/>
    <w:rPr>
      <w:rFonts w:ascii="Times New Roman" w:hAnsi="Times New Roman"/>
      <w:b/>
      <w:sz w:val="24"/>
    </w:rPr>
  </w:style>
  <w:style w:type="character" w:customStyle="1" w:styleId="432">
    <w:name w:val="正文文本缩进 2 Char Char"/>
    <w:qFormat/>
    <w:uiPriority w:val="0"/>
    <w:rPr>
      <w:rFonts w:eastAsia="宋体"/>
      <w:kern w:val="2"/>
      <w:sz w:val="24"/>
      <w:lang w:val="en-US" w:eastAsia="zh-CN"/>
    </w:rPr>
  </w:style>
  <w:style w:type="character" w:customStyle="1" w:styleId="433">
    <w:name w:val="表格的字 Char Char"/>
    <w:link w:val="434"/>
    <w:qFormat/>
    <w:locked/>
    <w:uiPriority w:val="0"/>
    <w:rPr>
      <w:sz w:val="24"/>
    </w:rPr>
  </w:style>
  <w:style w:type="paragraph" w:customStyle="1" w:styleId="434">
    <w:name w:val="表格的字"/>
    <w:basedOn w:val="1"/>
    <w:link w:val="433"/>
    <w:qFormat/>
    <w:uiPriority w:val="0"/>
    <w:pPr>
      <w:adjustRightInd w:val="0"/>
      <w:spacing w:line="312" w:lineRule="atLeast"/>
      <w:jc w:val="center"/>
      <w:textAlignment w:val="baseline"/>
    </w:pPr>
    <w:rPr>
      <w:kern w:val="0"/>
      <w:sz w:val="24"/>
      <w:szCs w:val="20"/>
    </w:rPr>
  </w:style>
  <w:style w:type="character" w:customStyle="1" w:styleId="435">
    <w:name w:val="表名图名 Char Char"/>
    <w:link w:val="436"/>
    <w:qFormat/>
    <w:locked/>
    <w:uiPriority w:val="0"/>
    <w:rPr>
      <w:rFonts w:ascii="宋体"/>
      <w:b/>
      <w:sz w:val="24"/>
      <w:lang w:eastAsia="en-US"/>
    </w:rPr>
  </w:style>
  <w:style w:type="paragraph" w:customStyle="1" w:styleId="436">
    <w:name w:val="表名图名"/>
    <w:basedOn w:val="1"/>
    <w:link w:val="435"/>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7">
    <w:name w:val="表、图名 Char Char"/>
    <w:link w:val="438"/>
    <w:qFormat/>
    <w:locked/>
    <w:uiPriority w:val="0"/>
    <w:rPr>
      <w:b/>
      <w:kern w:val="2"/>
      <w:sz w:val="21"/>
      <w:szCs w:val="24"/>
    </w:rPr>
  </w:style>
  <w:style w:type="paragraph" w:customStyle="1" w:styleId="438">
    <w:name w:val="表、图名"/>
    <w:link w:val="437"/>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39">
    <w:name w:val="Body Text Indent Char"/>
    <w:qFormat/>
    <w:locked/>
    <w:uiPriority w:val="0"/>
    <w:rPr>
      <w:sz w:val="24"/>
    </w:rPr>
  </w:style>
  <w:style w:type="character" w:customStyle="1" w:styleId="440">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1">
    <w:name w:val="Document Map Char"/>
    <w:qFormat/>
    <w:locked/>
    <w:uiPriority w:val="0"/>
    <w:rPr>
      <w:rFonts w:ascii="宋体"/>
      <w:sz w:val="18"/>
    </w:rPr>
  </w:style>
  <w:style w:type="character" w:customStyle="1" w:styleId="442">
    <w:name w:val="Body Text First Indent Char"/>
    <w:qFormat/>
    <w:locked/>
    <w:uiPriority w:val="0"/>
    <w:rPr>
      <w:rFonts w:ascii="Calibri" w:hAnsi="Calibri" w:eastAsia="宋体"/>
      <w:sz w:val="24"/>
    </w:rPr>
  </w:style>
  <w:style w:type="character" w:customStyle="1" w:styleId="443">
    <w:name w:val="表头 Char2"/>
    <w:qFormat/>
    <w:locked/>
    <w:uiPriority w:val="0"/>
    <w:rPr>
      <w:rFonts w:eastAsia="黑体"/>
      <w:color w:val="000000"/>
      <w:spacing w:val="-10"/>
    </w:rPr>
  </w:style>
  <w:style w:type="character" w:customStyle="1" w:styleId="444">
    <w:name w:val="图名 Char Char"/>
    <w:link w:val="445"/>
    <w:qFormat/>
    <w:locked/>
    <w:uiPriority w:val="0"/>
    <w:rPr>
      <w:b/>
      <w:kern w:val="2"/>
      <w:sz w:val="24"/>
      <w:szCs w:val="24"/>
      <w:lang w:eastAsia="en-US"/>
    </w:rPr>
  </w:style>
  <w:style w:type="paragraph" w:customStyle="1" w:styleId="445">
    <w:name w:val="图名"/>
    <w:link w:val="444"/>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6">
    <w:name w:val="样式 标题 3 + (西文) Times New Roman (中文) 宋体 小四 加粗 Char Char"/>
    <w:link w:val="447"/>
    <w:qFormat/>
    <w:locked/>
    <w:uiPriority w:val="0"/>
    <w:rPr>
      <w:sz w:val="24"/>
    </w:rPr>
  </w:style>
  <w:style w:type="paragraph" w:customStyle="1" w:styleId="447">
    <w:name w:val="样式 标题 3 + (西文) Times New Roman (中文) 宋体 小四 加粗"/>
    <w:basedOn w:val="1"/>
    <w:link w:val="446"/>
    <w:qFormat/>
    <w:uiPriority w:val="0"/>
    <w:pPr>
      <w:adjustRightInd w:val="0"/>
      <w:spacing w:line="312" w:lineRule="atLeast"/>
      <w:textAlignment w:val="baseline"/>
    </w:pPr>
    <w:rPr>
      <w:kern w:val="0"/>
      <w:sz w:val="24"/>
      <w:szCs w:val="20"/>
    </w:rPr>
  </w:style>
  <w:style w:type="character" w:customStyle="1" w:styleId="448">
    <w:name w:val="1-正文样式 Char Char"/>
    <w:link w:val="449"/>
    <w:qFormat/>
    <w:locked/>
    <w:uiPriority w:val="0"/>
    <w:rPr>
      <w:sz w:val="24"/>
    </w:rPr>
  </w:style>
  <w:style w:type="paragraph" w:customStyle="1" w:styleId="449">
    <w:name w:val="1-正文样式"/>
    <w:basedOn w:val="1"/>
    <w:link w:val="448"/>
    <w:qFormat/>
    <w:uiPriority w:val="0"/>
    <w:pPr>
      <w:adjustRightInd w:val="0"/>
      <w:spacing w:afterLines="50" w:line="360" w:lineRule="auto"/>
      <w:ind w:firstLine="200" w:firstLineChars="200"/>
      <w:textAlignment w:val="baseline"/>
    </w:pPr>
    <w:rPr>
      <w:kern w:val="0"/>
      <w:sz w:val="24"/>
      <w:szCs w:val="20"/>
    </w:rPr>
  </w:style>
  <w:style w:type="character" w:customStyle="1" w:styleId="450">
    <w:name w:val="我的正文 Char Char"/>
    <w:link w:val="451"/>
    <w:qFormat/>
    <w:locked/>
    <w:uiPriority w:val="0"/>
    <w:rPr>
      <w:kern w:val="2"/>
      <w:sz w:val="24"/>
      <w:szCs w:val="24"/>
    </w:rPr>
  </w:style>
  <w:style w:type="paragraph" w:customStyle="1" w:styleId="451">
    <w:name w:val="我的正文"/>
    <w:link w:val="45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2">
    <w:name w:val="样式1 Char Char"/>
    <w:qFormat/>
    <w:locked/>
    <w:uiPriority w:val="0"/>
    <w:rPr>
      <w:rFonts w:ascii="Calibri" w:hAnsi="Calibri"/>
      <w:color w:val="000000"/>
      <w:sz w:val="24"/>
    </w:rPr>
  </w:style>
  <w:style w:type="character" w:customStyle="1" w:styleId="453">
    <w:name w:val="正文1 Char Char"/>
    <w:qFormat/>
    <w:locked/>
    <w:uiPriority w:val="0"/>
    <w:rPr>
      <w:color w:val="000000"/>
      <w:sz w:val="24"/>
    </w:rPr>
  </w:style>
  <w:style w:type="character" w:customStyle="1" w:styleId="454">
    <w:name w:val="正文（小四） Char Char"/>
    <w:link w:val="455"/>
    <w:qFormat/>
    <w:locked/>
    <w:uiPriority w:val="0"/>
    <w:rPr>
      <w:bCs/>
      <w:kern w:val="2"/>
      <w:sz w:val="24"/>
      <w:szCs w:val="32"/>
    </w:rPr>
  </w:style>
  <w:style w:type="paragraph" w:customStyle="1" w:styleId="455">
    <w:name w:val="正文（小四）"/>
    <w:link w:val="454"/>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6">
    <w:name w:val="表格文字 Char Char"/>
    <w:qFormat/>
    <w:locked/>
    <w:uiPriority w:val="0"/>
    <w:rPr>
      <w:kern w:val="2"/>
      <w:sz w:val="21"/>
      <w:szCs w:val="24"/>
    </w:rPr>
  </w:style>
  <w:style w:type="character" w:customStyle="1" w:styleId="457">
    <w:name w:val="我的正文 Char Char Char"/>
    <w:qFormat/>
    <w:uiPriority w:val="0"/>
    <w:rPr>
      <w:kern w:val="2"/>
      <w:sz w:val="24"/>
      <w:lang w:val="en-US" w:eastAsia="zh-CN"/>
    </w:rPr>
  </w:style>
  <w:style w:type="character" w:customStyle="1" w:styleId="458">
    <w:name w:val="样式4 Char"/>
    <w:link w:val="459"/>
    <w:qFormat/>
    <w:locked/>
    <w:uiPriority w:val="0"/>
    <w:rPr>
      <w:rFonts w:eastAsia="仿宋_GB2312"/>
      <w:color w:val="0000FF"/>
      <w:spacing w:val="4"/>
      <w:sz w:val="24"/>
    </w:rPr>
  </w:style>
  <w:style w:type="paragraph" w:customStyle="1" w:styleId="459">
    <w:name w:val="样式4"/>
    <w:basedOn w:val="23"/>
    <w:link w:val="458"/>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0">
    <w:name w:val="表格文字nana Char Char"/>
    <w:link w:val="461"/>
    <w:qFormat/>
    <w:locked/>
    <w:uiPriority w:val="0"/>
    <w:rPr>
      <w:rFonts w:ascii="宋体" w:hAnsi="宋体" w:eastAsia="仿宋_GB2312"/>
      <w:snapToGrid w:val="0"/>
      <w:color w:val="000000"/>
      <w:sz w:val="21"/>
    </w:rPr>
  </w:style>
  <w:style w:type="paragraph" w:customStyle="1" w:styleId="461">
    <w:name w:val="表格文字nana"/>
    <w:basedOn w:val="1"/>
    <w:link w:val="460"/>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2">
    <w:name w:val="表格内容 Char Char"/>
    <w:link w:val="304"/>
    <w:qFormat/>
    <w:locked/>
    <w:uiPriority w:val="0"/>
    <w:rPr>
      <w:rFonts w:ascii="Arial" w:hAnsi="Arial" w:eastAsia="仿宋_GB2312"/>
      <w:sz w:val="24"/>
    </w:rPr>
  </w:style>
  <w:style w:type="character" w:customStyle="1" w:styleId="463">
    <w:name w:val="样式2 Char Char"/>
    <w:qFormat/>
    <w:locked/>
    <w:uiPriority w:val="0"/>
    <w:rPr>
      <w:rFonts w:ascii="Calibri" w:hAnsi="Calibri"/>
      <w:sz w:val="24"/>
    </w:rPr>
  </w:style>
  <w:style w:type="character" w:customStyle="1" w:styleId="464">
    <w:name w:val="注释 Char Char"/>
    <w:link w:val="465"/>
    <w:qFormat/>
    <w:locked/>
    <w:uiPriority w:val="0"/>
    <w:rPr>
      <w:rFonts w:ascii="宋体"/>
      <w:snapToGrid w:val="0"/>
      <w:spacing w:val="4"/>
      <w:sz w:val="24"/>
    </w:rPr>
  </w:style>
  <w:style w:type="paragraph" w:customStyle="1" w:styleId="465">
    <w:name w:val="注释"/>
    <w:basedOn w:val="1"/>
    <w:link w:val="464"/>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6">
    <w:name w:val="表格字体 Char Char"/>
    <w:link w:val="467"/>
    <w:qFormat/>
    <w:locked/>
    <w:uiPriority w:val="0"/>
    <w:rPr>
      <w:sz w:val="21"/>
    </w:rPr>
  </w:style>
  <w:style w:type="paragraph" w:customStyle="1" w:styleId="467">
    <w:name w:val="表格字体"/>
    <w:basedOn w:val="1"/>
    <w:link w:val="466"/>
    <w:qFormat/>
    <w:uiPriority w:val="0"/>
    <w:pPr>
      <w:adjustRightInd w:val="0"/>
      <w:spacing w:beforeLines="20" w:afterLines="20" w:line="360" w:lineRule="auto"/>
      <w:jc w:val="center"/>
      <w:textAlignment w:val="baseline"/>
    </w:pPr>
    <w:rPr>
      <w:kern w:val="0"/>
      <w:szCs w:val="20"/>
    </w:rPr>
  </w:style>
  <w:style w:type="character" w:customStyle="1" w:styleId="468">
    <w:name w:val="Char Char18"/>
    <w:qFormat/>
    <w:uiPriority w:val="0"/>
    <w:rPr>
      <w:rFonts w:ascii="Cambria" w:hAnsi="Cambria" w:eastAsia="宋体"/>
      <w:sz w:val="24"/>
      <w:lang w:val="en-US" w:eastAsia="en-US"/>
    </w:rPr>
  </w:style>
  <w:style w:type="character" w:customStyle="1" w:styleId="469">
    <w:name w:val="1正文段落 Char Char"/>
    <w:qFormat/>
    <w:locked/>
    <w:uiPriority w:val="0"/>
    <w:rPr>
      <w:snapToGrid w:val="0"/>
      <w:sz w:val="24"/>
      <w:szCs w:val="24"/>
    </w:rPr>
  </w:style>
  <w:style w:type="character" w:customStyle="1" w:styleId="470">
    <w:name w:val="正文B Char Char"/>
    <w:qFormat/>
    <w:locked/>
    <w:uiPriority w:val="0"/>
    <w:rPr>
      <w:rFonts w:ascii="宋体" w:hAnsi="宋体" w:eastAsia="宋体"/>
      <w:sz w:val="24"/>
    </w:rPr>
  </w:style>
  <w:style w:type="character" w:customStyle="1" w:styleId="471">
    <w:name w:val="正文加粗 Char Char"/>
    <w:link w:val="472"/>
    <w:qFormat/>
    <w:locked/>
    <w:uiPriority w:val="0"/>
    <w:rPr>
      <w:rFonts w:eastAsia="仿宋_GB2312"/>
      <w:b/>
      <w:kern w:val="2"/>
      <w:sz w:val="24"/>
      <w:szCs w:val="24"/>
    </w:rPr>
  </w:style>
  <w:style w:type="paragraph" w:customStyle="1" w:styleId="472">
    <w:name w:val="正文加粗"/>
    <w:next w:val="1"/>
    <w:link w:val="471"/>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3">
    <w:name w:val="表头 Char1"/>
    <w:qFormat/>
    <w:uiPriority w:val="0"/>
    <w:rPr>
      <w:rFonts w:eastAsia="仿宋_GB2312"/>
      <w:b/>
      <w:snapToGrid w:val="0"/>
      <w:color w:val="000000"/>
      <w:sz w:val="21"/>
    </w:rPr>
  </w:style>
  <w:style w:type="character" w:customStyle="1" w:styleId="474">
    <w:name w:val="正文(首行缩进) Char1"/>
    <w:qFormat/>
    <w:locked/>
    <w:uiPriority w:val="0"/>
    <w:rPr>
      <w:rFonts w:ascii="宋体" w:eastAsia="宋体"/>
      <w:snapToGrid w:val="0"/>
      <w:color w:val="000000"/>
      <w:sz w:val="24"/>
    </w:rPr>
  </w:style>
  <w:style w:type="character" w:customStyle="1" w:styleId="475">
    <w:name w:val="nr"/>
    <w:qFormat/>
    <w:uiPriority w:val="0"/>
    <w:rPr>
      <w:rFonts w:cs="Times New Roman"/>
    </w:rPr>
  </w:style>
  <w:style w:type="character" w:customStyle="1" w:styleId="476">
    <w:name w:val="批注文字 Char1"/>
    <w:qFormat/>
    <w:locked/>
    <w:uiPriority w:val="99"/>
    <w:rPr>
      <w:kern w:val="2"/>
      <w:sz w:val="21"/>
      <w:szCs w:val="24"/>
    </w:rPr>
  </w:style>
  <w:style w:type="paragraph" w:customStyle="1" w:styleId="477">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8">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79">
    <w:name w:val="正文文本缩进 Char1"/>
    <w:semiHidden/>
    <w:qFormat/>
    <w:uiPriority w:val="99"/>
    <w:rPr>
      <w:rFonts w:ascii="Times New Roman" w:hAnsi="Times New Roman" w:eastAsia="宋体" w:cs="Times New Roman"/>
      <w:sz w:val="24"/>
      <w:szCs w:val="24"/>
    </w:rPr>
  </w:style>
  <w:style w:type="paragraph" w:customStyle="1" w:styleId="480">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1">
    <w:name w:val="a表格"/>
    <w:basedOn w:val="1"/>
    <w:qFormat/>
    <w:uiPriority w:val="0"/>
    <w:pPr>
      <w:adjustRightInd w:val="0"/>
      <w:snapToGrid w:val="0"/>
      <w:spacing w:line="312" w:lineRule="atLeast"/>
      <w:jc w:val="center"/>
      <w:textAlignment w:val="baseline"/>
    </w:pPr>
    <w:rPr>
      <w:kern w:val="0"/>
      <w:szCs w:val="20"/>
    </w:rPr>
  </w:style>
  <w:style w:type="paragraph" w:customStyle="1" w:styleId="482">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3">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4">
    <w:name w:val="正文文本 Char1"/>
    <w:qFormat/>
    <w:locked/>
    <w:uiPriority w:val="0"/>
    <w:rPr>
      <w:kern w:val="2"/>
      <w:sz w:val="44"/>
      <w:szCs w:val="24"/>
    </w:rPr>
  </w:style>
  <w:style w:type="paragraph" w:customStyle="1" w:styleId="485">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6">
    <w:name w:val="样式 正文首行缩进 + 首行缩进:  1 字符"/>
    <w:basedOn w:val="56"/>
    <w:qFormat/>
    <w:uiPriority w:val="0"/>
    <w:pPr>
      <w:adjustRightInd w:val="0"/>
      <w:spacing w:after="0" w:line="480" w:lineRule="exact"/>
      <w:ind w:firstLine="200" w:firstLineChars="200"/>
      <w:textAlignment w:val="baseline"/>
    </w:pPr>
    <w:rPr>
      <w:rFonts w:ascii="Calibri" w:hAnsi="Calibri" w:cs="宋体"/>
      <w:bCs/>
      <w:sz w:val="28"/>
      <w:lang w:val="zh-CN" w:eastAsia="zh-CN"/>
    </w:rPr>
  </w:style>
  <w:style w:type="paragraph" w:customStyle="1" w:styleId="487">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8">
    <w:name w:val="环表头"/>
    <w:basedOn w:val="1"/>
    <w:link w:val="609"/>
    <w:qFormat/>
    <w:uiPriority w:val="0"/>
    <w:pPr>
      <w:adjustRightInd w:val="0"/>
      <w:spacing w:line="480" w:lineRule="exact"/>
      <w:jc w:val="center"/>
      <w:textAlignment w:val="baseline"/>
    </w:pPr>
    <w:rPr>
      <w:rFonts w:ascii="黑体" w:hAnsi="宋体" w:eastAsia="黑体"/>
      <w:iCs/>
      <w:color w:val="000000"/>
      <w:kern w:val="0"/>
      <w:sz w:val="24"/>
      <w:szCs w:val="20"/>
      <w:lang w:val="zh-CN" w:eastAsia="zh-CN"/>
    </w:rPr>
  </w:style>
  <w:style w:type="paragraph" w:customStyle="1" w:styleId="489">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0">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2">
    <w:name w:val="zhang正文"/>
    <w:basedOn w:val="24"/>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3">
    <w:name w:val="样式 正文首行缩进正文首行缩进 Char + 首行缩进:  1 字符1"/>
    <w:basedOn w:val="56"/>
    <w:qFormat/>
    <w:uiPriority w:val="0"/>
    <w:pPr>
      <w:widowControl/>
      <w:adjustRightInd w:val="0"/>
      <w:spacing w:line="360" w:lineRule="auto"/>
      <w:ind w:firstLine="100"/>
      <w:jc w:val="left"/>
      <w:textAlignment w:val="baseline"/>
    </w:pPr>
    <w:rPr>
      <w:rFonts w:ascii="Calibri" w:hAnsi="Calibri" w:cs="宋体"/>
      <w:sz w:val="24"/>
      <w:lang w:val="zh-CN" w:eastAsia="zh-CN"/>
    </w:rPr>
  </w:style>
  <w:style w:type="paragraph" w:customStyle="1" w:styleId="494">
    <w:name w:val="p19"/>
    <w:basedOn w:val="1"/>
    <w:qFormat/>
    <w:uiPriority w:val="0"/>
    <w:pPr>
      <w:widowControl/>
      <w:adjustRightInd w:val="0"/>
      <w:spacing w:line="360" w:lineRule="atLeast"/>
      <w:jc w:val="center"/>
      <w:textAlignment w:val="baseline"/>
    </w:pPr>
    <w:rPr>
      <w:kern w:val="0"/>
      <w:szCs w:val="21"/>
    </w:rPr>
  </w:style>
  <w:style w:type="paragraph" w:customStyle="1" w:styleId="495">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6">
    <w:name w:val="样式3"/>
    <w:basedOn w:val="3"/>
    <w:next w:val="497"/>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7">
    <w:name w:val="目录 53"/>
    <w:basedOn w:val="1"/>
    <w:next w:val="1"/>
    <w:qFormat/>
    <w:uiPriority w:val="99"/>
    <w:pPr>
      <w:ind w:left="840"/>
    </w:pPr>
    <w:rPr>
      <w:rFonts w:cs="宋体"/>
      <w:color w:val="000000"/>
    </w:rPr>
  </w:style>
  <w:style w:type="paragraph" w:customStyle="1" w:styleId="498">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499">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0">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1">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2">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3">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4">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5">
    <w:name w:val="5"/>
    <w:basedOn w:val="1"/>
    <w:next w:val="47"/>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6">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7">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8">
    <w:name w:val="样式 标题 3H3h33rd level第二层条Re标题 3 Char3条标题1.1.1 Char标题 3 Ch..."/>
    <w:basedOn w:val="5"/>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09">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0">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1">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2">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3">
    <w:name w:val="表名（标题）"/>
    <w:basedOn w:val="1"/>
    <w:qFormat/>
    <w:uiPriority w:val="0"/>
    <w:pPr>
      <w:adjustRightInd w:val="0"/>
      <w:spacing w:line="460" w:lineRule="exact"/>
      <w:jc w:val="left"/>
      <w:textAlignment w:val="baseline"/>
    </w:pPr>
    <w:rPr>
      <w:kern w:val="0"/>
      <w:sz w:val="24"/>
      <w:szCs w:val="20"/>
    </w:rPr>
  </w:style>
  <w:style w:type="paragraph" w:customStyle="1" w:styleId="514">
    <w:name w:val="Char11"/>
    <w:basedOn w:val="1"/>
    <w:qFormat/>
    <w:uiPriority w:val="0"/>
    <w:pPr>
      <w:adjustRightInd w:val="0"/>
      <w:spacing w:line="312" w:lineRule="atLeast"/>
      <w:textAlignment w:val="baseline"/>
    </w:pPr>
    <w:rPr>
      <w:kern w:val="0"/>
      <w:szCs w:val="20"/>
    </w:rPr>
  </w:style>
  <w:style w:type="paragraph" w:customStyle="1" w:styleId="515">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6">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7">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8">
    <w:name w:val="CM16"/>
    <w:basedOn w:val="210"/>
    <w:next w:val="210"/>
    <w:qFormat/>
    <w:uiPriority w:val="0"/>
    <w:pPr>
      <w:spacing w:line="566" w:lineRule="atLeast"/>
    </w:pPr>
    <w:rPr>
      <w:rFonts w:ascii="华文中宋" w:eastAsia="华文中宋" w:cs="华文中宋"/>
      <w:color w:val="auto"/>
    </w:rPr>
  </w:style>
  <w:style w:type="paragraph" w:customStyle="1" w:styleId="519">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0">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1">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2">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3">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4">
    <w:name w:val="p18"/>
    <w:basedOn w:val="1"/>
    <w:qFormat/>
    <w:uiPriority w:val="0"/>
    <w:pPr>
      <w:widowControl/>
      <w:adjustRightInd w:val="0"/>
      <w:spacing w:after="120" w:line="312" w:lineRule="atLeast"/>
      <w:textAlignment w:val="baseline"/>
    </w:pPr>
    <w:rPr>
      <w:kern w:val="0"/>
      <w:szCs w:val="21"/>
    </w:rPr>
  </w:style>
  <w:style w:type="paragraph" w:customStyle="1" w:styleId="525">
    <w:name w:val="样式 正文文本缩进 3 + 12 磅 左侧:  2 字符"/>
    <w:basedOn w:val="47"/>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6">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7">
    <w:name w:val="CM4"/>
    <w:basedOn w:val="210"/>
    <w:next w:val="210"/>
    <w:qFormat/>
    <w:uiPriority w:val="0"/>
    <w:pPr>
      <w:spacing w:line="566" w:lineRule="atLeast"/>
    </w:pPr>
    <w:rPr>
      <w:rFonts w:ascii="华文中宋" w:eastAsia="华文中宋" w:cs="华文中宋"/>
      <w:color w:val="auto"/>
    </w:rPr>
  </w:style>
  <w:style w:type="paragraph" w:customStyle="1" w:styleId="528">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29">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0">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1">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2">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3">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4">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5">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6">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7">
    <w:name w:val="javascript1"/>
    <w:qFormat/>
    <w:uiPriority w:val="0"/>
    <w:rPr>
      <w:rFonts w:ascii="Tahoma" w:hAnsi="Tahoma" w:eastAsia="宋体"/>
      <w:kern w:val="2"/>
      <w:sz w:val="24"/>
      <w:lang w:val="en-US" w:eastAsia="zh-CN"/>
    </w:rPr>
  </w:style>
  <w:style w:type="paragraph" w:customStyle="1" w:styleId="538">
    <w:name w:val="A正文"/>
    <w:basedOn w:val="1"/>
    <w:qFormat/>
    <w:uiPriority w:val="0"/>
    <w:pPr>
      <w:snapToGrid w:val="0"/>
      <w:spacing w:line="500" w:lineRule="exact"/>
      <w:ind w:firstLine="480"/>
    </w:pPr>
    <w:rPr>
      <w:sz w:val="24"/>
    </w:rPr>
  </w:style>
  <w:style w:type="paragraph" w:customStyle="1" w:styleId="539">
    <w:name w:val="1.1.1"/>
    <w:basedOn w:val="1"/>
    <w:qFormat/>
    <w:uiPriority w:val="0"/>
    <w:pPr>
      <w:spacing w:line="360" w:lineRule="auto"/>
      <w:ind w:firstLine="200" w:firstLineChars="200"/>
    </w:pPr>
    <w:rPr>
      <w:rFonts w:ascii="黑体"/>
      <w:sz w:val="24"/>
      <w:szCs w:val="20"/>
    </w:rPr>
  </w:style>
  <w:style w:type="character" w:customStyle="1" w:styleId="540">
    <w:name w:val="尾注文本 Char"/>
    <w:link w:val="36"/>
    <w:qFormat/>
    <w:uiPriority w:val="99"/>
    <w:rPr>
      <w:sz w:val="21"/>
      <w:lang w:val="zh-CN" w:eastAsia="zh-CN"/>
    </w:rPr>
  </w:style>
  <w:style w:type="paragraph" w:customStyle="1" w:styleId="541">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2">
    <w:name w:val="apple-style-span"/>
    <w:qFormat/>
    <w:uiPriority w:val="0"/>
  </w:style>
  <w:style w:type="character" w:customStyle="1" w:styleId="543">
    <w:name w:val="List Paragraph Char"/>
    <w:link w:val="168"/>
    <w:qFormat/>
    <w:locked/>
    <w:uiPriority w:val="0"/>
  </w:style>
  <w:style w:type="paragraph" w:customStyle="1" w:styleId="544">
    <w:name w:val="Char6"/>
    <w:basedOn w:val="1"/>
    <w:qFormat/>
    <w:uiPriority w:val="0"/>
  </w:style>
  <w:style w:type="table" w:customStyle="1" w:styleId="545">
    <w:name w:val="网格型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6">
    <w:name w:val="网格型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7">
    <w:name w:val="Char5"/>
    <w:basedOn w:val="1"/>
    <w:qFormat/>
    <w:uiPriority w:val="0"/>
  </w:style>
  <w:style w:type="table" w:customStyle="1" w:styleId="548">
    <w:name w:val="网格型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9">
    <w:name w:val="Char4"/>
    <w:basedOn w:val="1"/>
    <w:qFormat/>
    <w:uiPriority w:val="0"/>
  </w:style>
  <w:style w:type="paragraph" w:customStyle="1" w:styleId="550">
    <w:name w:val="Char Char Char Char Char Char Char Char Char1 Char Char Char Char"/>
    <w:basedOn w:val="1"/>
    <w:qFormat/>
    <w:uiPriority w:val="0"/>
    <w:rPr>
      <w:sz w:val="24"/>
    </w:rPr>
  </w:style>
  <w:style w:type="paragraph" w:customStyle="1" w:styleId="551">
    <w:name w:val="Char Char Char Char Char Char Char Char Char1 Char Char Char Char1"/>
    <w:basedOn w:val="1"/>
    <w:qFormat/>
    <w:uiPriority w:val="0"/>
    <w:rPr>
      <w:sz w:val="24"/>
    </w:rPr>
  </w:style>
  <w:style w:type="paragraph" w:customStyle="1" w:styleId="552">
    <w:name w:val="新正文"/>
    <w:basedOn w:val="1"/>
    <w:link w:val="553"/>
    <w:qFormat/>
    <w:uiPriority w:val="0"/>
    <w:pPr>
      <w:adjustRightInd w:val="0"/>
      <w:snapToGrid w:val="0"/>
      <w:spacing w:line="480" w:lineRule="exact"/>
      <w:ind w:firstLine="482" w:firstLineChars="200"/>
    </w:pPr>
    <w:rPr>
      <w:rFonts w:ascii="仿宋_GB2312" w:eastAsia="仿宋_GB2312"/>
      <w:kern w:val="0"/>
      <w:sz w:val="20"/>
      <w:szCs w:val="20"/>
      <w:lang w:val="zh-CN" w:eastAsia="zh-CN"/>
    </w:rPr>
  </w:style>
  <w:style w:type="character" w:customStyle="1" w:styleId="553">
    <w:name w:val="新正文 Char"/>
    <w:link w:val="552"/>
    <w:qFormat/>
    <w:locked/>
    <w:uiPriority w:val="0"/>
    <w:rPr>
      <w:rFonts w:ascii="仿宋_GB2312" w:eastAsia="仿宋_GB2312"/>
      <w:lang w:val="zh-CN" w:eastAsia="zh-CN"/>
    </w:rPr>
  </w:style>
  <w:style w:type="table" w:customStyle="1" w:styleId="554">
    <w:name w:val="网格型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5">
    <w:name w:val="Char21"/>
    <w:basedOn w:val="1"/>
    <w:qFormat/>
    <w:uiPriority w:val="0"/>
  </w:style>
  <w:style w:type="paragraph" w:customStyle="1" w:styleId="556">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7">
    <w:name w:val="网格型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58">
    <w:name w:val="show-img-bd"/>
    <w:qFormat/>
    <w:uiPriority w:val="0"/>
  </w:style>
  <w:style w:type="character" w:customStyle="1" w:styleId="559">
    <w:name w:val="图 标题 Char"/>
    <w:link w:val="560"/>
    <w:qFormat/>
    <w:uiPriority w:val="0"/>
    <w:rPr>
      <w:b/>
      <w:kern w:val="2"/>
      <w:sz w:val="24"/>
    </w:rPr>
  </w:style>
  <w:style w:type="paragraph" w:customStyle="1" w:styleId="560">
    <w:name w:val="图 标题"/>
    <w:basedOn w:val="1"/>
    <w:link w:val="559"/>
    <w:qFormat/>
    <w:uiPriority w:val="0"/>
    <w:pPr>
      <w:adjustRightInd w:val="0"/>
      <w:snapToGrid w:val="0"/>
      <w:spacing w:line="360" w:lineRule="auto"/>
      <w:jc w:val="center"/>
    </w:pPr>
    <w:rPr>
      <w:b/>
      <w:sz w:val="24"/>
      <w:szCs w:val="20"/>
    </w:rPr>
  </w:style>
  <w:style w:type="character" w:customStyle="1" w:styleId="561">
    <w:name w:val="aa正文 Char"/>
    <w:link w:val="562"/>
    <w:qFormat/>
    <w:uiPriority w:val="0"/>
    <w:rPr>
      <w:sz w:val="24"/>
      <w:szCs w:val="24"/>
    </w:rPr>
  </w:style>
  <w:style w:type="paragraph" w:customStyle="1" w:styleId="562">
    <w:name w:val="aa正文"/>
    <w:basedOn w:val="1"/>
    <w:link w:val="561"/>
    <w:qFormat/>
    <w:uiPriority w:val="0"/>
    <w:pPr>
      <w:spacing w:line="360" w:lineRule="auto"/>
      <w:ind w:firstLine="200" w:firstLineChars="200"/>
    </w:pPr>
    <w:rPr>
      <w:kern w:val="0"/>
      <w:sz w:val="24"/>
    </w:rPr>
  </w:style>
  <w:style w:type="character" w:customStyle="1" w:styleId="563">
    <w:name w:val="words-outer-wrap"/>
    <w:qFormat/>
    <w:uiPriority w:val="0"/>
  </w:style>
  <w:style w:type="character" w:customStyle="1" w:styleId="564">
    <w:name w:val="split-word"/>
    <w:qFormat/>
    <w:uiPriority w:val="0"/>
  </w:style>
  <w:style w:type="paragraph" w:customStyle="1" w:styleId="565">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6">
    <w:name w:val="表格标题 Char"/>
    <w:qFormat/>
    <w:uiPriority w:val="0"/>
    <w:rPr>
      <w:rFonts w:ascii="TimesNewRoman" w:hAnsi="TimesNewRoman"/>
      <w:b/>
      <w:sz w:val="24"/>
    </w:rPr>
  </w:style>
  <w:style w:type="paragraph" w:customStyle="1" w:styleId="567">
    <w:name w:val="Char Char21"/>
    <w:basedOn w:val="1"/>
    <w:qFormat/>
    <w:uiPriority w:val="0"/>
    <w:rPr>
      <w:szCs w:val="21"/>
    </w:rPr>
  </w:style>
  <w:style w:type="paragraph" w:customStyle="1" w:styleId="568">
    <w:name w:val="333333333333333"/>
    <w:basedOn w:val="5"/>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69">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0">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1">
    <w:name w:val="表的标题 Char"/>
    <w:link w:val="572"/>
    <w:qFormat/>
    <w:uiPriority w:val="0"/>
    <w:rPr>
      <w:rFonts w:eastAsia="黑体" w:cs="宋体"/>
      <w:kern w:val="2"/>
      <w:sz w:val="24"/>
    </w:rPr>
  </w:style>
  <w:style w:type="paragraph" w:customStyle="1" w:styleId="572">
    <w:name w:val="表的标题"/>
    <w:basedOn w:val="1"/>
    <w:next w:val="1"/>
    <w:link w:val="571"/>
    <w:qFormat/>
    <w:uiPriority w:val="0"/>
    <w:pPr>
      <w:adjustRightInd w:val="0"/>
      <w:snapToGrid w:val="0"/>
      <w:spacing w:beforeLines="50"/>
      <w:jc w:val="center"/>
    </w:pPr>
    <w:rPr>
      <w:rFonts w:eastAsia="黑体" w:cs="宋体"/>
      <w:sz w:val="24"/>
      <w:szCs w:val="20"/>
    </w:rPr>
  </w:style>
  <w:style w:type="character" w:customStyle="1" w:styleId="573">
    <w:name w:val="4正文 Char"/>
    <w:link w:val="574"/>
    <w:qFormat/>
    <w:uiPriority w:val="0"/>
    <w:rPr>
      <w:kern w:val="2"/>
      <w:sz w:val="24"/>
    </w:rPr>
  </w:style>
  <w:style w:type="paragraph" w:customStyle="1" w:styleId="574">
    <w:name w:val="4正文"/>
    <w:basedOn w:val="1"/>
    <w:link w:val="573"/>
    <w:qFormat/>
    <w:uiPriority w:val="0"/>
    <w:pPr>
      <w:spacing w:line="360" w:lineRule="auto"/>
      <w:ind w:firstLine="480" w:firstLineChars="200"/>
    </w:pPr>
    <w:rPr>
      <w:sz w:val="24"/>
      <w:szCs w:val="20"/>
    </w:rPr>
  </w:style>
  <w:style w:type="paragraph" w:customStyle="1" w:styleId="575">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6">
    <w:name w:val="Char Char291"/>
    <w:qFormat/>
    <w:uiPriority w:val="0"/>
    <w:rPr>
      <w:rFonts w:eastAsia="宋体"/>
      <w:b/>
      <w:bCs/>
      <w:kern w:val="2"/>
      <w:sz w:val="32"/>
      <w:szCs w:val="32"/>
      <w:lang w:val="en-US" w:eastAsia="zh-CN" w:bidi="ar-SA"/>
    </w:rPr>
  </w:style>
  <w:style w:type="character" w:customStyle="1" w:styleId="577">
    <w:name w:val="Char Char111"/>
    <w:qFormat/>
    <w:uiPriority w:val="0"/>
    <w:rPr>
      <w:rFonts w:ascii="Calibri" w:hAnsi="Tahoma" w:eastAsia="Calibri" w:cs="Tahoma"/>
      <w:kern w:val="2"/>
      <w:sz w:val="21"/>
      <w:szCs w:val="21"/>
      <w:lang w:val="en-US" w:eastAsia="zh-CN" w:bidi="ar-SA"/>
    </w:rPr>
  </w:style>
  <w:style w:type="character" w:customStyle="1" w:styleId="578">
    <w:name w:val="Char Char41"/>
    <w:qFormat/>
    <w:uiPriority w:val="0"/>
    <w:rPr>
      <w:rFonts w:ascii="宋体" w:hAnsi="Courier New" w:eastAsia="宋体"/>
      <w:kern w:val="2"/>
      <w:sz w:val="21"/>
      <w:lang w:val="en-US" w:eastAsia="zh-CN" w:bidi="ar-SA"/>
    </w:rPr>
  </w:style>
  <w:style w:type="character" w:customStyle="1" w:styleId="579">
    <w:name w:val="Char Char91"/>
    <w:qFormat/>
    <w:uiPriority w:val="0"/>
    <w:rPr>
      <w:rFonts w:ascii="宋体" w:hAnsi="宋体" w:eastAsia="宋体"/>
      <w:kern w:val="2"/>
      <w:sz w:val="24"/>
      <w:szCs w:val="24"/>
      <w:lang w:val="en-US" w:eastAsia="zh-CN" w:bidi="ar-SA"/>
    </w:rPr>
  </w:style>
  <w:style w:type="character" w:customStyle="1" w:styleId="580">
    <w:name w:val="正文文本缩进 2 Char2"/>
    <w:semiHidden/>
    <w:qFormat/>
    <w:uiPriority w:val="99"/>
    <w:rPr>
      <w:kern w:val="2"/>
      <w:sz w:val="21"/>
      <w:szCs w:val="24"/>
    </w:rPr>
  </w:style>
  <w:style w:type="character" w:customStyle="1" w:styleId="581">
    <w:name w:val="页脚 Char1"/>
    <w:qFormat/>
    <w:uiPriority w:val="0"/>
    <w:rPr>
      <w:kern w:val="2"/>
      <w:sz w:val="18"/>
      <w:szCs w:val="18"/>
    </w:rPr>
  </w:style>
  <w:style w:type="paragraph" w:customStyle="1" w:styleId="582">
    <w:name w:val="Char Char Char Char Char Char Char2"/>
    <w:basedOn w:val="1"/>
    <w:qFormat/>
    <w:uiPriority w:val="0"/>
    <w:pPr>
      <w:adjustRightInd w:val="0"/>
      <w:spacing w:line="360" w:lineRule="auto"/>
    </w:pPr>
    <w:rPr>
      <w:kern w:val="0"/>
      <w:sz w:val="24"/>
      <w:szCs w:val="20"/>
    </w:rPr>
  </w:style>
  <w:style w:type="character" w:customStyle="1" w:styleId="583">
    <w:name w:val="批注框文本 Char1"/>
    <w:semiHidden/>
    <w:qFormat/>
    <w:uiPriority w:val="99"/>
    <w:rPr>
      <w:kern w:val="2"/>
      <w:sz w:val="18"/>
      <w:szCs w:val="18"/>
    </w:rPr>
  </w:style>
  <w:style w:type="character" w:customStyle="1" w:styleId="584">
    <w:name w:val="正文首行缩进 2 Char1"/>
    <w:semiHidden/>
    <w:qFormat/>
    <w:uiPriority w:val="99"/>
    <w:rPr>
      <w:rFonts w:ascii="Times New Roman" w:hAnsi="Times New Roman" w:eastAsia="宋体" w:cs="Times New Roman"/>
      <w:kern w:val="2"/>
      <w:sz w:val="21"/>
      <w:szCs w:val="24"/>
    </w:rPr>
  </w:style>
  <w:style w:type="paragraph" w:customStyle="1" w:styleId="585">
    <w:name w:val="Char12"/>
    <w:basedOn w:val="1"/>
    <w:qFormat/>
    <w:uiPriority w:val="0"/>
    <w:rPr>
      <w:sz w:val="24"/>
    </w:rPr>
  </w:style>
  <w:style w:type="paragraph" w:customStyle="1" w:styleId="586">
    <w:name w:val="Char22"/>
    <w:basedOn w:val="1"/>
    <w:qFormat/>
    <w:uiPriority w:val="0"/>
    <w:pPr>
      <w:ind w:firstLine="200" w:firstLineChars="200"/>
    </w:pPr>
    <w:rPr>
      <w:rFonts w:ascii="宋体" w:hAnsi="宋体" w:cs="宋体"/>
    </w:rPr>
  </w:style>
  <w:style w:type="paragraph" w:customStyle="1" w:styleId="587">
    <w:name w:val="Char Char Char2"/>
    <w:basedOn w:val="1"/>
    <w:qFormat/>
    <w:uiPriority w:val="0"/>
  </w:style>
  <w:style w:type="paragraph" w:customStyle="1" w:styleId="588">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89">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0">
    <w:name w:val="字元 字元1"/>
    <w:basedOn w:val="1"/>
    <w:qFormat/>
    <w:uiPriority w:val="0"/>
    <w:rPr>
      <w:sz w:val="24"/>
    </w:rPr>
  </w:style>
  <w:style w:type="paragraph" w:customStyle="1" w:styleId="591">
    <w:name w:val="Char Char Char Char Char Char1 Char Char Char Char Char Char Char Char Char1"/>
    <w:basedOn w:val="1"/>
    <w:qFormat/>
    <w:uiPriority w:val="0"/>
    <w:rPr>
      <w:sz w:val="24"/>
    </w:rPr>
  </w:style>
  <w:style w:type="paragraph" w:customStyle="1" w:styleId="592">
    <w:name w:val="Char Char Char1 Char1 Char Char Char1"/>
    <w:basedOn w:val="1"/>
    <w:qFormat/>
    <w:uiPriority w:val="0"/>
    <w:pPr>
      <w:spacing w:line="500" w:lineRule="exact"/>
      <w:ind w:firstLine="480" w:firstLineChars="200"/>
    </w:pPr>
    <w:rPr>
      <w:sz w:val="24"/>
      <w:szCs w:val="20"/>
    </w:rPr>
  </w:style>
  <w:style w:type="character" w:customStyle="1" w:styleId="593">
    <w:name w:val="Char Char301"/>
    <w:qFormat/>
    <w:uiPriority w:val="0"/>
    <w:rPr>
      <w:rFonts w:eastAsia="宋体"/>
      <w:b/>
      <w:bCs/>
      <w:kern w:val="2"/>
      <w:sz w:val="21"/>
      <w:szCs w:val="24"/>
      <w:lang w:val="en-US" w:eastAsia="zh-CN" w:bidi="ar-SA"/>
    </w:rPr>
  </w:style>
  <w:style w:type="character" w:customStyle="1" w:styleId="594">
    <w:name w:val="Char Char171"/>
    <w:qFormat/>
    <w:locked/>
    <w:uiPriority w:val="0"/>
    <w:rPr>
      <w:rFonts w:eastAsia="宋体"/>
      <w:b/>
      <w:bCs/>
      <w:kern w:val="2"/>
      <w:sz w:val="32"/>
      <w:szCs w:val="32"/>
      <w:lang w:val="en-US" w:eastAsia="zh-CN" w:bidi="ar-SA"/>
    </w:rPr>
  </w:style>
  <w:style w:type="character" w:customStyle="1" w:styleId="595">
    <w:name w:val="Char Char61"/>
    <w:qFormat/>
    <w:locked/>
    <w:uiPriority w:val="0"/>
    <w:rPr>
      <w:rFonts w:eastAsia="宋体"/>
      <w:kern w:val="2"/>
      <w:sz w:val="21"/>
      <w:szCs w:val="24"/>
      <w:lang w:val="en-US" w:eastAsia="zh-CN" w:bidi="ar-SA"/>
    </w:rPr>
  </w:style>
  <w:style w:type="character" w:customStyle="1" w:styleId="596">
    <w:name w:val="Char Char12"/>
    <w:qFormat/>
    <w:uiPriority w:val="0"/>
    <w:rPr>
      <w:rFonts w:eastAsia="宋体"/>
      <w:kern w:val="2"/>
      <w:sz w:val="18"/>
      <w:szCs w:val="18"/>
      <w:lang w:val="en-US" w:eastAsia="zh-CN" w:bidi="ar-SA"/>
    </w:rPr>
  </w:style>
  <w:style w:type="character" w:customStyle="1" w:styleId="597">
    <w:name w:val="Char Char151"/>
    <w:qFormat/>
    <w:uiPriority w:val="0"/>
    <w:rPr>
      <w:rFonts w:ascii="宋体" w:hAnsi="Courier New" w:eastAsia="宋体"/>
      <w:kern w:val="2"/>
      <w:sz w:val="21"/>
      <w:lang w:val="en-US" w:eastAsia="zh-CN" w:bidi="ar-SA"/>
    </w:rPr>
  </w:style>
  <w:style w:type="character" w:customStyle="1" w:styleId="598">
    <w:name w:val="占位符文本2"/>
    <w:semiHidden/>
    <w:qFormat/>
    <w:uiPriority w:val="99"/>
    <w:rPr>
      <w:rFonts w:cs="Times New Roman"/>
      <w:color w:val="808080"/>
    </w:rPr>
  </w:style>
  <w:style w:type="paragraph" w:customStyle="1" w:styleId="599">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0">
    <w:name w:val="description"/>
    <w:qFormat/>
    <w:uiPriority w:val="0"/>
  </w:style>
  <w:style w:type="character" w:customStyle="1" w:styleId="601">
    <w:name w:val="Char Char1 Char"/>
    <w:qFormat/>
    <w:uiPriority w:val="0"/>
    <w:rPr>
      <w:rFonts w:ascii="宋体" w:hAnsi="宋体" w:cs="宋体"/>
      <w:kern w:val="2"/>
      <w:sz w:val="24"/>
      <w:szCs w:val="24"/>
    </w:rPr>
  </w:style>
  <w:style w:type="character" w:customStyle="1" w:styleId="602">
    <w:name w:val="5文章(治) Char Char"/>
    <w:link w:val="603"/>
    <w:qFormat/>
    <w:uiPriority w:val="0"/>
    <w:rPr>
      <w:kern w:val="2"/>
      <w:sz w:val="24"/>
    </w:rPr>
  </w:style>
  <w:style w:type="paragraph" w:customStyle="1" w:styleId="603">
    <w:name w:val="5文章(治)"/>
    <w:basedOn w:val="1"/>
    <w:link w:val="602"/>
    <w:qFormat/>
    <w:uiPriority w:val="0"/>
    <w:pPr>
      <w:spacing w:line="360" w:lineRule="auto"/>
      <w:ind w:firstLine="560" w:firstLineChars="200"/>
    </w:pPr>
    <w:rPr>
      <w:sz w:val="24"/>
      <w:szCs w:val="20"/>
    </w:rPr>
  </w:style>
  <w:style w:type="character" w:customStyle="1" w:styleId="604">
    <w:name w:val="bjh-p"/>
    <w:qFormat/>
    <w:uiPriority w:val="0"/>
  </w:style>
  <w:style w:type="paragraph" w:customStyle="1" w:styleId="605">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6">
    <w:name w:val="002"/>
    <w:qFormat/>
    <w:uiPriority w:val="0"/>
    <w:rPr>
      <w:rFonts w:ascii="黑体" w:hAnsi="黑体" w:eastAsia="黑体"/>
      <w:sz w:val="28"/>
    </w:rPr>
  </w:style>
  <w:style w:type="character" w:customStyle="1" w:styleId="607">
    <w:name w:val="表格标题新 Char"/>
    <w:link w:val="608"/>
    <w:qFormat/>
    <w:uiPriority w:val="0"/>
    <w:rPr>
      <w:rFonts w:ascii="仿宋_GB2312" w:eastAsia="黑体"/>
      <w:b/>
      <w:snapToGrid w:val="0"/>
      <w:spacing w:val="4"/>
      <w:sz w:val="24"/>
      <w:szCs w:val="24"/>
    </w:rPr>
  </w:style>
  <w:style w:type="paragraph" w:customStyle="1" w:styleId="608">
    <w:name w:val="表格标题新"/>
    <w:basedOn w:val="153"/>
    <w:link w:val="607"/>
    <w:qFormat/>
    <w:uiPriority w:val="0"/>
    <w:pPr>
      <w:spacing w:before="120" w:beforeLines="50"/>
      <w:ind w:firstLine="562"/>
    </w:pPr>
    <w:rPr>
      <w:rFonts w:ascii="仿宋_GB2312" w:eastAsia="黑体"/>
      <w:b/>
      <w:snapToGrid w:val="0"/>
      <w:spacing w:val="4"/>
      <w:szCs w:val="24"/>
    </w:rPr>
  </w:style>
  <w:style w:type="character" w:customStyle="1" w:styleId="609">
    <w:name w:val="环表头 Char Char"/>
    <w:link w:val="488"/>
    <w:qFormat/>
    <w:uiPriority w:val="0"/>
    <w:rPr>
      <w:rFonts w:ascii="黑体" w:hAnsi="宋体" w:eastAsia="黑体"/>
      <w:iCs/>
      <w:color w:val="000000"/>
      <w:sz w:val="24"/>
      <w:lang w:val="zh-CN" w:eastAsia="zh-CN"/>
    </w:rPr>
  </w:style>
  <w:style w:type="character" w:customStyle="1" w:styleId="610">
    <w:name w:val="Book Title"/>
    <w:qFormat/>
    <w:uiPriority w:val="33"/>
    <w:rPr>
      <w:b/>
      <w:bCs/>
      <w:smallCaps/>
      <w:spacing w:val="5"/>
    </w:rPr>
  </w:style>
  <w:style w:type="character" w:customStyle="1" w:styleId="611">
    <w:name w:val="large1"/>
    <w:qFormat/>
    <w:uiPriority w:val="0"/>
    <w:rPr>
      <w:rFonts w:hint="eastAsia" w:ascii="宋体" w:hAnsi="宋体" w:eastAsia="宋体"/>
      <w:sz w:val="22"/>
      <w:szCs w:val="22"/>
    </w:rPr>
  </w:style>
  <w:style w:type="character" w:customStyle="1" w:styleId="612">
    <w:name w:val="fontstyle11"/>
    <w:qFormat/>
    <w:uiPriority w:val="0"/>
    <w:rPr>
      <w:rFonts w:hint="eastAsia" w:ascii="宋体" w:hAnsi="宋体" w:eastAsia="宋体"/>
      <w:color w:val="000000"/>
      <w:sz w:val="22"/>
      <w:szCs w:val="22"/>
    </w:rPr>
  </w:style>
  <w:style w:type="character" w:customStyle="1" w:styleId="613">
    <w:name w:val="3级 Char"/>
    <w:link w:val="614"/>
    <w:qFormat/>
    <w:uiPriority w:val="0"/>
    <w:rPr>
      <w:rFonts w:eastAsia="仿宋_GB2312"/>
      <w:bCs/>
      <w:kern w:val="2"/>
      <w:sz w:val="28"/>
      <w:szCs w:val="32"/>
    </w:rPr>
  </w:style>
  <w:style w:type="paragraph" w:customStyle="1" w:styleId="614">
    <w:name w:val="3级"/>
    <w:basedOn w:val="1"/>
    <w:link w:val="613"/>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5">
    <w:name w:val="表题前1后0.5行 Char"/>
    <w:link w:val="616"/>
    <w:qFormat/>
    <w:uiPriority w:val="0"/>
    <w:rPr>
      <w:rFonts w:ascii="宋体"/>
      <w:kern w:val="2"/>
      <w:sz w:val="26"/>
      <w:szCs w:val="24"/>
    </w:rPr>
  </w:style>
  <w:style w:type="paragraph" w:customStyle="1" w:styleId="616">
    <w:name w:val="表题前1后0.5行"/>
    <w:basedOn w:val="1"/>
    <w:link w:val="615"/>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7">
    <w:name w:val="height21"/>
    <w:qFormat/>
    <w:uiPriority w:val="0"/>
    <w:rPr>
      <w:sz w:val="18"/>
      <w:szCs w:val="18"/>
    </w:rPr>
  </w:style>
  <w:style w:type="character" w:customStyle="1" w:styleId="618">
    <w:name w:val="fontstyle21"/>
    <w:qFormat/>
    <w:uiPriority w:val="0"/>
    <w:rPr>
      <w:rFonts w:hint="default" w:ascii="TimesNewRomanPSMT" w:hAnsi="TimesNewRomanPSMT"/>
      <w:color w:val="000000"/>
      <w:sz w:val="28"/>
      <w:szCs w:val="28"/>
    </w:rPr>
  </w:style>
  <w:style w:type="character" w:customStyle="1" w:styleId="619">
    <w:name w:val="正文01 Char Char"/>
    <w:qFormat/>
    <w:uiPriority w:val="0"/>
    <w:rPr>
      <w:kern w:val="2"/>
      <w:sz w:val="24"/>
      <w:szCs w:val="24"/>
    </w:rPr>
  </w:style>
  <w:style w:type="character" w:customStyle="1" w:styleId="620">
    <w:name w:val="fontstyle01"/>
    <w:qFormat/>
    <w:uiPriority w:val="0"/>
    <w:rPr>
      <w:rFonts w:hint="default" w:ascii="Times New Roman" w:hAnsi="Times New Roman" w:cs="Times New Roman"/>
      <w:color w:val="000000"/>
      <w:sz w:val="22"/>
      <w:szCs w:val="22"/>
    </w:rPr>
  </w:style>
  <w:style w:type="paragraph" w:customStyle="1" w:styleId="621">
    <w:name w:val="Char33"/>
    <w:basedOn w:val="1"/>
    <w:qFormat/>
    <w:uiPriority w:val="0"/>
    <w:rPr>
      <w:sz w:val="24"/>
    </w:rPr>
  </w:style>
  <w:style w:type="paragraph" w:customStyle="1" w:styleId="622">
    <w:name w:val="Hu表内"/>
    <w:basedOn w:val="623"/>
    <w:qFormat/>
    <w:uiPriority w:val="0"/>
    <w:rPr>
      <w:sz w:val="24"/>
    </w:rPr>
  </w:style>
  <w:style w:type="paragraph" w:customStyle="1" w:styleId="623">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4">
    <w:name w:val="中等深浅网格 1 - 强调文字颜色 21"/>
    <w:basedOn w:val="1"/>
    <w:qFormat/>
    <w:uiPriority w:val="34"/>
    <w:pPr>
      <w:ind w:firstLine="420" w:firstLineChars="200"/>
    </w:pPr>
    <w:rPr>
      <w:rFonts w:ascii="Calibri" w:hAnsi="Calibri"/>
      <w:szCs w:val="22"/>
    </w:rPr>
  </w:style>
  <w:style w:type="paragraph" w:customStyle="1" w:styleId="625">
    <w:name w:val="纯文本2"/>
    <w:basedOn w:val="1"/>
    <w:qFormat/>
    <w:uiPriority w:val="0"/>
    <w:pPr>
      <w:adjustRightInd w:val="0"/>
      <w:textAlignment w:val="baseline"/>
    </w:pPr>
    <w:rPr>
      <w:rFonts w:ascii="宋体" w:hAnsi="Courier New" w:eastAsia="仿宋_GB2312"/>
      <w:sz w:val="28"/>
      <w:szCs w:val="28"/>
    </w:rPr>
  </w:style>
  <w:style w:type="paragraph" w:customStyle="1" w:styleId="626">
    <w:name w:val="二级大标题"/>
    <w:basedOn w:val="3"/>
    <w:qFormat/>
    <w:uiPriority w:val="0"/>
    <w:pPr>
      <w:keepNext w:val="0"/>
      <w:keepLines w:val="0"/>
      <w:tabs>
        <w:tab w:val="left" w:pos="720"/>
        <w:tab w:val="clear" w:pos="425"/>
      </w:tabs>
      <w:adjustRightInd w:val="0"/>
      <w:snapToGrid w:val="0"/>
      <w:spacing w:before="0" w:after="0" w:line="360" w:lineRule="auto"/>
      <w:ind w:left="425" w:hanging="425"/>
    </w:pPr>
    <w:rPr>
      <w:rFonts w:ascii="Times New Roman" w:hAnsi="Times New Roman" w:eastAsia="仿宋_GB2312"/>
      <w:sz w:val="28"/>
      <w:szCs w:val="28"/>
    </w:rPr>
  </w:style>
  <w:style w:type="paragraph" w:customStyle="1" w:styleId="627">
    <w:name w:val="Char Char Char5"/>
    <w:basedOn w:val="1"/>
    <w:qFormat/>
    <w:uiPriority w:val="0"/>
    <w:pPr>
      <w:spacing w:line="360" w:lineRule="auto"/>
    </w:pPr>
    <w:rPr>
      <w:rFonts w:ascii="Tahoma" w:hAnsi="Tahoma"/>
      <w:sz w:val="24"/>
      <w:szCs w:val="20"/>
    </w:rPr>
  </w:style>
  <w:style w:type="paragraph" w:customStyle="1" w:styleId="628">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29">
    <w:name w:val="项目编号"/>
    <w:basedOn w:val="1"/>
    <w:next w:val="1"/>
    <w:qFormat/>
    <w:uiPriority w:val="0"/>
    <w:pPr>
      <w:spacing w:before="120" w:after="120" w:line="360" w:lineRule="auto"/>
    </w:pPr>
    <w:rPr>
      <w:rFonts w:ascii="仿宋_GB2312" w:eastAsia="仿宋_GB2312"/>
      <w:sz w:val="24"/>
      <w:szCs w:val="20"/>
    </w:rPr>
  </w:style>
  <w:style w:type="paragraph" w:customStyle="1" w:styleId="630">
    <w:name w:val="默认段落字体 Para Char Char Char Char Char Char Char Char Char Char"/>
    <w:basedOn w:val="5"/>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1">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2">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3">
    <w:name w:val="HTML Bottom of Form"/>
    <w:basedOn w:val="1"/>
    <w:next w:val="1"/>
    <w:link w:val="634"/>
    <w:qFormat/>
    <w:uiPriority w:val="0"/>
    <w:pPr>
      <w:pBdr>
        <w:top w:val="single" w:color="auto" w:sz="6" w:space="1"/>
      </w:pBdr>
      <w:jc w:val="center"/>
    </w:pPr>
    <w:rPr>
      <w:rFonts w:ascii="Arial"/>
      <w:vanish/>
      <w:sz w:val="16"/>
    </w:rPr>
  </w:style>
  <w:style w:type="character" w:customStyle="1" w:styleId="634">
    <w:name w:val="z-窗体底端 Char"/>
    <w:link w:val="633"/>
    <w:qFormat/>
    <w:uiPriority w:val="0"/>
    <w:rPr>
      <w:rFonts w:ascii="Arial"/>
      <w:vanish/>
      <w:kern w:val="2"/>
      <w:sz w:val="16"/>
      <w:szCs w:val="24"/>
    </w:rPr>
  </w:style>
  <w:style w:type="paragraph" w:customStyle="1" w:styleId="635">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6">
    <w:name w:val="Char Char Char Char Char Char Char5"/>
    <w:basedOn w:val="1"/>
    <w:qFormat/>
    <w:uiPriority w:val="0"/>
    <w:rPr>
      <w:sz w:val="24"/>
    </w:rPr>
  </w:style>
  <w:style w:type="paragraph" w:customStyle="1" w:styleId="637">
    <w:name w:val="HTML Top of Form"/>
    <w:basedOn w:val="1"/>
    <w:next w:val="1"/>
    <w:link w:val="638"/>
    <w:qFormat/>
    <w:uiPriority w:val="0"/>
    <w:pPr>
      <w:pBdr>
        <w:bottom w:val="single" w:color="auto" w:sz="6" w:space="1"/>
      </w:pBdr>
      <w:jc w:val="center"/>
    </w:pPr>
    <w:rPr>
      <w:rFonts w:ascii="Arial"/>
      <w:vanish/>
      <w:sz w:val="16"/>
    </w:rPr>
  </w:style>
  <w:style w:type="character" w:customStyle="1" w:styleId="638">
    <w:name w:val="z-窗体顶端 Char"/>
    <w:link w:val="637"/>
    <w:qFormat/>
    <w:uiPriority w:val="0"/>
    <w:rPr>
      <w:rFonts w:ascii="Arial"/>
      <w:vanish/>
      <w:kern w:val="2"/>
      <w:sz w:val="16"/>
      <w:szCs w:val="24"/>
    </w:rPr>
  </w:style>
  <w:style w:type="paragraph" w:customStyle="1" w:styleId="639">
    <w:name w:val="Char15"/>
    <w:basedOn w:val="1"/>
    <w:qFormat/>
    <w:uiPriority w:val="0"/>
    <w:pPr>
      <w:widowControl/>
      <w:spacing w:line="360" w:lineRule="auto"/>
      <w:ind w:firstLine="200" w:firstLineChars="200"/>
      <w:jc w:val="left"/>
    </w:pPr>
    <w:rPr>
      <w:kern w:val="0"/>
      <w:sz w:val="24"/>
      <w:szCs w:val="20"/>
    </w:rPr>
  </w:style>
  <w:style w:type="paragraph" w:customStyle="1" w:styleId="640">
    <w:name w:val="_Style 5"/>
    <w:basedOn w:val="1"/>
    <w:qFormat/>
    <w:uiPriority w:val="0"/>
  </w:style>
  <w:style w:type="paragraph" w:customStyle="1" w:styleId="641">
    <w:name w:val="日期1"/>
    <w:basedOn w:val="1"/>
    <w:next w:val="1"/>
    <w:qFormat/>
    <w:uiPriority w:val="0"/>
    <w:pPr>
      <w:adjustRightInd w:val="0"/>
      <w:textAlignment w:val="baseline"/>
    </w:pPr>
    <w:rPr>
      <w:sz w:val="28"/>
      <w:szCs w:val="20"/>
    </w:rPr>
  </w:style>
  <w:style w:type="character" w:customStyle="1" w:styleId="642">
    <w:name w:val="4biaoge neibu Char"/>
    <w:link w:val="643"/>
    <w:qFormat/>
    <w:uiPriority w:val="0"/>
    <w:rPr>
      <w:rFonts w:cs="黑体"/>
      <w:kern w:val="2"/>
      <w:sz w:val="21"/>
      <w:szCs w:val="16"/>
    </w:rPr>
  </w:style>
  <w:style w:type="paragraph" w:customStyle="1" w:styleId="643">
    <w:name w:val="4biaoge neibu"/>
    <w:basedOn w:val="1"/>
    <w:link w:val="642"/>
    <w:qFormat/>
    <w:uiPriority w:val="0"/>
    <w:pPr>
      <w:jc w:val="center"/>
    </w:pPr>
    <w:rPr>
      <w:rFonts w:cs="黑体"/>
      <w:szCs w:val="16"/>
    </w:rPr>
  </w:style>
  <w:style w:type="paragraph" w:customStyle="1" w:styleId="644">
    <w:name w:val="图表标题"/>
    <w:basedOn w:val="1"/>
    <w:next w:val="1"/>
    <w:qFormat/>
    <w:uiPriority w:val="0"/>
    <w:pPr>
      <w:spacing w:line="360" w:lineRule="auto"/>
      <w:ind w:firstLine="640" w:firstLineChars="200"/>
      <w:jc w:val="center"/>
    </w:pPr>
    <w:rPr>
      <w:b/>
      <w:bCs/>
    </w:rPr>
  </w:style>
  <w:style w:type="paragraph" w:customStyle="1" w:styleId="645">
    <w:name w:val="1正文"/>
    <w:basedOn w:val="1"/>
    <w:qFormat/>
    <w:uiPriority w:val="0"/>
    <w:pPr>
      <w:widowControl/>
      <w:spacing w:line="360" w:lineRule="auto"/>
      <w:ind w:firstLine="200" w:firstLineChars="200"/>
    </w:pPr>
    <w:rPr>
      <w:kern w:val="0"/>
      <w:sz w:val="24"/>
      <w:szCs w:val="20"/>
      <w:lang w:val="en-GB"/>
    </w:rPr>
  </w:style>
  <w:style w:type="character" w:customStyle="1" w:styleId="646">
    <w:name w:val="doc_title"/>
    <w:qFormat/>
    <w:uiPriority w:val="0"/>
  </w:style>
  <w:style w:type="paragraph" w:customStyle="1" w:styleId="647">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8">
    <w:name w:val="表格内容 Char1"/>
    <w:qFormat/>
    <w:uiPriority w:val="0"/>
    <w:rPr>
      <w:kern w:val="20481"/>
      <w:sz w:val="21"/>
    </w:rPr>
  </w:style>
  <w:style w:type="table" w:customStyle="1" w:styleId="649">
    <w:name w:val="网格型6"/>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50">
    <w:name w:val="标题2"/>
    <w:qFormat/>
    <w:uiPriority w:val="0"/>
  </w:style>
  <w:style w:type="table" w:customStyle="1" w:styleId="651">
    <w:name w:val="表格主题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2">
    <w:name w:val="网格型-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3">
    <w:name w:val="网格型 5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4">
    <w:name w:val="典雅型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5">
    <w:name w:val="网格型 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6">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7">
    <w:name w:val="左右无边框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658">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9">
    <w:name w:val="无左右边框型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0">
    <w:name w:val="典雅型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1">
    <w:name w:val="左右无边表格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662">
    <w:name w:val="典雅型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3">
    <w:name w:val="网格型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4">
    <w:name w:val="网格型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5">
    <w:name w:val="网格型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6">
    <w:name w:val="网格型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7">
    <w:name w:val="网格型5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8">
    <w:name w:val="Char32"/>
    <w:basedOn w:val="1"/>
    <w:qFormat/>
    <w:uiPriority w:val="0"/>
    <w:rPr>
      <w:sz w:val="24"/>
    </w:rPr>
  </w:style>
  <w:style w:type="paragraph" w:customStyle="1" w:styleId="669">
    <w:name w:val="纯文本3"/>
    <w:basedOn w:val="1"/>
    <w:qFormat/>
    <w:uiPriority w:val="0"/>
    <w:pPr>
      <w:adjustRightInd w:val="0"/>
      <w:textAlignment w:val="baseline"/>
    </w:pPr>
    <w:rPr>
      <w:rFonts w:ascii="宋体" w:hAnsi="Courier New" w:eastAsia="仿宋_GB2312"/>
      <w:sz w:val="28"/>
      <w:szCs w:val="28"/>
    </w:rPr>
  </w:style>
  <w:style w:type="paragraph" w:customStyle="1" w:styleId="670">
    <w:name w:val="Char Char Char4"/>
    <w:basedOn w:val="1"/>
    <w:qFormat/>
    <w:uiPriority w:val="0"/>
    <w:pPr>
      <w:spacing w:line="360" w:lineRule="auto"/>
    </w:pPr>
    <w:rPr>
      <w:rFonts w:ascii="Tahoma" w:hAnsi="Tahoma"/>
      <w:sz w:val="24"/>
      <w:szCs w:val="20"/>
    </w:rPr>
  </w:style>
  <w:style w:type="paragraph" w:customStyle="1" w:styleId="671">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2">
    <w:name w:val="Char Char Char Char Char Char Char4"/>
    <w:basedOn w:val="1"/>
    <w:qFormat/>
    <w:uiPriority w:val="0"/>
    <w:rPr>
      <w:sz w:val="24"/>
    </w:rPr>
  </w:style>
  <w:style w:type="paragraph" w:customStyle="1" w:styleId="673">
    <w:name w:val="Char14"/>
    <w:basedOn w:val="1"/>
    <w:qFormat/>
    <w:uiPriority w:val="0"/>
    <w:pPr>
      <w:widowControl/>
      <w:spacing w:line="360" w:lineRule="auto"/>
      <w:ind w:firstLine="200" w:firstLineChars="200"/>
      <w:jc w:val="left"/>
    </w:pPr>
    <w:rPr>
      <w:kern w:val="0"/>
      <w:sz w:val="24"/>
      <w:szCs w:val="20"/>
    </w:rPr>
  </w:style>
  <w:style w:type="paragraph" w:customStyle="1" w:styleId="674">
    <w:name w:val="日期2"/>
    <w:basedOn w:val="1"/>
    <w:next w:val="1"/>
    <w:qFormat/>
    <w:uiPriority w:val="0"/>
    <w:pPr>
      <w:adjustRightInd w:val="0"/>
      <w:textAlignment w:val="baseline"/>
    </w:pPr>
    <w:rPr>
      <w:sz w:val="28"/>
      <w:szCs w:val="20"/>
    </w:rPr>
  </w:style>
  <w:style w:type="table" w:customStyle="1" w:styleId="675">
    <w:name w:val="网格型6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6">
    <w:name w:val="网格型7"/>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7">
    <w:name w:val="网格型8"/>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78">
    <w:name w:val="font01"/>
    <w:qFormat/>
    <w:uiPriority w:val="0"/>
    <w:rPr>
      <w:rFonts w:ascii="font-weight : 400" w:hAnsi="font-weight : 400" w:eastAsia="font-weight : 400" w:cs="font-weight : 400"/>
      <w:color w:val="000000"/>
      <w:sz w:val="22"/>
      <w:szCs w:val="22"/>
      <w:u w:val="none"/>
    </w:rPr>
  </w:style>
  <w:style w:type="table" w:customStyle="1" w:styleId="679">
    <w:name w:val="网格型9"/>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680">
    <w:name w:val="Pa17"/>
    <w:basedOn w:val="210"/>
    <w:next w:val="210"/>
    <w:qFormat/>
    <w:uiPriority w:val="99"/>
    <w:pPr>
      <w:spacing w:line="161" w:lineRule="atLeast"/>
    </w:pPr>
    <w:rPr>
      <w:rFonts w:ascii="黑体" w:eastAsia="黑体" w:cs="Times New Roman"/>
      <w:color w:val="auto"/>
    </w:rPr>
  </w:style>
  <w:style w:type="paragraph" w:customStyle="1" w:styleId="681">
    <w:name w:val="Pa29"/>
    <w:basedOn w:val="210"/>
    <w:next w:val="210"/>
    <w:qFormat/>
    <w:uiPriority w:val="99"/>
    <w:pPr>
      <w:spacing w:line="161" w:lineRule="atLeast"/>
    </w:pPr>
    <w:rPr>
      <w:rFonts w:ascii="黑体" w:eastAsia="黑体" w:cs="Times New Roman"/>
      <w:color w:val="auto"/>
    </w:rPr>
  </w:style>
  <w:style w:type="character" w:customStyle="1" w:styleId="682">
    <w:name w:val="A24"/>
    <w:qFormat/>
    <w:uiPriority w:val="99"/>
    <w:rPr>
      <w:rFonts w:ascii="Times New Roman"/>
      <w:i/>
      <w:iCs/>
      <w:color w:val="211D1E"/>
      <w:sz w:val="9"/>
      <w:szCs w:val="9"/>
    </w:rPr>
  </w:style>
  <w:style w:type="character" w:customStyle="1" w:styleId="683">
    <w:name w:val="A25"/>
    <w:qFormat/>
    <w:uiPriority w:val="99"/>
    <w:rPr>
      <w:rFonts w:ascii="FZShuSong-Z01" w:eastAsia="FZShuSong-Z01" w:cs="FZShuSong-Z01"/>
      <w:color w:val="211D1E"/>
      <w:sz w:val="20"/>
      <w:szCs w:val="20"/>
    </w:rPr>
  </w:style>
  <w:style w:type="character" w:customStyle="1" w:styleId="684">
    <w:name w:val="HTML 预设格式 字符"/>
    <w:qFormat/>
    <w:locked/>
    <w:uiPriority w:val="99"/>
    <w:rPr>
      <w:rFonts w:ascii="Arial" w:hAnsi="Arial" w:cs="Arial"/>
      <w:sz w:val="23"/>
      <w:szCs w:val="23"/>
    </w:rPr>
  </w:style>
  <w:style w:type="character" w:customStyle="1" w:styleId="685">
    <w:name w:val="标题 1 字符"/>
    <w:qFormat/>
    <w:uiPriority w:val="0"/>
    <w:rPr>
      <w:rFonts w:eastAsia="宋体"/>
      <w:b/>
      <w:bCs/>
      <w:kern w:val="2"/>
      <w:sz w:val="24"/>
      <w:szCs w:val="24"/>
      <w:lang w:val="en-US" w:eastAsia="zh-CN" w:bidi="ar-SA"/>
    </w:rPr>
  </w:style>
  <w:style w:type="character" w:customStyle="1" w:styleId="686">
    <w:name w:val="标题 3 字符"/>
    <w:qFormat/>
    <w:uiPriority w:val="0"/>
    <w:rPr>
      <w:rFonts w:eastAsia="宋体"/>
      <w:b/>
      <w:bCs/>
      <w:kern w:val="2"/>
      <w:sz w:val="32"/>
      <w:szCs w:val="32"/>
      <w:lang w:val="en-US" w:eastAsia="zh-CN" w:bidi="ar-SA"/>
    </w:rPr>
  </w:style>
  <w:style w:type="character" w:customStyle="1" w:styleId="687">
    <w:name w:val="标题 7 字符"/>
    <w:qFormat/>
    <w:locked/>
    <w:uiPriority w:val="0"/>
    <w:rPr>
      <w:rFonts w:eastAsia="仿宋_GB2312"/>
      <w:b/>
      <w:sz w:val="24"/>
      <w:szCs w:val="24"/>
    </w:rPr>
  </w:style>
  <w:style w:type="character" w:customStyle="1" w:styleId="688">
    <w:name w:val="尾注文本 字符"/>
    <w:qFormat/>
    <w:uiPriority w:val="99"/>
    <w:rPr>
      <w:sz w:val="21"/>
    </w:rPr>
  </w:style>
  <w:style w:type="character" w:customStyle="1" w:styleId="689">
    <w:name w:val="标题 8 字符"/>
    <w:qFormat/>
    <w:locked/>
    <w:uiPriority w:val="0"/>
    <w:rPr>
      <w:rFonts w:ascii="Arial" w:hAnsi="Arial" w:eastAsia="黑体"/>
      <w:bCs/>
      <w:sz w:val="24"/>
      <w:szCs w:val="24"/>
    </w:rPr>
  </w:style>
  <w:style w:type="character" w:customStyle="1" w:styleId="690">
    <w:name w:val="正文缩进 字符"/>
    <w:qFormat/>
    <w:uiPriority w:val="0"/>
    <w:rPr>
      <w:rFonts w:eastAsia="宋体"/>
      <w:kern w:val="2"/>
      <w:sz w:val="28"/>
      <w:szCs w:val="21"/>
      <w:lang w:val="en-US" w:eastAsia="zh-CN" w:bidi="ar-SA"/>
    </w:rPr>
  </w:style>
  <w:style w:type="character" w:customStyle="1" w:styleId="691">
    <w:name w:val="副标题 字符"/>
    <w:qFormat/>
    <w:uiPriority w:val="0"/>
    <w:rPr>
      <w:rFonts w:ascii="Cambria" w:hAnsi="Cambria" w:eastAsia="宋体"/>
      <w:sz w:val="21"/>
      <w:szCs w:val="24"/>
      <w:lang w:val="en-US" w:eastAsia="en-US" w:bidi="en-US"/>
    </w:rPr>
  </w:style>
  <w:style w:type="character" w:customStyle="1" w:styleId="692">
    <w:name w:val="正文文本 2 字符"/>
    <w:qFormat/>
    <w:locked/>
    <w:uiPriority w:val="99"/>
    <w:rPr>
      <w:rFonts w:eastAsia="宋体"/>
      <w:kern w:val="2"/>
      <w:sz w:val="24"/>
      <w:szCs w:val="24"/>
      <w:lang w:val="en-US" w:eastAsia="zh-CN" w:bidi="ar-SA"/>
    </w:rPr>
  </w:style>
  <w:style w:type="character" w:customStyle="1" w:styleId="693">
    <w:name w:val="正文文本缩进 2 字符"/>
    <w:qFormat/>
    <w:uiPriority w:val="0"/>
    <w:rPr>
      <w:rFonts w:eastAsia="宋体"/>
      <w:kern w:val="2"/>
      <w:sz w:val="21"/>
      <w:szCs w:val="24"/>
      <w:lang w:val="en-US" w:eastAsia="zh-CN" w:bidi="ar-SA"/>
    </w:rPr>
  </w:style>
  <w:style w:type="character" w:customStyle="1" w:styleId="694">
    <w:name w:val="z-窗体底端 字符"/>
    <w:qFormat/>
    <w:uiPriority w:val="0"/>
    <w:rPr>
      <w:rFonts w:ascii="Arial"/>
      <w:vanish/>
      <w:kern w:val="2"/>
      <w:sz w:val="16"/>
      <w:szCs w:val="24"/>
    </w:rPr>
  </w:style>
  <w:style w:type="character" w:customStyle="1" w:styleId="695">
    <w:name w:val="注释标题 字符"/>
    <w:qFormat/>
    <w:uiPriority w:val="0"/>
    <w:rPr>
      <w:rFonts w:ascii="宋体" w:eastAsia="宋体"/>
      <w:kern w:val="2"/>
      <w:sz w:val="21"/>
      <w:lang w:val="en-US" w:eastAsia="zh-CN" w:bidi="ar-SA"/>
    </w:rPr>
  </w:style>
  <w:style w:type="character" w:customStyle="1" w:styleId="696">
    <w:name w:val="标题 2 字符"/>
    <w:qFormat/>
    <w:uiPriority w:val="0"/>
    <w:rPr>
      <w:rFonts w:eastAsia="宋体"/>
      <w:b/>
      <w:bCs/>
      <w:kern w:val="2"/>
      <w:sz w:val="21"/>
      <w:szCs w:val="24"/>
      <w:lang w:val="en-US" w:eastAsia="zh-CN" w:bidi="ar-SA"/>
    </w:rPr>
  </w:style>
  <w:style w:type="character" w:customStyle="1" w:styleId="697">
    <w:name w:val="标题 字符"/>
    <w:qFormat/>
    <w:uiPriority w:val="0"/>
    <w:rPr>
      <w:rFonts w:ascii="Cambria" w:hAnsi="Cambria"/>
      <w:b/>
      <w:bCs/>
      <w:kern w:val="2"/>
      <w:sz w:val="32"/>
      <w:szCs w:val="32"/>
    </w:rPr>
  </w:style>
  <w:style w:type="character" w:customStyle="1" w:styleId="698">
    <w:name w:val="正文文本首行缩进 2 字符"/>
    <w:qFormat/>
    <w:locked/>
    <w:uiPriority w:val="0"/>
    <w:rPr>
      <w:rFonts w:eastAsia="宋体"/>
      <w:kern w:val="2"/>
      <w:sz w:val="21"/>
      <w:szCs w:val="24"/>
      <w:lang w:val="en-US" w:eastAsia="zh-CN" w:bidi="ar-SA"/>
    </w:rPr>
  </w:style>
  <w:style w:type="character" w:customStyle="1" w:styleId="699">
    <w:name w:val="标题 4 字符"/>
    <w:qFormat/>
    <w:locked/>
    <w:uiPriority w:val="0"/>
    <w:rPr>
      <w:rFonts w:ascii="Arial" w:hAnsi="Arial" w:eastAsia="黑体"/>
      <w:b/>
      <w:bCs/>
      <w:kern w:val="2"/>
      <w:sz w:val="28"/>
      <w:szCs w:val="28"/>
      <w:lang w:val="en-US" w:eastAsia="zh-CN" w:bidi="ar-SA"/>
    </w:rPr>
  </w:style>
  <w:style w:type="character" w:customStyle="1" w:styleId="700">
    <w:name w:val="标题 9 字符"/>
    <w:qFormat/>
    <w:locked/>
    <w:uiPriority w:val="0"/>
    <w:rPr>
      <w:rFonts w:ascii="Arial" w:hAnsi="Arial" w:eastAsia="黑体"/>
      <w:bCs/>
      <w:sz w:val="24"/>
      <w:szCs w:val="24"/>
    </w:rPr>
  </w:style>
  <w:style w:type="character" w:customStyle="1" w:styleId="701">
    <w:name w:val="文档结构图 字符"/>
    <w:qFormat/>
    <w:locked/>
    <w:uiPriority w:val="99"/>
    <w:rPr>
      <w:kern w:val="2"/>
      <w:sz w:val="21"/>
      <w:szCs w:val="24"/>
      <w:shd w:val="clear" w:color="auto" w:fill="000080"/>
    </w:rPr>
  </w:style>
  <w:style w:type="character" w:customStyle="1" w:styleId="702">
    <w:name w:val="正文文本缩进 3 字符"/>
    <w:qFormat/>
    <w:locked/>
    <w:uiPriority w:val="0"/>
    <w:rPr>
      <w:rFonts w:eastAsia="宋体"/>
      <w:kern w:val="2"/>
      <w:sz w:val="16"/>
      <w:szCs w:val="16"/>
      <w:lang w:val="en-US" w:eastAsia="zh-CN" w:bidi="ar-SA"/>
    </w:rPr>
  </w:style>
  <w:style w:type="character" w:customStyle="1" w:styleId="703">
    <w:name w:val="纯文本 字符"/>
    <w:qFormat/>
    <w:uiPriority w:val="0"/>
    <w:rPr>
      <w:rFonts w:ascii="宋体" w:hAnsi="Courier New" w:eastAsia="宋体" w:cs="Courier New"/>
      <w:kern w:val="2"/>
      <w:sz w:val="21"/>
      <w:szCs w:val="21"/>
      <w:lang w:val="en-US" w:eastAsia="zh-CN" w:bidi="ar-SA"/>
    </w:rPr>
  </w:style>
  <w:style w:type="character" w:customStyle="1" w:styleId="704">
    <w:name w:val="正文文本 3 字符"/>
    <w:qFormat/>
    <w:locked/>
    <w:uiPriority w:val="99"/>
    <w:rPr>
      <w:rFonts w:ascii="宋体" w:hAnsi="宋体" w:eastAsia="宋体"/>
      <w:kern w:val="2"/>
      <w:sz w:val="16"/>
      <w:szCs w:val="16"/>
      <w:lang w:val="en-US" w:eastAsia="zh-CN" w:bidi="ar-SA"/>
    </w:rPr>
  </w:style>
  <w:style w:type="character" w:customStyle="1" w:styleId="705">
    <w:name w:val="标题 6 字符"/>
    <w:qFormat/>
    <w:locked/>
    <w:uiPriority w:val="0"/>
    <w:rPr>
      <w:rFonts w:ascii="Arial" w:hAnsi="Arial" w:eastAsia="黑体"/>
      <w:b/>
      <w:sz w:val="24"/>
      <w:szCs w:val="24"/>
    </w:rPr>
  </w:style>
  <w:style w:type="character" w:customStyle="1" w:styleId="706">
    <w:name w:val="标题 5 字符"/>
    <w:qFormat/>
    <w:locked/>
    <w:uiPriority w:val="0"/>
    <w:rPr>
      <w:rFonts w:eastAsia="宋体"/>
      <w:b/>
      <w:bCs/>
      <w:kern w:val="2"/>
      <w:sz w:val="28"/>
      <w:szCs w:val="28"/>
      <w:lang w:val="en-US" w:eastAsia="zh-CN" w:bidi="ar-SA"/>
    </w:rPr>
  </w:style>
  <w:style w:type="character" w:customStyle="1" w:styleId="707">
    <w:name w:val="正文文本首行缩进 字符"/>
    <w:qFormat/>
    <w:locked/>
    <w:uiPriority w:val="99"/>
    <w:rPr>
      <w:kern w:val="2"/>
      <w:sz w:val="21"/>
      <w:szCs w:val="24"/>
    </w:rPr>
  </w:style>
  <w:style w:type="character" w:customStyle="1" w:styleId="708">
    <w:name w:val="z-窗体顶端 字符"/>
    <w:qFormat/>
    <w:uiPriority w:val="0"/>
    <w:rPr>
      <w:rFonts w:ascii="Arial"/>
      <w:vanish/>
      <w:kern w:val="2"/>
      <w:sz w:val="16"/>
      <w:szCs w:val="24"/>
    </w:rPr>
  </w:style>
  <w:style w:type="table" w:customStyle="1" w:styleId="709">
    <w:name w:val="网格型 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0">
    <w:name w:val="典雅型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1">
    <w:name w:val="网格型 5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2">
    <w:name w:val="典雅型2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3">
    <w:name w:val="典雅型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4">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5">
    <w:name w:val="标题 5 字符1"/>
    <w:qFormat/>
    <w:locked/>
    <w:uiPriority w:val="0"/>
    <w:rPr>
      <w:rFonts w:eastAsia="宋体"/>
      <w:b/>
      <w:bCs/>
      <w:kern w:val="2"/>
      <w:sz w:val="28"/>
      <w:szCs w:val="28"/>
      <w:lang w:val="en-US" w:eastAsia="zh-CN" w:bidi="ar-SA"/>
    </w:rPr>
  </w:style>
  <w:style w:type="character" w:customStyle="1" w:styleId="716">
    <w:name w:val="纯文本 字符1"/>
    <w:qFormat/>
    <w:uiPriority w:val="0"/>
    <w:rPr>
      <w:rFonts w:ascii="宋体" w:hAnsi="Courier New" w:eastAsia="宋体" w:cs="Courier New"/>
      <w:kern w:val="2"/>
      <w:sz w:val="21"/>
      <w:szCs w:val="21"/>
      <w:lang w:val="en-US" w:eastAsia="zh-CN" w:bidi="ar-SA"/>
    </w:rPr>
  </w:style>
  <w:style w:type="table" w:customStyle="1" w:styleId="717">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8">
    <w:name w:val="font141"/>
    <w:qFormat/>
    <w:uiPriority w:val="0"/>
    <w:rPr>
      <w:rFonts w:hint="default" w:ascii="Times New Roman" w:hAnsi="Times New Roman" w:cs="Times New Roman"/>
      <w:b/>
      <w:color w:val="000000"/>
      <w:sz w:val="21"/>
      <w:szCs w:val="21"/>
      <w:u w:val="none"/>
    </w:rPr>
  </w:style>
  <w:style w:type="character" w:customStyle="1" w:styleId="719">
    <w:name w:val="font91"/>
    <w:qFormat/>
    <w:uiPriority w:val="0"/>
    <w:rPr>
      <w:rFonts w:hint="eastAsia" w:ascii="宋体" w:hAnsi="宋体" w:eastAsia="宋体" w:cs="宋体"/>
      <w:color w:val="000000"/>
      <w:sz w:val="18"/>
      <w:szCs w:val="18"/>
      <w:u w:val="none"/>
    </w:rPr>
  </w:style>
  <w:style w:type="character" w:customStyle="1" w:styleId="720">
    <w:name w:val="font31"/>
    <w:qFormat/>
    <w:uiPriority w:val="0"/>
    <w:rPr>
      <w:rFonts w:hint="eastAsia" w:ascii="宋体" w:hAnsi="宋体" w:eastAsia="宋体" w:cs="宋体"/>
      <w:color w:val="000000"/>
      <w:sz w:val="21"/>
      <w:szCs w:val="21"/>
      <w:u w:val="none"/>
    </w:rPr>
  </w:style>
  <w:style w:type="character" w:customStyle="1" w:styleId="721">
    <w:name w:val="标题 1 Char Char"/>
    <w:qFormat/>
    <w:uiPriority w:val="0"/>
    <w:rPr>
      <w:rFonts w:eastAsia="宋体"/>
      <w:b/>
      <w:bCs/>
      <w:kern w:val="44"/>
      <w:sz w:val="44"/>
      <w:szCs w:val="44"/>
      <w:lang w:val="en-US" w:eastAsia="zh-CN" w:bidi="ar-SA"/>
    </w:rPr>
  </w:style>
  <w:style w:type="character" w:customStyle="1" w:styleId="722">
    <w:name w:val="font21"/>
    <w:qFormat/>
    <w:uiPriority w:val="0"/>
    <w:rPr>
      <w:rFonts w:hint="default" w:ascii="Times New Roman" w:hAnsi="Times New Roman" w:cs="Times New Roman"/>
      <w:color w:val="000000"/>
      <w:sz w:val="21"/>
      <w:szCs w:val="21"/>
      <w:u w:val="none"/>
      <w:vertAlign w:val="superscript"/>
    </w:rPr>
  </w:style>
  <w:style w:type="character" w:customStyle="1" w:styleId="723">
    <w:name w:val="font71"/>
    <w:qFormat/>
    <w:uiPriority w:val="0"/>
    <w:rPr>
      <w:rFonts w:hint="default" w:ascii="Times New Roman" w:hAnsi="Times New Roman" w:cs="Times New Roman"/>
      <w:color w:val="000000"/>
      <w:sz w:val="21"/>
      <w:szCs w:val="21"/>
      <w:u w:val="none"/>
      <w:vertAlign w:val="subscript"/>
    </w:rPr>
  </w:style>
  <w:style w:type="character" w:customStyle="1" w:styleId="724">
    <w:name w:val="font41"/>
    <w:qFormat/>
    <w:uiPriority w:val="0"/>
    <w:rPr>
      <w:rFonts w:hint="eastAsia" w:ascii="宋体" w:hAnsi="宋体" w:eastAsia="宋体" w:cs="宋体"/>
      <w:color w:val="000000"/>
      <w:sz w:val="18"/>
      <w:szCs w:val="18"/>
      <w:u w:val="none"/>
    </w:rPr>
  </w:style>
  <w:style w:type="character" w:customStyle="1" w:styleId="725">
    <w:name w:val="font51"/>
    <w:qFormat/>
    <w:uiPriority w:val="0"/>
    <w:rPr>
      <w:rFonts w:hint="default" w:ascii="Times New Roman" w:hAnsi="Times New Roman" w:cs="Times New Roman"/>
      <w:color w:val="000000"/>
      <w:sz w:val="21"/>
      <w:szCs w:val="21"/>
      <w:u w:val="none"/>
    </w:rPr>
  </w:style>
  <w:style w:type="character" w:customStyle="1" w:styleId="726">
    <w:name w:val="font101"/>
    <w:qFormat/>
    <w:uiPriority w:val="0"/>
    <w:rPr>
      <w:rFonts w:hint="default" w:ascii="Times New Roman" w:hAnsi="Times New Roman" w:cs="Times New Roman"/>
      <w:color w:val="000000"/>
      <w:sz w:val="18"/>
      <w:szCs w:val="18"/>
      <w:u w:val="none"/>
    </w:rPr>
  </w:style>
  <w:style w:type="character" w:customStyle="1" w:styleId="727">
    <w:name w:val="font131"/>
    <w:qFormat/>
    <w:uiPriority w:val="0"/>
    <w:rPr>
      <w:rFonts w:hint="eastAsia" w:ascii="宋体" w:hAnsi="宋体" w:eastAsia="宋体" w:cs="宋体"/>
      <w:b/>
      <w:color w:val="000000"/>
      <w:sz w:val="21"/>
      <w:szCs w:val="21"/>
      <w:u w:val="none"/>
    </w:rPr>
  </w:style>
  <w:style w:type="character" w:customStyle="1" w:styleId="728">
    <w:name w:val="2号标题 Char Char"/>
    <w:qFormat/>
    <w:uiPriority w:val="0"/>
    <w:rPr>
      <w:rFonts w:ascii="Arial" w:hAnsi="Arial" w:eastAsia="宋体"/>
      <w:b/>
      <w:bCs/>
      <w:kern w:val="2"/>
      <w:sz w:val="28"/>
      <w:szCs w:val="32"/>
      <w:lang w:val="en-US" w:eastAsia="zh-CN" w:bidi="ar-SA"/>
    </w:rPr>
  </w:style>
  <w:style w:type="character" w:customStyle="1" w:styleId="729">
    <w:name w:val="标题 3 Char Char Char Char Char Char"/>
    <w:qFormat/>
    <w:uiPriority w:val="0"/>
    <w:rPr>
      <w:rFonts w:eastAsia="宋体"/>
      <w:b/>
      <w:bCs/>
      <w:kern w:val="2"/>
      <w:sz w:val="32"/>
      <w:szCs w:val="32"/>
      <w:lang w:val="en-US" w:eastAsia="zh-CN" w:bidi="ar-SA"/>
    </w:rPr>
  </w:style>
  <w:style w:type="character" w:customStyle="1" w:styleId="730">
    <w:name w:val="font121"/>
    <w:qFormat/>
    <w:uiPriority w:val="0"/>
    <w:rPr>
      <w:rFonts w:hint="eastAsia" w:ascii="宋体" w:hAnsi="宋体" w:eastAsia="宋体" w:cs="宋体"/>
      <w:color w:val="000000"/>
      <w:sz w:val="21"/>
      <w:szCs w:val="21"/>
      <w:u w:val="none"/>
    </w:rPr>
  </w:style>
  <w:style w:type="character" w:customStyle="1" w:styleId="731">
    <w:name w:val="font11"/>
    <w:qFormat/>
    <w:uiPriority w:val="0"/>
    <w:rPr>
      <w:rFonts w:hint="default" w:ascii="Times New Roman" w:hAnsi="Times New Roman" w:cs="Times New Roman"/>
      <w:color w:val="000000"/>
      <w:sz w:val="21"/>
      <w:szCs w:val="21"/>
      <w:u w:val="none"/>
      <w:vertAlign w:val="subscript"/>
    </w:rPr>
  </w:style>
  <w:style w:type="paragraph" w:customStyle="1" w:styleId="732">
    <w:name w:val="WPSOffice手动目录 1"/>
    <w:qFormat/>
    <w:uiPriority w:val="0"/>
    <w:rPr>
      <w:rFonts w:ascii="Times New Roman" w:hAnsi="Times New Roman" w:eastAsia="宋体" w:cs="Times New Roman"/>
      <w:lang w:val="en-US" w:eastAsia="zh-CN" w:bidi="ar-SA"/>
    </w:rPr>
  </w:style>
  <w:style w:type="paragraph" w:customStyle="1" w:styleId="733">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4">
    <w:name w:val="正文 首行缩进:  2 字符"/>
    <w:basedOn w:val="1"/>
    <w:qFormat/>
    <w:uiPriority w:val="0"/>
    <w:pPr>
      <w:ind w:firstLine="579" w:firstLineChars="200"/>
    </w:pPr>
    <w:rPr>
      <w:rFonts w:cs="宋体"/>
      <w:szCs w:val="20"/>
    </w:rPr>
  </w:style>
  <w:style w:type="paragraph" w:customStyle="1" w:styleId="735">
    <w:name w:val="默认 A"/>
    <w:qFormat/>
    <w:uiPriority w:val="0"/>
    <w:rPr>
      <w:rFonts w:ascii="Helvetica" w:hAnsi="Helvetica" w:eastAsia="Arial Unicode MS" w:cs="Arial Unicode MS"/>
      <w:color w:val="000000"/>
      <w:sz w:val="22"/>
      <w:szCs w:val="22"/>
      <w:lang w:val="en-US" w:eastAsia="zh-CN" w:bidi="ar-SA"/>
    </w:rPr>
  </w:style>
  <w:style w:type="paragraph" w:customStyle="1" w:styleId="736">
    <w:name w:val="正文王"/>
    <w:basedOn w:val="31"/>
    <w:qFormat/>
    <w:uiPriority w:val="0"/>
    <w:pPr>
      <w:spacing w:line="440" w:lineRule="exact"/>
    </w:pPr>
    <w:rPr>
      <w:rFonts w:ascii="Arial" w:hAnsi="Arial"/>
      <w:sz w:val="24"/>
    </w:rPr>
  </w:style>
  <w:style w:type="paragraph" w:customStyle="1" w:styleId="737">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8">
    <w:name w:val="一级目录 1"/>
    <w:basedOn w:val="1"/>
    <w:qFormat/>
    <w:uiPriority w:val="0"/>
    <w:pPr>
      <w:jc w:val="center"/>
    </w:pPr>
    <w:rPr>
      <w:rFonts w:eastAsia="黑体"/>
      <w:b/>
      <w:sz w:val="36"/>
      <w:szCs w:val="36"/>
    </w:rPr>
  </w:style>
  <w:style w:type="paragraph" w:customStyle="1" w:styleId="739">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0">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1">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2">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3">
    <w:name w:val="33333333"/>
    <w:basedOn w:val="1"/>
    <w:qFormat/>
    <w:uiPriority w:val="0"/>
    <w:pPr>
      <w:spacing w:line="500" w:lineRule="exact"/>
    </w:pPr>
    <w:rPr>
      <w:sz w:val="28"/>
      <w:szCs w:val="28"/>
    </w:rPr>
  </w:style>
  <w:style w:type="paragraph" w:customStyle="1" w:styleId="744">
    <w:name w:val="表内格式"/>
    <w:basedOn w:val="1"/>
    <w:qFormat/>
    <w:uiPriority w:val="0"/>
    <w:pPr>
      <w:jc w:val="center"/>
    </w:pPr>
    <w:rPr>
      <w:sz w:val="18"/>
    </w:rPr>
  </w:style>
  <w:style w:type="paragraph" w:customStyle="1" w:styleId="745">
    <w:name w:val="_Style 158"/>
    <w:basedOn w:val="1"/>
    <w:next w:val="1"/>
    <w:qFormat/>
    <w:uiPriority w:val="0"/>
    <w:rPr>
      <w:sz w:val="24"/>
    </w:rPr>
  </w:style>
  <w:style w:type="paragraph" w:customStyle="1" w:styleId="746">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4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8">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49">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0">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1">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2">
    <w:name w:val="表内小410"/>
    <w:basedOn w:val="1"/>
    <w:qFormat/>
    <w:uiPriority w:val="0"/>
    <w:pPr>
      <w:adjustRightInd w:val="0"/>
      <w:snapToGrid w:val="0"/>
      <w:ind w:left="240" w:hanging="240"/>
    </w:pPr>
    <w:rPr>
      <w:rFonts w:ascii="宋体" w:hAnsi="Times"/>
      <w:sz w:val="24"/>
      <w:szCs w:val="20"/>
    </w:rPr>
  </w:style>
  <w:style w:type="paragraph" w:customStyle="1" w:styleId="753">
    <w:name w:val="表头样式1"/>
    <w:basedOn w:val="1"/>
    <w:qFormat/>
    <w:uiPriority w:val="0"/>
    <w:pPr>
      <w:spacing w:before="156" w:beforeLines="50"/>
      <w:jc w:val="center"/>
    </w:pPr>
    <w:rPr>
      <w:rFonts w:eastAsia="黑体"/>
      <w:b/>
      <w:kern w:val="0"/>
      <w:sz w:val="24"/>
      <w:szCs w:val="20"/>
    </w:rPr>
  </w:style>
  <w:style w:type="paragraph" w:customStyle="1" w:styleId="754">
    <w:name w:val="3级标题"/>
    <w:basedOn w:val="5"/>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5">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6">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7">
    <w:name w:val="标题3"/>
    <w:qFormat/>
    <w:uiPriority w:val="0"/>
  </w:style>
  <w:style w:type="table" w:customStyle="1" w:styleId="758">
    <w:name w:val="表格主题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9">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0">
    <w:name w:val="网格型 5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1">
    <w:name w:val="典雅型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2">
    <w:name w:val="网格型 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3">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4">
    <w:name w:val="左右无边框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765">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6">
    <w:name w:val="无左右边框型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7">
    <w:name w:val="典雅型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8">
    <w:name w:val="左右无边表格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769">
    <w:name w:val="典雅型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0">
    <w:name w:val="网格型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1">
    <w:name w:val="网格型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2">
    <w:name w:val="网格型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3">
    <w:name w:val="网格型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4">
    <w:name w:val="网格型5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75">
    <w:name w:val="Char31"/>
    <w:basedOn w:val="1"/>
    <w:qFormat/>
    <w:uiPriority w:val="0"/>
    <w:rPr>
      <w:sz w:val="24"/>
    </w:rPr>
  </w:style>
  <w:style w:type="paragraph" w:customStyle="1" w:styleId="776">
    <w:name w:val="纯文本4"/>
    <w:basedOn w:val="1"/>
    <w:qFormat/>
    <w:uiPriority w:val="0"/>
    <w:pPr>
      <w:adjustRightInd w:val="0"/>
      <w:textAlignment w:val="baseline"/>
    </w:pPr>
    <w:rPr>
      <w:rFonts w:ascii="宋体" w:hAnsi="Courier New" w:eastAsia="仿宋_GB2312"/>
      <w:sz w:val="28"/>
      <w:szCs w:val="28"/>
    </w:rPr>
  </w:style>
  <w:style w:type="paragraph" w:customStyle="1" w:styleId="777">
    <w:name w:val="Char Char Char3"/>
    <w:basedOn w:val="1"/>
    <w:qFormat/>
    <w:uiPriority w:val="0"/>
    <w:pPr>
      <w:spacing w:line="360" w:lineRule="auto"/>
    </w:pPr>
    <w:rPr>
      <w:rFonts w:ascii="Tahoma" w:hAnsi="Tahoma"/>
      <w:sz w:val="24"/>
      <w:szCs w:val="20"/>
    </w:rPr>
  </w:style>
  <w:style w:type="paragraph" w:customStyle="1" w:styleId="778">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79">
    <w:name w:val="Char Char Char Char Char Char Char3"/>
    <w:basedOn w:val="1"/>
    <w:qFormat/>
    <w:uiPriority w:val="0"/>
    <w:rPr>
      <w:sz w:val="24"/>
    </w:rPr>
  </w:style>
  <w:style w:type="paragraph" w:customStyle="1" w:styleId="780">
    <w:name w:val="Char13"/>
    <w:basedOn w:val="1"/>
    <w:qFormat/>
    <w:uiPriority w:val="0"/>
    <w:pPr>
      <w:widowControl/>
      <w:spacing w:line="360" w:lineRule="auto"/>
      <w:ind w:firstLine="200" w:firstLineChars="200"/>
      <w:jc w:val="left"/>
    </w:pPr>
    <w:rPr>
      <w:kern w:val="0"/>
      <w:sz w:val="24"/>
      <w:szCs w:val="20"/>
    </w:rPr>
  </w:style>
  <w:style w:type="paragraph" w:customStyle="1" w:styleId="781">
    <w:name w:val="日期3"/>
    <w:basedOn w:val="1"/>
    <w:next w:val="1"/>
    <w:qFormat/>
    <w:uiPriority w:val="0"/>
    <w:pPr>
      <w:adjustRightInd w:val="0"/>
      <w:textAlignment w:val="baseline"/>
    </w:pPr>
    <w:rPr>
      <w:sz w:val="28"/>
      <w:szCs w:val="20"/>
    </w:rPr>
  </w:style>
  <w:style w:type="table" w:customStyle="1" w:styleId="782">
    <w:name w:val="网格型6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3">
    <w:name w:val="网格型7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4">
    <w:name w:val="网格型8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5">
    <w:name w:val="网格型9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6">
    <w:name w:val="网格型 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7">
    <w:name w:val="典雅型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8">
    <w:name w:val="网格型 5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9">
    <w:name w:val="典雅型2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0">
    <w:name w:val="典雅型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1">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2">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3">
    <w:name w:val="表格主题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4">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5">
    <w:name w:val="网格型 5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6">
    <w:name w:val="典雅型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7">
    <w:name w:val="网格型 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8">
    <w:name w:val="网格型4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9">
    <w:name w:val="左右无边框3"/>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00">
    <w:name w:val="网格型3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1">
    <w:name w:val="无左右边框型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2">
    <w:name w:val="典雅型2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3">
    <w:name w:val="左右无边表格3"/>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04">
    <w:name w:val="典雅型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5">
    <w:name w:val="网格型23"/>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6">
    <w:name w:val="网格型1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7">
    <w:name w:val="网格型12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8">
    <w:name w:val="网格型13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9">
    <w:name w:val="网格型53"/>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0">
    <w:name w:val="网格型63"/>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1">
    <w:name w:val="网格型7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2">
    <w:name w:val="网格型8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3">
    <w:name w:val="网格型9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4">
    <w:name w:val="网格型 1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5">
    <w:name w:val="典雅型3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6">
    <w:name w:val="网格型 51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7">
    <w:name w:val="典雅型2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8">
    <w:name w:val="典雅型1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9">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0">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1">
    <w:name w:val="TOC Heading"/>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2">
    <w:name w:val="网格型 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3">
    <w:name w:val="网格型-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4">
    <w:name w:val="表格主题5"/>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5">
    <w:name w:val="ylf1"/>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26">
    <w:name w:val="表格主题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7">
    <w:name w:val="网格型-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8">
    <w:name w:val="网格型 54"/>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9">
    <w:name w:val="典雅型6"/>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0">
    <w:name w:val="网格型 1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1">
    <w:name w:val="网格型4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2">
    <w:name w:val="左右无边框4"/>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33">
    <w:name w:val="网格型3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4">
    <w:name w:val="无左右边框型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5">
    <w:name w:val="典雅型2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6">
    <w:name w:val="左右无边表格4"/>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37">
    <w:name w:val="典雅型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8">
    <w:name w:val="网格型24"/>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9">
    <w:name w:val="网格型11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0">
    <w:name w:val="网格型12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1">
    <w:name w:val="网格型13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2">
    <w:name w:val="网格型54"/>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3">
    <w:name w:val="网格型64"/>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4">
    <w:name w:val="表格主题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5">
    <w:name w:val="网格型-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6">
    <w:name w:val="网格型 514"/>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7">
    <w:name w:val="典雅型3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8">
    <w:name w:val="网格型 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9">
    <w:name w:val="网格型4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0">
    <w:name w:val="左右无边框1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51">
    <w:name w:val="网格型3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2">
    <w:name w:val="无左右边框型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3">
    <w:name w:val="典雅型2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4">
    <w:name w:val="左右无边表格1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55">
    <w:name w:val="典雅型1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6">
    <w:name w:val="网格型21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7">
    <w:name w:val="网格型1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8">
    <w:name w:val="网格型12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9">
    <w:name w:val="网格型13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0">
    <w:name w:val="网格型51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1">
    <w:name w:val="网格型61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2">
    <w:name w:val="网格型7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3">
    <w:name w:val="网格型83"/>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4">
    <w:name w:val="网格型93"/>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5">
    <w:name w:val="网格型 1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6">
    <w:name w:val="典雅型3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7">
    <w:name w:val="网格型 51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8">
    <w:name w:val="典雅型2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9">
    <w:name w:val="典雅型1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0">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1">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2">
    <w:name w:val="表格主题3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3">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4">
    <w:name w:val="网格型 5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5">
    <w:name w:val="典雅型4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6">
    <w:name w:val="网格型 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7">
    <w:name w:val="网格型4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8">
    <w:name w:val="左右无边框2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79">
    <w:name w:val="网格型3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0">
    <w:name w:val="无左右边框型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1">
    <w:name w:val="典雅型2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2">
    <w:name w:val="左右无边表格2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83">
    <w:name w:val="典雅型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4">
    <w:name w:val="网格型2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5">
    <w:name w:val="网格型1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6">
    <w:name w:val="网格型12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7">
    <w:name w:val="网格型13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8">
    <w:name w:val="网格型52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9">
    <w:name w:val="网格型62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0">
    <w:name w:val="网格型7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1">
    <w:name w:val="网格型81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2">
    <w:name w:val="网格型91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3">
    <w:name w:val="网格型 1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4">
    <w:name w:val="典雅型3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5">
    <w:name w:val="网格型 51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6">
    <w:name w:val="典雅型2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7">
    <w:name w:val="典雅型1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8">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99">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0">
    <w:name w:val="表格主题4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1">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2">
    <w:name w:val="网格型 5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3">
    <w:name w:val="典雅型5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4">
    <w:name w:val="网格型 14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5">
    <w:name w:val="网格型4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6">
    <w:name w:val="左右无边框3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07">
    <w:name w:val="网格型3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8">
    <w:name w:val="无左右边框型3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9">
    <w:name w:val="典雅型2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0">
    <w:name w:val="左右无边表格3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11">
    <w:name w:val="典雅型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2">
    <w:name w:val="网格型23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3">
    <w:name w:val="网格型1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4">
    <w:name w:val="网格型12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5">
    <w:name w:val="网格型13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6">
    <w:name w:val="网格型53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7">
    <w:name w:val="网格型63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8">
    <w:name w:val="网格型7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9">
    <w:name w:val="网格型82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0">
    <w:name w:val="网格型92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1">
    <w:name w:val="网格型 1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2">
    <w:name w:val="典雅型3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3">
    <w:name w:val="网格型 51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4">
    <w:name w:val="典雅型2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5">
    <w:name w:val="典雅型1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6">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7">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8">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29">
    <w:name w:val="网格型 16"/>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0">
    <w:name w:val="网格型-6"/>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1">
    <w:name w:val="表格主题6"/>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2">
    <w:name w:val="ylf2"/>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33">
    <w:name w:val="表格主题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4">
    <w:name w:val="网格型-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5">
    <w:name w:val="网格型 5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6">
    <w:name w:val="典雅型7"/>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7">
    <w:name w:val="网格型 1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8">
    <w:name w:val="网格型4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9">
    <w:name w:val="左右无边框5"/>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40">
    <w:name w:val="网格型3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1">
    <w:name w:val="无左右边框型5"/>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2">
    <w:name w:val="典雅型2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3">
    <w:name w:val="左右无边表格5"/>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44">
    <w:name w:val="典雅型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5">
    <w:name w:val="网格型25"/>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6">
    <w:name w:val="网格型11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7">
    <w:name w:val="网格型12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8">
    <w:name w:val="网格型13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9">
    <w:name w:val="网格型5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0">
    <w:name w:val="网格型65"/>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1">
    <w:name w:val="表格主题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2">
    <w:name w:val="网格型-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3">
    <w:name w:val="网格型 515"/>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4">
    <w:name w:val="典雅型3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5">
    <w:name w:val="网格型 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6">
    <w:name w:val="网格型4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7">
    <w:name w:val="左右无边框1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58">
    <w:name w:val="网格型3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9">
    <w:name w:val="无左右边框型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0">
    <w:name w:val="典雅型2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1">
    <w:name w:val="左右无边表格1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62">
    <w:name w:val="典雅型1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3">
    <w:name w:val="网格型21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4">
    <w:name w:val="网格型1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5">
    <w:name w:val="网格型12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6">
    <w:name w:val="网格型13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7">
    <w:name w:val="网格型51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8">
    <w:name w:val="网格型61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9">
    <w:name w:val="网格型7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0">
    <w:name w:val="网格型84"/>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1">
    <w:name w:val="网格型94"/>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2">
    <w:name w:val="网格型 1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3">
    <w:name w:val="典雅型3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4">
    <w:name w:val="网格型 51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5">
    <w:name w:val="典雅型2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6">
    <w:name w:val="典雅型1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7">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8">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79">
    <w:name w:val="表格主题3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0">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1">
    <w:name w:val="网格型 5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2">
    <w:name w:val="典雅型4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3">
    <w:name w:val="网格型 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4">
    <w:name w:val="网格型4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5">
    <w:name w:val="左右无边框2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86">
    <w:name w:val="网格型3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7">
    <w:name w:val="无左右边框型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8">
    <w:name w:val="典雅型2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9">
    <w:name w:val="左右无边表格2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90">
    <w:name w:val="典雅型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1">
    <w:name w:val="网格型2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2">
    <w:name w:val="网格型1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3">
    <w:name w:val="网格型12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网格型13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5">
    <w:name w:val="网格型52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6">
    <w:name w:val="网格型62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7">
    <w:name w:val="网格型7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8">
    <w:name w:val="网格型81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9">
    <w:name w:val="网格型91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0">
    <w:name w:val="网格型 1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1">
    <w:name w:val="典雅型3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2">
    <w:name w:val="网格型 51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3">
    <w:name w:val="典雅型2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4">
    <w:name w:val="典雅型1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5">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6">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7">
    <w:name w:val="表格主题4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8">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9">
    <w:name w:val="网格型 5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0">
    <w:name w:val="典雅型5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1">
    <w:name w:val="网格型 14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2">
    <w:name w:val="网格型4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3">
    <w:name w:val="左右无边框3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14">
    <w:name w:val="网格型3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5">
    <w:name w:val="无左右边框型3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6">
    <w:name w:val="典雅型2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7">
    <w:name w:val="左右无边表格3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1018">
    <w:name w:val="典雅型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9">
    <w:name w:val="网格型23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0">
    <w:name w:val="网格型1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1">
    <w:name w:val="网格型12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网格型13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网格型53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4">
    <w:name w:val="网格型63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5">
    <w:name w:val="网格型7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6">
    <w:name w:val="网格型82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7">
    <w:name w:val="网格型92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8">
    <w:name w:val="网格型 1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29">
    <w:name w:val="典雅型3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0">
    <w:name w:val="网格型 51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1">
    <w:name w:val="典雅型2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2">
    <w:name w:val="典雅型1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3">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4">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5">
    <w:name w:val="网格型-7"/>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36">
    <w:name w:val="正文+宋体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37">
    <w:name w:val="ylf3"/>
    <w:basedOn w:val="60"/>
    <w:qFormat/>
    <w:uiPriority w:val="0"/>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tcPr>
      <w:vAlign w:val="center"/>
    </w:tcPr>
  </w:style>
  <w:style w:type="table" w:customStyle="1" w:styleId="1038">
    <w:name w:val="表格主题7"/>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39">
    <w:name w:val="Char Char Char1 Char Char Char2"/>
    <w:basedOn w:val="1"/>
    <w:qFormat/>
    <w:uiPriority w:val="0"/>
    <w:rPr>
      <w:rFonts w:ascii="Courier New" w:hAnsi="Courier New" w:eastAsia="仿宋" w:cs="Courier New"/>
      <w:sz w:val="24"/>
    </w:rPr>
  </w:style>
  <w:style w:type="paragraph" w:customStyle="1" w:styleId="1040">
    <w:name w:val="Char Char Char1 Char Char Char6"/>
    <w:basedOn w:val="1"/>
    <w:qFormat/>
    <w:uiPriority w:val="0"/>
    <w:rPr>
      <w:rFonts w:ascii="Courier New" w:hAnsi="Courier New" w:eastAsia="仿宋" w:cs="Courier New"/>
      <w:sz w:val="24"/>
    </w:rPr>
  </w:style>
  <w:style w:type="character" w:customStyle="1" w:styleId="1041">
    <w:name w:val="正文1 Char1"/>
    <w:qFormat/>
    <w:uiPriority w:val="0"/>
    <w:rPr>
      <w:rFonts w:eastAsia="楷体_GB2312"/>
      <w:sz w:val="32"/>
    </w:rPr>
  </w:style>
  <w:style w:type="paragraph" w:customStyle="1" w:styleId="1042">
    <w:name w:val="Char Char Char1 Char Char Char5"/>
    <w:basedOn w:val="1"/>
    <w:qFormat/>
    <w:uiPriority w:val="0"/>
    <w:rPr>
      <w:rFonts w:ascii="Courier New" w:hAnsi="Courier New" w:eastAsia="仿宋" w:cs="Courier New"/>
      <w:sz w:val="24"/>
    </w:rPr>
  </w:style>
  <w:style w:type="paragraph" w:customStyle="1" w:styleId="1043">
    <w:name w:val="Char Char Char1 Char Char Char4"/>
    <w:basedOn w:val="1"/>
    <w:qFormat/>
    <w:uiPriority w:val="0"/>
    <w:rPr>
      <w:rFonts w:ascii="Courier New" w:hAnsi="Courier New" w:eastAsia="仿宋" w:cs="Courier New"/>
      <w:sz w:val="24"/>
    </w:rPr>
  </w:style>
  <w:style w:type="paragraph" w:customStyle="1" w:styleId="1044">
    <w:name w:val="Char Char Char1 Char Char Char3"/>
    <w:basedOn w:val="1"/>
    <w:qFormat/>
    <w:uiPriority w:val="0"/>
    <w:rPr>
      <w:rFonts w:ascii="Courier New" w:hAnsi="Courier New" w:eastAsia="仿宋" w:cs="Courier New"/>
      <w:sz w:val="24"/>
    </w:rPr>
  </w:style>
  <w:style w:type="paragraph" w:customStyle="1" w:styleId="1045">
    <w:name w:val="样式 标题 3标题 3 Char标题 3 Char Char Char Char Char Char Char Char C..."/>
    <w:basedOn w:val="5"/>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eastAsia="zh-CN"/>
    </w:rPr>
  </w:style>
  <w:style w:type="paragraph" w:customStyle="1" w:styleId="1046">
    <w:name w:val="样式35"/>
    <w:basedOn w:val="1"/>
    <w:qFormat/>
    <w:uiPriority w:val="0"/>
    <w:pPr>
      <w:adjustRightInd w:val="0"/>
      <w:spacing w:line="312" w:lineRule="auto"/>
      <w:ind w:firstLine="567"/>
    </w:pPr>
    <w:rPr>
      <w:rFonts w:ascii="宋体"/>
      <w:kern w:val="0"/>
      <w:sz w:val="28"/>
      <w:szCs w:val="20"/>
    </w:rPr>
  </w:style>
  <w:style w:type="paragraph" w:customStyle="1" w:styleId="1047">
    <w:name w:val="dandan6-13正文 Char Char Char Char Char1 Char Char Char Char"/>
    <w:basedOn w:val="1"/>
    <w:next w:val="1"/>
    <w:autoRedefine/>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48">
    <w:name w:val="页眉 Char1"/>
    <w:qFormat/>
    <w:locked/>
    <w:uiPriority w:val="99"/>
    <w:rPr>
      <w:sz w:val="18"/>
    </w:rPr>
  </w:style>
  <w:style w:type="character" w:customStyle="1" w:styleId="1049">
    <w:name w:val="普通(网站) Char1"/>
    <w:qFormat/>
    <w:locked/>
    <w:uiPriority w:val="0"/>
    <w:rPr>
      <w:rFonts w:ascii="宋体" w:hAnsi="宋体" w:eastAsia="宋体"/>
      <w:sz w:val="24"/>
    </w:rPr>
  </w:style>
  <w:style w:type="character" w:customStyle="1" w:styleId="1050">
    <w:name w:val="正文文本缩进 Char2"/>
    <w:qFormat/>
    <w:locked/>
    <w:uiPriority w:val="0"/>
    <w:rPr>
      <w:rFonts w:ascii="Times New Roman" w:hAnsi="Times New Roman" w:eastAsia="宋体"/>
      <w:sz w:val="24"/>
    </w:rPr>
  </w:style>
  <w:style w:type="character" w:customStyle="1" w:styleId="1051">
    <w:name w:val="页脚 Char2"/>
    <w:qFormat/>
    <w:locked/>
    <w:uiPriority w:val="99"/>
    <w:rPr>
      <w:sz w:val="18"/>
    </w:rPr>
  </w:style>
  <w:style w:type="character" w:customStyle="1" w:styleId="1052">
    <w:name w:val="批注主题 Char1"/>
    <w:qFormat/>
    <w:locked/>
    <w:uiPriority w:val="99"/>
    <w:rPr>
      <w:rFonts w:ascii="Times New Roman" w:hAnsi="Times New Roman" w:eastAsia="宋体"/>
      <w:b/>
      <w:kern w:val="2"/>
      <w:sz w:val="24"/>
    </w:rPr>
  </w:style>
  <w:style w:type="character" w:customStyle="1" w:styleId="1053">
    <w:name w:val="日期 Char1"/>
    <w:qFormat/>
    <w:locked/>
    <w:uiPriority w:val="0"/>
    <w:rPr>
      <w:rFonts w:ascii="Times New Roman" w:hAnsi="Times New Roman" w:eastAsia="宋体"/>
      <w:sz w:val="24"/>
    </w:rPr>
  </w:style>
  <w:style w:type="character" w:customStyle="1" w:styleId="1054">
    <w:name w:val="批注文字 Char2"/>
    <w:qFormat/>
    <w:locked/>
    <w:uiPriority w:val="99"/>
    <w:rPr>
      <w:rFonts w:ascii="Times New Roman" w:hAnsi="Times New Roman" w:eastAsia="宋体"/>
      <w:sz w:val="24"/>
    </w:rPr>
  </w:style>
  <w:style w:type="character" w:customStyle="1" w:styleId="1055">
    <w:name w:val="正文文本 Char2"/>
    <w:qFormat/>
    <w:locked/>
    <w:uiPriority w:val="0"/>
    <w:rPr>
      <w:sz w:val="18"/>
    </w:rPr>
  </w:style>
  <w:style w:type="character" w:customStyle="1" w:styleId="1056">
    <w:name w:val="批注框文本 Char2"/>
    <w:qFormat/>
    <w:locked/>
    <w:uiPriority w:val="99"/>
    <w:rPr>
      <w:rFonts w:ascii="Times New Roman" w:hAnsi="Times New Roman" w:eastAsia="宋体"/>
      <w:sz w:val="18"/>
    </w:rPr>
  </w:style>
  <w:style w:type="table" w:customStyle="1" w:styleId="1057">
    <w:name w:val="左右无边框6"/>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58">
    <w:name w:val="无左右边框型6"/>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59">
    <w:name w:val="书籍标题1"/>
    <w:qFormat/>
    <w:uiPriority w:val="33"/>
    <w:rPr>
      <w:b/>
      <w:bCs/>
      <w:smallCaps/>
      <w:spacing w:val="5"/>
    </w:rPr>
  </w:style>
  <w:style w:type="paragraph" w:customStyle="1" w:styleId="1060">
    <w:name w:val="z-窗体底端1"/>
    <w:basedOn w:val="1"/>
    <w:next w:val="1"/>
    <w:qFormat/>
    <w:uiPriority w:val="0"/>
    <w:pPr>
      <w:pBdr>
        <w:top w:val="single" w:color="auto" w:sz="6" w:space="1"/>
      </w:pBdr>
      <w:jc w:val="center"/>
    </w:pPr>
    <w:rPr>
      <w:rFonts w:ascii="Arial"/>
      <w:vanish/>
      <w:sz w:val="16"/>
    </w:rPr>
  </w:style>
  <w:style w:type="paragraph" w:customStyle="1" w:styleId="1061">
    <w:name w:val="z-窗体顶端1"/>
    <w:basedOn w:val="1"/>
    <w:next w:val="1"/>
    <w:qFormat/>
    <w:uiPriority w:val="0"/>
    <w:pPr>
      <w:pBdr>
        <w:bottom w:val="single" w:color="auto" w:sz="6" w:space="1"/>
      </w:pBdr>
      <w:jc w:val="center"/>
    </w:pPr>
    <w:rPr>
      <w:rFonts w:ascii="Arial"/>
      <w:vanish/>
      <w:sz w:val="16"/>
    </w:rPr>
  </w:style>
  <w:style w:type="table" w:customStyle="1" w:styleId="1062">
    <w:name w:val="左右无边框13"/>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3">
    <w:name w:val="无左右边框型1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64">
    <w:name w:val="左右无边框23"/>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5">
    <w:name w:val="无左右边框型2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66">
    <w:name w:val="左右无边框33"/>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7">
    <w:name w:val="无左右边框型3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68">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69">
    <w:name w:val="左右无边框4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0">
    <w:name w:val="无左右边框型4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1">
    <w:name w:val="左右无边框11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2">
    <w:name w:val="无左右边框型1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3">
    <w:name w:val="左右无边框21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4">
    <w:name w:val="无左右边框型2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5">
    <w:name w:val="左右无边框31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6">
    <w:name w:val="无左右边框型3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7">
    <w:name w:val="左右无边框5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8">
    <w:name w:val="无左右边框型5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9">
    <w:name w:val="左右无边框12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0">
    <w:name w:val="无左右边框型1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81">
    <w:name w:val="左右无边框22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2">
    <w:name w:val="无左右边框型2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83">
    <w:name w:val="左右无边框32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4">
    <w:name w:val="无左右边框型3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85">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86">
    <w:name w:val="ref"/>
    <w:basedOn w:val="64"/>
    <w:qFormat/>
    <w:uiPriority w:val="0"/>
  </w:style>
  <w:style w:type="paragraph" w:customStyle="1" w:styleId="1087">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088">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1089">
    <w:name w:val="正文_21"/>
    <w:qFormat/>
    <w:uiPriority w:val="0"/>
    <w:pPr>
      <w:widowControl w:val="0"/>
      <w:jc w:val="both"/>
    </w:pPr>
    <w:rPr>
      <w:rFonts w:ascii="Calibri" w:hAnsi="Calibri" w:eastAsia="宋体" w:cs="Times New Roman"/>
      <w:kern w:val="2"/>
      <w:sz w:val="21"/>
      <w:lang w:val="en-US" w:eastAsia="zh-CN" w:bidi="ar-SA"/>
    </w:rPr>
  </w:style>
  <w:style w:type="paragraph" w:customStyle="1" w:styleId="1090">
    <w:name w:val="正文_28"/>
    <w:qFormat/>
    <w:uiPriority w:val="0"/>
    <w:pPr>
      <w:widowControl w:val="0"/>
      <w:jc w:val="both"/>
    </w:pPr>
    <w:rPr>
      <w:rFonts w:ascii="Calibri" w:hAnsi="Calibri" w:eastAsia="宋体" w:cs="Times New Roman"/>
      <w:kern w:val="2"/>
      <w:sz w:val="21"/>
      <w:lang w:val="en-US" w:eastAsia="zh-CN" w:bidi="ar-SA"/>
    </w:rPr>
  </w:style>
  <w:style w:type="paragraph" w:customStyle="1" w:styleId="1091">
    <w:name w:val="正文_20"/>
    <w:qFormat/>
    <w:uiPriority w:val="0"/>
    <w:pPr>
      <w:widowControl w:val="0"/>
      <w:jc w:val="both"/>
    </w:pPr>
    <w:rPr>
      <w:rFonts w:ascii="Calibri" w:hAnsi="Calibri" w:eastAsia="宋体" w:cs="Times New Roman"/>
      <w:kern w:val="2"/>
      <w:sz w:val="21"/>
      <w:lang w:val="en-US" w:eastAsia="zh-CN" w:bidi="ar-SA"/>
    </w:rPr>
  </w:style>
  <w:style w:type="paragraph" w:customStyle="1" w:styleId="1092">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1093">
    <w:name w:val="正文_23"/>
    <w:qFormat/>
    <w:uiPriority w:val="0"/>
    <w:pPr>
      <w:widowControl w:val="0"/>
      <w:jc w:val="both"/>
    </w:pPr>
    <w:rPr>
      <w:rFonts w:ascii="Calibri" w:hAnsi="Calibri" w:eastAsia="宋体" w:cs="Times New Roman"/>
      <w:kern w:val="2"/>
      <w:sz w:val="21"/>
      <w:lang w:val="en-US" w:eastAsia="zh-CN" w:bidi="ar-SA"/>
    </w:rPr>
  </w:style>
  <w:style w:type="paragraph" w:customStyle="1" w:styleId="1094">
    <w:name w:val="正文_29"/>
    <w:qFormat/>
    <w:uiPriority w:val="0"/>
    <w:pPr>
      <w:widowControl w:val="0"/>
      <w:jc w:val="both"/>
    </w:pPr>
    <w:rPr>
      <w:rFonts w:ascii="Calibri" w:hAnsi="Calibri" w:eastAsia="宋体" w:cs="Times New Roman"/>
      <w:kern w:val="2"/>
      <w:sz w:val="21"/>
      <w:lang w:val="en-US" w:eastAsia="zh-CN" w:bidi="ar-SA"/>
    </w:rPr>
  </w:style>
  <w:style w:type="paragraph" w:customStyle="1" w:styleId="1095">
    <w:name w:val="正文_7"/>
    <w:qFormat/>
    <w:uiPriority w:val="0"/>
    <w:pPr>
      <w:widowControl w:val="0"/>
      <w:jc w:val="both"/>
    </w:pPr>
    <w:rPr>
      <w:rFonts w:ascii="Calibri" w:hAnsi="Calibri" w:eastAsia="宋体" w:cs="Times New Roman"/>
      <w:kern w:val="2"/>
      <w:sz w:val="21"/>
      <w:lang w:val="en-US" w:eastAsia="zh-CN" w:bidi="ar-SA"/>
    </w:rPr>
  </w:style>
  <w:style w:type="paragraph" w:customStyle="1" w:styleId="1096">
    <w:name w:val="正文_11"/>
    <w:qFormat/>
    <w:uiPriority w:val="0"/>
    <w:pPr>
      <w:widowControl w:val="0"/>
      <w:jc w:val="both"/>
    </w:pPr>
    <w:rPr>
      <w:rFonts w:ascii="Calibri" w:hAnsi="Calibri" w:eastAsia="宋体" w:cs="Times New Roman"/>
      <w:kern w:val="2"/>
      <w:sz w:val="21"/>
      <w:lang w:val="en-US" w:eastAsia="zh-CN" w:bidi="ar-SA"/>
    </w:rPr>
  </w:style>
  <w:style w:type="paragraph" w:customStyle="1" w:styleId="1097">
    <w:name w:val="正文_37"/>
    <w:qFormat/>
    <w:uiPriority w:val="0"/>
    <w:pPr>
      <w:widowControl w:val="0"/>
      <w:jc w:val="both"/>
    </w:pPr>
    <w:rPr>
      <w:rFonts w:ascii="等线" w:hAnsi="等线" w:eastAsia="等线" w:cs="Times New Roman"/>
      <w:kern w:val="2"/>
      <w:sz w:val="21"/>
      <w:szCs w:val="22"/>
      <w:lang w:val="en-US" w:eastAsia="zh-CN" w:bidi="ar-SA"/>
    </w:rPr>
  </w:style>
  <w:style w:type="paragraph" w:customStyle="1" w:styleId="1098">
    <w:name w:val="表内容"/>
    <w:basedOn w:val="1"/>
    <w:next w:val="1"/>
    <w:qFormat/>
    <w:uiPriority w:val="0"/>
    <w:pPr>
      <w:jc w:val="center"/>
    </w:pPr>
    <w:rPr>
      <w:szCs w:val="20"/>
    </w:rPr>
  </w:style>
  <w:style w:type="paragraph" w:customStyle="1" w:styleId="1099">
    <w:name w:val="报告书 正文"/>
    <w:link w:val="1100"/>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1100">
    <w:name w:val="报告书 正文 Char"/>
    <w:link w:val="1099"/>
    <w:qFormat/>
    <w:uiPriority w:val="0"/>
    <w:rPr>
      <w:kern w:val="2"/>
      <w:sz w:val="24"/>
      <w:szCs w:val="24"/>
    </w:rPr>
  </w:style>
  <w:style w:type="character" w:customStyle="1" w:styleId="1101">
    <w:name w:val="表格正文 Char1"/>
    <w:link w:val="176"/>
    <w:qFormat/>
    <w:uiPriority w:val="99"/>
    <w:rPr>
      <w:kern w:val="2"/>
      <w:sz w:val="21"/>
    </w:rPr>
  </w:style>
  <w:style w:type="paragraph" w:customStyle="1" w:styleId="1102">
    <w:name w:val="表格 标题"/>
    <w:autoRedefine/>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paragraph" w:customStyle="1" w:styleId="1103">
    <w:name w:val="表格内容--中祥"/>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 w:type="paragraph" w:customStyle="1" w:styleId="1104">
    <w:name w:val="正文首行缩进1"/>
    <w:basedOn w:val="23"/>
    <w:next w:val="1"/>
    <w:autoRedefine/>
    <w:qFormat/>
    <w:uiPriority w:val="0"/>
    <w:pPr>
      <w:widowControl w:val="0"/>
      <w:autoSpaceDE w:val="0"/>
      <w:autoSpaceDN w:val="0"/>
      <w:snapToGrid/>
      <w:spacing w:before="0" w:after="0" w:line="240" w:lineRule="auto"/>
      <w:ind w:right="0" w:firstLine="420" w:firstLineChars="100"/>
      <w:jc w:val="left"/>
    </w:pPr>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3.bin"/><Relationship Id="rId17" Type="http://schemas.openxmlformats.org/officeDocument/2006/relationships/image" Target="media/image6.wmf"/><Relationship Id="rId16" Type="http://schemas.openxmlformats.org/officeDocument/2006/relationships/oleObject" Target="embeddings/oleObject2.bin"/><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3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867387-2820-4816-AE21-4A6E4A622C9B}">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61</Pages>
  <Words>36400</Words>
  <Characters>40186</Characters>
  <Lines>314</Lines>
  <Paragraphs>88</Paragraphs>
  <TotalTime>0</TotalTime>
  <ScaleCrop>false</ScaleCrop>
  <LinksUpToDate>false</LinksUpToDate>
  <CharactersWithSpaces>41090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2021-03-31T09:19:00Z</dcterms:created>
  <dc:creator>lhj</dc:creator>
  <cp:lastModifiedBy>王俊</cp:lastModifiedBy>
  <cp:lastPrinted>2025-05-09T00:45:48Z</cp:lastPrinted>
  <dcterms:modified xsi:type="dcterms:W3CDTF">2025-05-09T01:02:18Z</dcterms:modified>
  <dc:title>附件2</dc:title>
  <cp:revision>952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eyJoZGlkIjoiZmIzYjM4Nzc0OTE2ZDA3YjRiN2Y1Y2U0ZjcwYWY5NjciLCJ1c2VySWQiOiIyMTA3NzYzNTMifQ==</vt:lpwstr>
  </property>
  <property fmtid="{D5CDD505-2E9C-101B-9397-08002B2CF9AE}" pid="4" name="ICV">
    <vt:lpwstr>95A4570822EB47998293ABDC9890CA9D_13</vt:lpwstr>
  </property>
</Properties>
</file>