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8F3F1A">
      <w:pPr>
        <w:rPr>
          <w:rFonts w:ascii="Times New Roman" w:hAnsi="Times New Roman" w:eastAsia="宋体" w:cs="仿宋_GB2312"/>
          <w:caps w:val="0"/>
          <w:color w:val="000000" w:themeColor="text1"/>
          <w:sz w:val="36"/>
          <w:szCs w:val="36"/>
          <w:highlight w:val="none"/>
          <w14:textFill>
            <w14:solidFill>
              <w14:schemeClr w14:val="tx1"/>
            </w14:solidFill>
          </w14:textFill>
        </w:rPr>
      </w:pPr>
    </w:p>
    <w:p w14:paraId="4E5A47B0">
      <w:pPr>
        <w:rPr>
          <w:rFonts w:ascii="Times New Roman" w:hAnsi="Times New Roman" w:eastAsia="宋体" w:cs="仿宋_GB2312"/>
          <w:caps w:val="0"/>
          <w:color w:val="000000" w:themeColor="text1"/>
          <w:sz w:val="36"/>
          <w:szCs w:val="36"/>
          <w:highlight w:val="none"/>
          <w14:textFill>
            <w14:solidFill>
              <w14:schemeClr w14:val="tx1"/>
            </w14:solidFill>
          </w14:textFill>
        </w:rPr>
      </w:pPr>
    </w:p>
    <w:p w14:paraId="3A50C31A">
      <w:pPr>
        <w:rPr>
          <w:rFonts w:ascii="Times New Roman" w:hAnsi="Times New Roman" w:eastAsia="宋体" w:cs="仿宋_GB2312"/>
          <w:caps w:val="0"/>
          <w:color w:val="000000" w:themeColor="text1"/>
          <w:sz w:val="36"/>
          <w:szCs w:val="36"/>
          <w:highlight w:val="none"/>
          <w14:textFill>
            <w14:solidFill>
              <w14:schemeClr w14:val="tx1"/>
            </w14:solidFill>
          </w14:textFill>
        </w:rPr>
      </w:pPr>
    </w:p>
    <w:p w14:paraId="19EAC07B">
      <w:pPr>
        <w:rPr>
          <w:rFonts w:ascii="Times New Roman" w:hAnsi="Times New Roman" w:eastAsia="宋体" w:cs="仿宋_GB2312"/>
          <w:caps w:val="0"/>
          <w:color w:val="000000" w:themeColor="text1"/>
          <w:sz w:val="36"/>
          <w:szCs w:val="36"/>
          <w:highlight w:val="none"/>
          <w14:textFill>
            <w14:solidFill>
              <w14:schemeClr w14:val="tx1"/>
            </w14:solidFill>
          </w14:textFill>
        </w:rPr>
      </w:pPr>
    </w:p>
    <w:p w14:paraId="2DD266E3">
      <w:pPr>
        <w:rPr>
          <w:rFonts w:ascii="Times New Roman" w:hAnsi="Times New Roman" w:eastAsia="宋体" w:cs="仿宋_GB2312"/>
          <w:caps w:val="0"/>
          <w:color w:val="000000" w:themeColor="text1"/>
          <w:sz w:val="36"/>
          <w:szCs w:val="36"/>
          <w:highlight w:val="none"/>
          <w14:textFill>
            <w14:solidFill>
              <w14:schemeClr w14:val="tx1"/>
            </w14:solidFill>
          </w14:textFill>
        </w:rPr>
      </w:pPr>
    </w:p>
    <w:p w14:paraId="5667DBDA">
      <w:pPr>
        <w:adjustRightInd w:val="0"/>
        <w:snapToGrid w:val="0"/>
        <w:jc w:val="center"/>
        <w:outlineLvl w:val="0"/>
        <w:rPr>
          <w:rFonts w:ascii="Times New Roman" w:hAnsi="Times New Roman" w:eastAsia="宋体"/>
          <w:bCs/>
          <w:caps w:val="0"/>
          <w:color w:val="000000" w:themeColor="text1"/>
          <w:sz w:val="72"/>
          <w:szCs w:val="72"/>
          <w:highlight w:val="none"/>
          <w14:textFill>
            <w14:solidFill>
              <w14:schemeClr w14:val="tx1"/>
            </w14:solidFill>
          </w14:textFill>
        </w:rPr>
      </w:pPr>
      <w:r>
        <w:rPr>
          <w:rFonts w:hint="eastAsia" w:ascii="Times New Roman" w:hAnsi="Times New Roman" w:eastAsia="宋体"/>
          <w:bCs/>
          <w:caps w:val="0"/>
          <w:color w:val="000000" w:themeColor="text1"/>
          <w:sz w:val="72"/>
          <w:szCs w:val="72"/>
          <w:highlight w:val="none"/>
          <w14:textFill>
            <w14:solidFill>
              <w14:schemeClr w14:val="tx1"/>
            </w14:solidFill>
          </w14:textFill>
        </w:rPr>
        <w:t>建设项目环境影响报告表</w:t>
      </w:r>
    </w:p>
    <w:p w14:paraId="02D503DA">
      <w:pPr>
        <w:adjustRightInd w:val="0"/>
        <w:snapToGrid w:val="0"/>
        <w:spacing w:before="192" w:beforeLines="80"/>
        <w:jc w:val="center"/>
        <w:rPr>
          <w:rFonts w:hint="eastAsia" w:ascii="Times New Roman" w:hAnsi="Times New Roman" w:eastAsia="宋体"/>
          <w:bCs/>
          <w:caps w:val="0"/>
          <w:color w:val="000000" w:themeColor="text1"/>
          <w:sz w:val="48"/>
          <w:szCs w:val="48"/>
          <w:highlight w:val="none"/>
          <w:lang w:val="en-US" w:eastAsia="zh-CN"/>
          <w14:textFill>
            <w14:solidFill>
              <w14:schemeClr w14:val="tx1"/>
            </w14:solidFill>
          </w14:textFill>
        </w:rPr>
      </w:pPr>
      <w:r>
        <w:rPr>
          <w:rFonts w:hint="eastAsia" w:ascii="Times New Roman" w:hAnsi="Times New Roman" w:eastAsia="宋体"/>
          <w:bCs/>
          <w:caps w:val="0"/>
          <w:color w:val="000000" w:themeColor="text1"/>
          <w:sz w:val="48"/>
          <w:szCs w:val="48"/>
          <w:highlight w:val="none"/>
          <w14:textFill>
            <w14:solidFill>
              <w14:schemeClr w14:val="tx1"/>
            </w14:solidFill>
          </w14:textFill>
        </w:rPr>
        <w:t>（污染影响类）</w:t>
      </w:r>
    </w:p>
    <w:p w14:paraId="4AEBF97A">
      <w:pPr>
        <w:jc w:val="center"/>
        <w:rPr>
          <w:rFonts w:ascii="Times New Roman" w:hAnsi="Times New Roman" w:eastAsia="宋体"/>
          <w:caps w:val="0"/>
          <w:color w:val="000000" w:themeColor="text1"/>
          <w:sz w:val="52"/>
          <w:szCs w:val="52"/>
          <w:highlight w:val="none"/>
          <w14:textFill>
            <w14:solidFill>
              <w14:schemeClr w14:val="tx1"/>
            </w14:solidFill>
          </w14:textFill>
        </w:rPr>
      </w:pPr>
    </w:p>
    <w:p w14:paraId="2F25B542">
      <w:pPr>
        <w:ind w:firstLine="1040"/>
        <w:rPr>
          <w:rFonts w:ascii="Times New Roman" w:hAnsi="Times New Roman" w:eastAsia="宋体"/>
          <w:caps w:val="0"/>
          <w:color w:val="000000" w:themeColor="text1"/>
          <w:sz w:val="44"/>
          <w:szCs w:val="44"/>
          <w:highlight w:val="none"/>
          <w14:textFill>
            <w14:solidFill>
              <w14:schemeClr w14:val="tx1"/>
            </w14:solidFill>
          </w14:textFill>
        </w:rPr>
      </w:pPr>
    </w:p>
    <w:p w14:paraId="6D2E14A4">
      <w:pPr>
        <w:ind w:firstLine="1040"/>
        <w:rPr>
          <w:rFonts w:ascii="Times New Roman" w:hAnsi="Times New Roman" w:eastAsia="宋体"/>
          <w:caps w:val="0"/>
          <w:color w:val="000000" w:themeColor="text1"/>
          <w:sz w:val="44"/>
          <w:szCs w:val="44"/>
          <w:highlight w:val="none"/>
          <w14:textFill>
            <w14:solidFill>
              <w14:schemeClr w14:val="tx1"/>
            </w14:solidFill>
          </w14:textFill>
        </w:rPr>
      </w:pPr>
    </w:p>
    <w:p w14:paraId="0CEA6E06">
      <w:pPr>
        <w:ind w:firstLine="1040"/>
        <w:rPr>
          <w:rFonts w:ascii="Times New Roman" w:hAnsi="Times New Roman" w:eastAsia="宋体"/>
          <w:caps w:val="0"/>
          <w:color w:val="000000" w:themeColor="text1"/>
          <w:sz w:val="44"/>
          <w:szCs w:val="44"/>
          <w:highlight w:val="none"/>
          <w14:textFill>
            <w14:solidFill>
              <w14:schemeClr w14:val="tx1"/>
            </w14:solidFill>
          </w14:textFill>
        </w:rPr>
      </w:pPr>
    </w:p>
    <w:p w14:paraId="083FE723">
      <w:pPr>
        <w:ind w:firstLine="1040"/>
        <w:rPr>
          <w:rFonts w:ascii="Times New Roman" w:hAnsi="Times New Roman" w:eastAsia="宋体"/>
          <w:caps w:val="0"/>
          <w:color w:val="000000" w:themeColor="text1"/>
          <w:sz w:val="44"/>
          <w:szCs w:val="44"/>
          <w:highlight w:val="none"/>
          <w14:textFill>
            <w14:solidFill>
              <w14:schemeClr w14:val="tx1"/>
            </w14:solidFill>
          </w14:textFill>
        </w:rPr>
      </w:pPr>
    </w:p>
    <w:p w14:paraId="7330F305">
      <w:pPr>
        <w:ind w:firstLine="1040"/>
        <w:rPr>
          <w:rFonts w:ascii="Times New Roman" w:hAnsi="Times New Roman" w:eastAsia="宋体"/>
          <w:caps w:val="0"/>
          <w:color w:val="000000" w:themeColor="text1"/>
          <w:sz w:val="44"/>
          <w:szCs w:val="44"/>
          <w:highlight w:val="none"/>
          <w14:textFill>
            <w14:solidFill>
              <w14:schemeClr w14:val="tx1"/>
            </w14:solidFill>
          </w14:textFill>
        </w:rPr>
      </w:pPr>
    </w:p>
    <w:p w14:paraId="77652448">
      <w:pPr>
        <w:ind w:firstLine="1040"/>
        <w:rPr>
          <w:rFonts w:ascii="Times New Roman" w:hAnsi="Times New Roman" w:eastAsia="宋体"/>
          <w:caps w:val="0"/>
          <w:color w:val="000000" w:themeColor="text1"/>
          <w:sz w:val="44"/>
          <w:szCs w:val="44"/>
          <w:highlight w:val="none"/>
          <w14:textFill>
            <w14:solidFill>
              <w14:schemeClr w14:val="tx1"/>
            </w14:solidFill>
          </w14:textFill>
        </w:rPr>
      </w:pPr>
    </w:p>
    <w:p w14:paraId="6F0F634D">
      <w:pPr>
        <w:adjustRightInd w:val="0"/>
        <w:snapToGrid w:val="0"/>
        <w:spacing w:line="288" w:lineRule="auto"/>
        <w:ind w:firstLine="360" w:firstLineChars="100"/>
        <w:rPr>
          <w:rFonts w:hint="default" w:ascii="Times New Roman" w:hAnsi="Times New Roman" w:eastAsia="宋体"/>
          <w:caps w:val="0"/>
          <w:color w:val="000000" w:themeColor="text1"/>
          <w:sz w:val="36"/>
          <w:szCs w:val="36"/>
          <w:highlight w:val="none"/>
          <w:u w:val="single"/>
          <w:lang w:val="en-US" w:eastAsia="zh-CN"/>
          <w14:textFill>
            <w14:solidFill>
              <w14:schemeClr w14:val="tx1"/>
            </w14:solidFill>
          </w14:textFill>
        </w:rPr>
      </w:pPr>
      <w:r>
        <w:rPr>
          <w:rFonts w:hint="eastAsia" w:ascii="Times New Roman" w:hAnsi="Times New Roman" w:eastAsia="宋体"/>
          <w:caps w:val="0"/>
          <w:color w:val="000000" w:themeColor="text1"/>
          <w:sz w:val="36"/>
          <w:szCs w:val="36"/>
          <w:highlight w:val="none"/>
          <w14:textFill>
            <w14:solidFill>
              <w14:schemeClr w14:val="tx1"/>
            </w14:solidFill>
          </w14:textFill>
        </w:rPr>
        <w:t>项目名称：</w:t>
      </w:r>
      <w:r>
        <w:rPr>
          <w:rFonts w:hint="eastAsia" w:ascii="Times New Roman" w:hAnsi="Times New Roman" w:eastAsia="宋体"/>
          <w:caps w:val="0"/>
          <w:color w:val="000000" w:themeColor="text1"/>
          <w:sz w:val="36"/>
          <w:szCs w:val="36"/>
          <w:highlight w:val="none"/>
          <w:u w:val="single"/>
          <w14:textFill>
            <w14:solidFill>
              <w14:schemeClr w14:val="tx1"/>
            </w14:solidFill>
          </w14:textFill>
        </w:rPr>
        <w:t xml:space="preserve">  </w:t>
      </w:r>
      <w:r>
        <w:rPr>
          <w:rFonts w:hint="eastAsia"/>
          <w:caps w:val="0"/>
          <w:color w:val="000000" w:themeColor="text1"/>
          <w:sz w:val="36"/>
          <w:szCs w:val="36"/>
          <w:highlight w:val="none"/>
          <w:u w:val="single"/>
          <w:lang w:val="en-US" w:eastAsia="zh-CN"/>
          <w14:textFill>
            <w14:solidFill>
              <w14:schemeClr w14:val="tx1"/>
            </w14:solidFill>
          </w14:textFill>
        </w:rPr>
        <w:t xml:space="preserve">  新能源汽车高压线束产品生产项目</w:t>
      </w:r>
      <w:r>
        <w:rPr>
          <w:rFonts w:hint="eastAsia" w:ascii="Times New Roman" w:hAnsi="Times New Roman" w:eastAsia="宋体"/>
          <w:caps w:val="0"/>
          <w:color w:val="000000" w:themeColor="text1"/>
          <w:sz w:val="36"/>
          <w:szCs w:val="36"/>
          <w:highlight w:val="none"/>
          <w:u w:val="single"/>
          <w:lang w:val="en-US" w:eastAsia="zh-CN"/>
          <w14:textFill>
            <w14:solidFill>
              <w14:schemeClr w14:val="tx1"/>
            </w14:solidFill>
          </w14:textFill>
        </w:rPr>
        <w:t xml:space="preserve">     </w:t>
      </w:r>
    </w:p>
    <w:p w14:paraId="2803C0CA">
      <w:pPr>
        <w:adjustRightInd w:val="0"/>
        <w:snapToGrid w:val="0"/>
        <w:spacing w:line="288" w:lineRule="auto"/>
        <w:ind w:firstLine="360" w:firstLineChars="100"/>
        <w:rPr>
          <w:rFonts w:hint="default" w:ascii="Times New Roman" w:hAnsi="Times New Roman" w:eastAsia="宋体"/>
          <w:caps w:val="0"/>
          <w:color w:val="000000" w:themeColor="text1"/>
          <w:sz w:val="36"/>
          <w:szCs w:val="36"/>
          <w:highlight w:val="none"/>
          <w:u w:val="single"/>
          <w:lang w:val="en-US" w:eastAsia="zh-CN"/>
          <w14:textFill>
            <w14:solidFill>
              <w14:schemeClr w14:val="tx1"/>
            </w14:solidFill>
          </w14:textFill>
        </w:rPr>
      </w:pPr>
      <w:r>
        <w:rPr>
          <w:rFonts w:hint="eastAsia" w:ascii="Times New Roman" w:hAnsi="Times New Roman" w:eastAsia="宋体"/>
          <w:caps w:val="0"/>
          <w:color w:val="000000" w:themeColor="text1"/>
          <w:sz w:val="36"/>
          <w:szCs w:val="36"/>
          <w:highlight w:val="none"/>
          <w14:textFill>
            <w14:solidFill>
              <w14:schemeClr w14:val="tx1"/>
            </w14:solidFill>
          </w14:textFill>
        </w:rPr>
        <w:t>建设单位（盖章）：</w:t>
      </w:r>
      <w:r>
        <w:rPr>
          <w:rFonts w:hint="eastAsia"/>
          <w:caps w:val="0"/>
          <w:color w:val="000000" w:themeColor="text1"/>
          <w:sz w:val="36"/>
          <w:szCs w:val="36"/>
          <w:highlight w:val="none"/>
          <w:u w:val="single"/>
          <w:lang w:val="en-US" w:eastAsia="zh-CN"/>
          <w14:textFill>
            <w14:solidFill>
              <w14:schemeClr w14:val="tx1"/>
            </w14:solidFill>
          </w14:textFill>
        </w:rPr>
        <w:t>安徽凯迪电气有限公司</w:t>
      </w:r>
      <w:r>
        <w:rPr>
          <w:rFonts w:hint="eastAsia" w:ascii="Times New Roman" w:hAnsi="Times New Roman" w:eastAsia="宋体"/>
          <w:caps w:val="0"/>
          <w:color w:val="000000" w:themeColor="text1"/>
          <w:sz w:val="36"/>
          <w:szCs w:val="36"/>
          <w:highlight w:val="none"/>
          <w:u w:val="single"/>
          <w:lang w:val="en-US" w:eastAsia="zh-CN"/>
          <w14:textFill>
            <w14:solidFill>
              <w14:schemeClr w14:val="tx1"/>
            </w14:solidFill>
          </w14:textFill>
        </w:rPr>
        <w:t xml:space="preserve">  </w:t>
      </w:r>
    </w:p>
    <w:p w14:paraId="24310716">
      <w:pPr>
        <w:adjustRightInd w:val="0"/>
        <w:snapToGrid w:val="0"/>
        <w:spacing w:line="288" w:lineRule="auto"/>
        <w:ind w:firstLine="360" w:firstLineChars="100"/>
        <w:rPr>
          <w:rFonts w:ascii="Times New Roman" w:hAnsi="Times New Roman" w:eastAsia="宋体"/>
          <w:caps w:val="0"/>
          <w:color w:val="000000" w:themeColor="text1"/>
          <w:sz w:val="36"/>
          <w:szCs w:val="36"/>
          <w:highlight w:val="none"/>
          <w:u w:val="single"/>
          <w14:textFill>
            <w14:solidFill>
              <w14:schemeClr w14:val="tx1"/>
            </w14:solidFill>
          </w14:textFill>
        </w:rPr>
      </w:pPr>
      <w:r>
        <w:rPr>
          <w:rFonts w:hint="eastAsia" w:ascii="Times New Roman" w:hAnsi="Times New Roman" w:eastAsia="宋体"/>
          <w:caps w:val="0"/>
          <w:color w:val="000000" w:themeColor="text1"/>
          <w:sz w:val="36"/>
          <w:szCs w:val="36"/>
          <w:highlight w:val="none"/>
          <w14:textFill>
            <w14:solidFill>
              <w14:schemeClr w14:val="tx1"/>
            </w14:solidFill>
          </w14:textFill>
        </w:rPr>
        <w:t>编制日期：</w:t>
      </w:r>
      <w:r>
        <w:rPr>
          <w:rFonts w:hint="eastAsia" w:ascii="Times New Roman" w:hAnsi="Times New Roman" w:eastAsia="宋体"/>
          <w:caps w:val="0"/>
          <w:color w:val="000000" w:themeColor="text1"/>
          <w:sz w:val="36"/>
          <w:szCs w:val="36"/>
          <w:highlight w:val="none"/>
          <w:u w:val="single"/>
          <w14:textFill>
            <w14:solidFill>
              <w14:schemeClr w14:val="tx1"/>
            </w14:solidFill>
          </w14:textFill>
        </w:rPr>
        <w:t xml:space="preserve"> </w:t>
      </w:r>
      <w:r>
        <w:rPr>
          <w:rFonts w:ascii="Times New Roman" w:hAnsi="Times New Roman" w:eastAsia="宋体"/>
          <w:caps w:val="0"/>
          <w:color w:val="000000" w:themeColor="text1"/>
          <w:sz w:val="36"/>
          <w:szCs w:val="36"/>
          <w:highlight w:val="none"/>
          <w:u w:val="single"/>
          <w14:textFill>
            <w14:solidFill>
              <w14:schemeClr w14:val="tx1"/>
            </w14:solidFill>
          </w14:textFill>
        </w:rPr>
        <w:t xml:space="preserve">  </w:t>
      </w:r>
      <w:r>
        <w:rPr>
          <w:rFonts w:hint="eastAsia" w:ascii="Times New Roman" w:hAnsi="Times New Roman" w:eastAsia="宋体"/>
          <w:caps w:val="0"/>
          <w:color w:val="000000" w:themeColor="text1"/>
          <w:sz w:val="36"/>
          <w:szCs w:val="36"/>
          <w:highlight w:val="none"/>
          <w:u w:val="single"/>
          <w14:textFill>
            <w14:solidFill>
              <w14:schemeClr w14:val="tx1"/>
            </w14:solidFill>
          </w14:textFill>
        </w:rPr>
        <w:t xml:space="preserve">       </w:t>
      </w:r>
      <w:r>
        <w:rPr>
          <w:rFonts w:ascii="Times New Roman" w:hAnsi="Times New Roman" w:eastAsia="宋体"/>
          <w:caps w:val="0"/>
          <w:color w:val="000000" w:themeColor="text1"/>
          <w:sz w:val="36"/>
          <w:szCs w:val="36"/>
          <w:highlight w:val="none"/>
          <w:u w:val="single"/>
          <w14:textFill>
            <w14:solidFill>
              <w14:schemeClr w14:val="tx1"/>
            </w14:solidFill>
          </w14:textFill>
        </w:rPr>
        <w:t xml:space="preserve"> </w:t>
      </w:r>
      <w:r>
        <w:rPr>
          <w:rFonts w:hint="eastAsia" w:ascii="Times New Roman" w:hAnsi="Times New Roman" w:eastAsia="宋体"/>
          <w:caps w:val="0"/>
          <w:color w:val="000000" w:themeColor="text1"/>
          <w:sz w:val="36"/>
          <w:szCs w:val="36"/>
          <w:highlight w:val="none"/>
          <w:u w:val="single"/>
          <w:lang w:val="en-US" w:eastAsia="zh-CN"/>
          <w14:textFill>
            <w14:solidFill>
              <w14:schemeClr w14:val="tx1"/>
            </w14:solidFill>
          </w14:textFill>
        </w:rPr>
        <w:t>202</w:t>
      </w:r>
      <w:r>
        <w:rPr>
          <w:rFonts w:hint="eastAsia"/>
          <w:caps w:val="0"/>
          <w:color w:val="000000" w:themeColor="text1"/>
          <w:sz w:val="36"/>
          <w:szCs w:val="36"/>
          <w:highlight w:val="none"/>
          <w:u w:val="single"/>
          <w:lang w:val="en-US" w:eastAsia="zh-CN"/>
          <w14:textFill>
            <w14:solidFill>
              <w14:schemeClr w14:val="tx1"/>
            </w14:solidFill>
          </w14:textFill>
        </w:rPr>
        <w:t>5</w:t>
      </w:r>
      <w:r>
        <w:rPr>
          <w:rFonts w:hint="eastAsia" w:ascii="Times New Roman" w:hAnsi="Times New Roman" w:eastAsia="宋体"/>
          <w:caps w:val="0"/>
          <w:color w:val="000000" w:themeColor="text1"/>
          <w:sz w:val="36"/>
          <w:szCs w:val="36"/>
          <w:highlight w:val="none"/>
          <w:u w:val="single"/>
          <w14:textFill>
            <w14:solidFill>
              <w14:schemeClr w14:val="tx1"/>
            </w14:solidFill>
          </w14:textFill>
        </w:rPr>
        <w:t>年</w:t>
      </w:r>
      <w:r>
        <w:rPr>
          <w:rFonts w:hint="eastAsia"/>
          <w:caps w:val="0"/>
          <w:color w:val="000000" w:themeColor="text1"/>
          <w:sz w:val="36"/>
          <w:szCs w:val="36"/>
          <w:highlight w:val="none"/>
          <w:u w:val="single"/>
          <w:lang w:val="en-US" w:eastAsia="zh-CN"/>
          <w14:textFill>
            <w14:solidFill>
              <w14:schemeClr w14:val="tx1"/>
            </w14:solidFill>
          </w14:textFill>
        </w:rPr>
        <w:t>3</w:t>
      </w:r>
      <w:r>
        <w:rPr>
          <w:rFonts w:hint="eastAsia" w:ascii="Times New Roman" w:hAnsi="Times New Roman" w:eastAsia="宋体"/>
          <w:caps w:val="0"/>
          <w:color w:val="000000" w:themeColor="text1"/>
          <w:sz w:val="36"/>
          <w:szCs w:val="36"/>
          <w:highlight w:val="none"/>
          <w:u w:val="single"/>
          <w14:textFill>
            <w14:solidFill>
              <w14:schemeClr w14:val="tx1"/>
            </w14:solidFill>
          </w14:textFill>
        </w:rPr>
        <w:t>月</w:t>
      </w:r>
      <w:r>
        <w:rPr>
          <w:rFonts w:ascii="Times New Roman" w:hAnsi="Times New Roman" w:eastAsia="宋体"/>
          <w:caps w:val="0"/>
          <w:color w:val="000000" w:themeColor="text1"/>
          <w:sz w:val="36"/>
          <w:szCs w:val="36"/>
          <w:highlight w:val="none"/>
          <w:u w:val="single"/>
          <w14:textFill>
            <w14:solidFill>
              <w14:schemeClr w14:val="tx1"/>
            </w14:solidFill>
          </w14:textFill>
        </w:rPr>
        <w:t xml:space="preserve">   </w:t>
      </w:r>
      <w:r>
        <w:rPr>
          <w:rFonts w:hint="eastAsia" w:ascii="Times New Roman" w:hAnsi="Times New Roman" w:eastAsia="宋体"/>
          <w:caps w:val="0"/>
          <w:color w:val="000000" w:themeColor="text1"/>
          <w:sz w:val="36"/>
          <w:szCs w:val="36"/>
          <w:highlight w:val="none"/>
          <w:u w:val="single"/>
          <w14:textFill>
            <w14:solidFill>
              <w14:schemeClr w14:val="tx1"/>
            </w14:solidFill>
          </w14:textFill>
        </w:rPr>
        <w:t xml:space="preserve"> </w:t>
      </w:r>
      <w:r>
        <w:rPr>
          <w:rFonts w:ascii="Times New Roman" w:hAnsi="Times New Roman" w:eastAsia="宋体"/>
          <w:caps w:val="0"/>
          <w:color w:val="000000" w:themeColor="text1"/>
          <w:sz w:val="36"/>
          <w:szCs w:val="36"/>
          <w:highlight w:val="none"/>
          <w:u w:val="single"/>
          <w14:textFill>
            <w14:solidFill>
              <w14:schemeClr w14:val="tx1"/>
            </w14:solidFill>
          </w14:textFill>
        </w:rPr>
        <w:t xml:space="preserve"> </w:t>
      </w:r>
      <w:r>
        <w:rPr>
          <w:rFonts w:hint="eastAsia" w:ascii="Times New Roman" w:hAnsi="Times New Roman" w:eastAsia="宋体"/>
          <w:caps w:val="0"/>
          <w:color w:val="000000" w:themeColor="text1"/>
          <w:sz w:val="36"/>
          <w:szCs w:val="36"/>
          <w:highlight w:val="none"/>
          <w:u w:val="single"/>
          <w14:textFill>
            <w14:solidFill>
              <w14:schemeClr w14:val="tx1"/>
            </w14:solidFill>
          </w14:textFill>
        </w:rPr>
        <w:t xml:space="preserve">  </w:t>
      </w:r>
      <w:r>
        <w:rPr>
          <w:rFonts w:ascii="Times New Roman" w:hAnsi="Times New Roman" w:eastAsia="宋体"/>
          <w:caps w:val="0"/>
          <w:color w:val="000000" w:themeColor="text1"/>
          <w:sz w:val="36"/>
          <w:szCs w:val="36"/>
          <w:highlight w:val="none"/>
          <w:u w:val="single"/>
          <w14:textFill>
            <w14:solidFill>
              <w14:schemeClr w14:val="tx1"/>
            </w14:solidFill>
          </w14:textFill>
        </w:rPr>
        <w:t xml:space="preserve">    </w:t>
      </w:r>
      <w:r>
        <w:rPr>
          <w:rFonts w:hint="eastAsia" w:ascii="Times New Roman" w:hAnsi="Times New Roman" w:eastAsia="宋体"/>
          <w:caps w:val="0"/>
          <w:color w:val="000000" w:themeColor="text1"/>
          <w:sz w:val="36"/>
          <w:szCs w:val="36"/>
          <w:highlight w:val="none"/>
          <w:u w:val="single"/>
          <w14:textFill>
            <w14:solidFill>
              <w14:schemeClr w14:val="tx1"/>
            </w14:solidFill>
          </w14:textFill>
        </w:rPr>
        <w:t xml:space="preserve"> </w:t>
      </w:r>
    </w:p>
    <w:p w14:paraId="35687DDF">
      <w:pPr>
        <w:adjustRightInd w:val="0"/>
        <w:snapToGrid w:val="0"/>
        <w:spacing w:line="288" w:lineRule="auto"/>
        <w:ind w:firstLine="1040"/>
        <w:rPr>
          <w:rFonts w:ascii="Times New Roman" w:hAnsi="Times New Roman" w:eastAsia="宋体"/>
          <w:caps w:val="0"/>
          <w:color w:val="000000" w:themeColor="text1"/>
          <w:sz w:val="36"/>
          <w:szCs w:val="36"/>
          <w:highlight w:val="none"/>
          <w:u w:val="single"/>
          <w14:textFill>
            <w14:solidFill>
              <w14:schemeClr w14:val="tx1"/>
            </w14:solidFill>
          </w14:textFill>
        </w:rPr>
      </w:pPr>
      <w:bookmarkStart w:id="0" w:name="_Hlk57884087"/>
    </w:p>
    <w:p w14:paraId="2F356A7A">
      <w:pPr>
        <w:adjustRightInd w:val="0"/>
        <w:snapToGrid w:val="0"/>
        <w:spacing w:line="288" w:lineRule="auto"/>
        <w:ind w:firstLine="1040"/>
        <w:rPr>
          <w:rFonts w:ascii="Times New Roman" w:hAnsi="Times New Roman" w:eastAsia="宋体"/>
          <w:caps w:val="0"/>
          <w:color w:val="000000" w:themeColor="text1"/>
          <w:sz w:val="36"/>
          <w:szCs w:val="36"/>
          <w:highlight w:val="none"/>
          <w14:textFill>
            <w14:solidFill>
              <w14:schemeClr w14:val="tx1"/>
            </w14:solidFill>
          </w14:textFill>
        </w:rPr>
      </w:pPr>
    </w:p>
    <w:p w14:paraId="6216425E">
      <w:pPr>
        <w:adjustRightInd w:val="0"/>
        <w:snapToGrid w:val="0"/>
        <w:spacing w:line="288" w:lineRule="auto"/>
        <w:ind w:firstLine="1040"/>
        <w:rPr>
          <w:rFonts w:ascii="Times New Roman" w:hAnsi="Times New Roman" w:eastAsia="宋体"/>
          <w:caps w:val="0"/>
          <w:color w:val="000000" w:themeColor="text1"/>
          <w:sz w:val="36"/>
          <w:szCs w:val="36"/>
          <w:highlight w:val="none"/>
          <w14:textFill>
            <w14:solidFill>
              <w14:schemeClr w14:val="tx1"/>
            </w14:solidFill>
          </w14:textFill>
        </w:rPr>
      </w:pPr>
    </w:p>
    <w:p w14:paraId="6B700204">
      <w:pPr>
        <w:adjustRightInd w:val="0"/>
        <w:snapToGrid w:val="0"/>
        <w:spacing w:line="288" w:lineRule="auto"/>
        <w:ind w:firstLine="1040"/>
        <w:rPr>
          <w:rFonts w:ascii="Times New Roman" w:hAnsi="Times New Roman" w:eastAsia="宋体"/>
          <w:caps w:val="0"/>
          <w:color w:val="000000" w:themeColor="text1"/>
          <w:sz w:val="36"/>
          <w:szCs w:val="36"/>
          <w:highlight w:val="none"/>
          <w14:textFill>
            <w14:solidFill>
              <w14:schemeClr w14:val="tx1"/>
            </w14:solidFill>
          </w14:textFill>
        </w:rPr>
      </w:pPr>
    </w:p>
    <w:p w14:paraId="67F05E48">
      <w:pPr>
        <w:adjustRightInd w:val="0"/>
        <w:snapToGrid w:val="0"/>
        <w:spacing w:line="288" w:lineRule="auto"/>
        <w:rPr>
          <w:rFonts w:ascii="Times New Roman" w:hAnsi="Times New Roman" w:eastAsia="宋体"/>
          <w:caps w:val="0"/>
          <w:color w:val="000000" w:themeColor="text1"/>
          <w:sz w:val="36"/>
          <w:szCs w:val="36"/>
          <w:highlight w:val="none"/>
          <w14:textFill>
            <w14:solidFill>
              <w14:schemeClr w14:val="tx1"/>
            </w14:solidFill>
          </w14:textFill>
        </w:rPr>
      </w:pPr>
    </w:p>
    <w:p w14:paraId="1C045285">
      <w:pPr>
        <w:adjustRightInd w:val="0"/>
        <w:snapToGrid w:val="0"/>
        <w:spacing w:line="288" w:lineRule="auto"/>
        <w:ind w:firstLine="1040"/>
        <w:rPr>
          <w:rFonts w:ascii="Times New Roman" w:hAnsi="Times New Roman" w:eastAsia="宋体"/>
          <w:caps w:val="0"/>
          <w:color w:val="000000" w:themeColor="text1"/>
          <w:sz w:val="36"/>
          <w:szCs w:val="36"/>
          <w:highlight w:val="none"/>
          <w14:textFill>
            <w14:solidFill>
              <w14:schemeClr w14:val="tx1"/>
            </w14:solidFill>
          </w14:textFill>
        </w:rPr>
      </w:pPr>
    </w:p>
    <w:bookmarkEnd w:id="0"/>
    <w:p w14:paraId="541D3018">
      <w:pPr>
        <w:adjustRightInd w:val="0"/>
        <w:snapToGrid w:val="0"/>
        <w:spacing w:line="288" w:lineRule="auto"/>
        <w:jc w:val="center"/>
        <w:rPr>
          <w:rFonts w:ascii="Times New Roman" w:hAnsi="Times New Roman" w:eastAsia="宋体"/>
          <w:caps w:val="0"/>
          <w:color w:val="000000" w:themeColor="text1"/>
          <w:sz w:val="36"/>
          <w:szCs w:val="36"/>
          <w:highlight w:val="none"/>
          <w14:textFill>
            <w14:solidFill>
              <w14:schemeClr w14:val="tx1"/>
            </w14:solidFill>
          </w14:textFill>
        </w:rPr>
      </w:pPr>
      <w:r>
        <w:rPr>
          <w:rFonts w:hint="eastAsia" w:ascii="Times New Roman" w:hAnsi="Times New Roman" w:eastAsia="宋体"/>
          <w:caps w:val="0"/>
          <w:color w:val="000000" w:themeColor="text1"/>
          <w:sz w:val="36"/>
          <w:szCs w:val="36"/>
          <w:highlight w:val="none"/>
          <w14:textFill>
            <w14:solidFill>
              <w14:schemeClr w14:val="tx1"/>
            </w14:solidFill>
          </w14:textFill>
        </w:rPr>
        <w:t>中华人民共和国生态环境部制</w:t>
      </w:r>
    </w:p>
    <w:p w14:paraId="707016EA">
      <w:pPr>
        <w:adjustRightInd w:val="0"/>
        <w:snapToGrid w:val="0"/>
        <w:spacing w:line="288" w:lineRule="auto"/>
        <w:ind w:firstLine="1040"/>
        <w:rPr>
          <w:rFonts w:ascii="Times New Roman" w:hAnsi="Times New Roman" w:eastAsia="宋体"/>
          <w:caps w:val="0"/>
          <w:color w:val="000000" w:themeColor="text1"/>
          <w:sz w:val="36"/>
          <w:szCs w:val="36"/>
          <w:highlight w:val="none"/>
          <w14:textFill>
            <w14:solidFill>
              <w14:schemeClr w14:val="tx1"/>
            </w14:solidFill>
          </w14:textFill>
        </w:rPr>
      </w:pPr>
    </w:p>
    <w:p w14:paraId="3C2B334C">
      <w:pPr>
        <w:adjustRightInd w:val="0"/>
        <w:snapToGrid w:val="0"/>
        <w:spacing w:line="288" w:lineRule="auto"/>
        <w:ind w:firstLine="1040"/>
        <w:rPr>
          <w:rFonts w:ascii="Times New Roman" w:hAnsi="Times New Roman" w:eastAsia="宋体"/>
          <w:caps w:val="0"/>
          <w:color w:val="000000" w:themeColor="text1"/>
          <w:sz w:val="36"/>
          <w:szCs w:val="36"/>
          <w:highlight w:val="none"/>
          <w14:textFill>
            <w14:solidFill>
              <w14:schemeClr w14:val="tx1"/>
            </w14:solidFill>
          </w14:textFill>
        </w:rPr>
      </w:pPr>
    </w:p>
    <w:p w14:paraId="4FA7F633">
      <w:pPr>
        <w:adjustRightInd w:val="0"/>
        <w:snapToGrid w:val="0"/>
        <w:spacing w:line="288" w:lineRule="auto"/>
        <w:ind w:firstLine="1040"/>
        <w:rPr>
          <w:rFonts w:ascii="Times New Roman" w:hAnsi="Times New Roman" w:eastAsia="宋体"/>
          <w:caps w:val="0"/>
          <w:color w:val="000000" w:themeColor="text1"/>
          <w:sz w:val="36"/>
          <w:szCs w:val="36"/>
          <w:highlight w:val="none"/>
          <w14:textFill>
            <w14:solidFill>
              <w14:schemeClr w14:val="tx1"/>
            </w14:solidFill>
          </w14:textFill>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62591927">
      <w:pPr>
        <w:pStyle w:val="18"/>
        <w:jc w:val="center"/>
        <w:outlineLvl w:val="0"/>
        <w:rPr>
          <w:rFonts w:ascii="Times New Roman" w:hAnsi="Times New Roman" w:eastAsia="宋体"/>
          <w:caps w:val="0"/>
          <w:snapToGrid w:val="0"/>
          <w:color w:val="000000" w:themeColor="text1"/>
          <w:sz w:val="30"/>
          <w:szCs w:val="30"/>
          <w:highlight w:val="none"/>
          <w14:textFill>
            <w14:solidFill>
              <w14:schemeClr w14:val="tx1"/>
            </w14:solidFill>
          </w14:textFill>
        </w:rPr>
      </w:pPr>
      <w:r>
        <w:rPr>
          <w:rFonts w:hint="eastAsia" w:ascii="Times New Roman" w:hAnsi="Times New Roman" w:eastAsia="宋体"/>
          <w:caps w:val="0"/>
          <w:snapToGrid w:val="0"/>
          <w:color w:val="000000" w:themeColor="text1"/>
          <w:sz w:val="30"/>
          <w:szCs w:val="30"/>
          <w:highlight w:val="none"/>
          <w14:textFill>
            <w14:solidFill>
              <w14:schemeClr w14:val="tx1"/>
            </w14:solidFill>
          </w14:textFill>
        </w:rPr>
        <w:t>一、建设项目基本情况</w:t>
      </w:r>
    </w:p>
    <w:tbl>
      <w:tblPr>
        <w:tblStyle w:val="21"/>
        <w:tblW w:w="887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272"/>
        <w:gridCol w:w="1755"/>
        <w:gridCol w:w="1922"/>
        <w:gridCol w:w="3921"/>
      </w:tblGrid>
      <w:tr w14:paraId="1FCAB9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72" w:type="dxa"/>
            <w:tcMar>
              <w:top w:w="16" w:type="dxa"/>
              <w:left w:w="16" w:type="dxa"/>
              <w:right w:w="16" w:type="dxa"/>
            </w:tcMar>
            <w:vAlign w:val="center"/>
          </w:tcPr>
          <w:p w14:paraId="487AD126">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建设项目名称</w:t>
            </w:r>
          </w:p>
        </w:tc>
        <w:tc>
          <w:tcPr>
            <w:tcW w:w="7598" w:type="dxa"/>
            <w:gridSpan w:val="3"/>
            <w:vAlign w:val="center"/>
          </w:tcPr>
          <w:p w14:paraId="0000F9C8">
            <w:pPr>
              <w:adjustRightInd w:val="0"/>
              <w:snapToGrid w:val="0"/>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新能源汽车高压线束产品生产项目</w:t>
            </w:r>
          </w:p>
        </w:tc>
      </w:tr>
      <w:tr w14:paraId="226B68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72" w:type="dxa"/>
            <w:tcMar>
              <w:top w:w="16" w:type="dxa"/>
              <w:left w:w="16" w:type="dxa"/>
              <w:right w:w="16" w:type="dxa"/>
            </w:tcMar>
            <w:vAlign w:val="center"/>
          </w:tcPr>
          <w:p w14:paraId="4C3B6A06">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项目代码</w:t>
            </w:r>
          </w:p>
        </w:tc>
        <w:tc>
          <w:tcPr>
            <w:tcW w:w="7598" w:type="dxa"/>
            <w:gridSpan w:val="3"/>
            <w:vAlign w:val="center"/>
          </w:tcPr>
          <w:p w14:paraId="2CDFB613">
            <w:pPr>
              <w:adjustRightInd w:val="0"/>
              <w:snapToGrid w:val="0"/>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2401-340203-04-01-816372</w:t>
            </w:r>
          </w:p>
        </w:tc>
      </w:tr>
      <w:tr w14:paraId="0D883D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72" w:type="dxa"/>
            <w:tcMar>
              <w:top w:w="16" w:type="dxa"/>
              <w:left w:w="16" w:type="dxa"/>
              <w:right w:w="16" w:type="dxa"/>
            </w:tcMar>
            <w:vAlign w:val="center"/>
          </w:tcPr>
          <w:p w14:paraId="67ED730C">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建设单位联系人</w:t>
            </w:r>
          </w:p>
        </w:tc>
        <w:tc>
          <w:tcPr>
            <w:tcW w:w="1755" w:type="dxa"/>
            <w:vAlign w:val="center"/>
          </w:tcPr>
          <w:p w14:paraId="33987829">
            <w:pPr>
              <w:adjustRightInd w:val="0"/>
              <w:snapToGrid w:val="0"/>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王义</w:t>
            </w:r>
          </w:p>
        </w:tc>
        <w:tc>
          <w:tcPr>
            <w:tcW w:w="1922" w:type="dxa"/>
            <w:vAlign w:val="center"/>
          </w:tcPr>
          <w:p w14:paraId="71AD1F83">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联系方式</w:t>
            </w:r>
          </w:p>
        </w:tc>
        <w:tc>
          <w:tcPr>
            <w:tcW w:w="3921" w:type="dxa"/>
            <w:vAlign w:val="center"/>
          </w:tcPr>
          <w:p w14:paraId="01B3CC5E">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18196586156</w:t>
            </w:r>
          </w:p>
        </w:tc>
      </w:tr>
      <w:tr w14:paraId="0C9775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72" w:type="dxa"/>
            <w:tcMar>
              <w:top w:w="16" w:type="dxa"/>
              <w:left w:w="16" w:type="dxa"/>
              <w:right w:w="16" w:type="dxa"/>
            </w:tcMar>
            <w:vAlign w:val="center"/>
          </w:tcPr>
          <w:p w14:paraId="0D774DFD">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建设地点</w:t>
            </w:r>
          </w:p>
        </w:tc>
        <w:tc>
          <w:tcPr>
            <w:tcW w:w="7598" w:type="dxa"/>
            <w:gridSpan w:val="3"/>
            <w:vAlign w:val="center"/>
          </w:tcPr>
          <w:p w14:paraId="603759C1">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芜湖市弋江区高新技术开发区漳河路28号</w:t>
            </w:r>
          </w:p>
        </w:tc>
      </w:tr>
      <w:tr w14:paraId="7AA4C7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72" w:type="dxa"/>
            <w:tcMar>
              <w:top w:w="16" w:type="dxa"/>
              <w:left w:w="16" w:type="dxa"/>
              <w:right w:w="16" w:type="dxa"/>
            </w:tcMar>
            <w:vAlign w:val="center"/>
          </w:tcPr>
          <w:p w14:paraId="3F1ACD78">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地理坐标</w:t>
            </w:r>
          </w:p>
        </w:tc>
        <w:tc>
          <w:tcPr>
            <w:tcW w:w="7598" w:type="dxa"/>
            <w:gridSpan w:val="3"/>
            <w:vAlign w:val="center"/>
          </w:tcPr>
          <w:p w14:paraId="1708CDD8">
            <w:pPr>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w:t>
            </w:r>
            <w:r>
              <w:rPr>
                <w:rFonts w:ascii="Times New Roman" w:hAnsi="Times New Roman" w:eastAsia="宋体"/>
                <w:caps w:val="0"/>
                <w:color w:val="000000" w:themeColor="text1"/>
                <w:sz w:val="24"/>
                <w:highlight w:val="none"/>
                <w:u w:val="single"/>
                <w14:textFill>
                  <w14:solidFill>
                    <w14:schemeClr w14:val="tx1"/>
                  </w14:solidFill>
                </w14:textFill>
              </w:rPr>
              <w:t xml:space="preserve"> 118 </w:t>
            </w:r>
            <w:r>
              <w:rPr>
                <w:rFonts w:ascii="Times New Roman" w:hAnsi="Times New Roman" w:eastAsia="宋体"/>
                <w:caps w:val="0"/>
                <w:color w:val="000000" w:themeColor="text1"/>
                <w:sz w:val="24"/>
                <w:highlight w:val="none"/>
                <w14:textFill>
                  <w14:solidFill>
                    <w14:schemeClr w14:val="tx1"/>
                  </w14:solidFill>
                </w14:textFill>
              </w:rPr>
              <w:t>度</w:t>
            </w:r>
            <w:r>
              <w:rPr>
                <w:rFonts w:ascii="Times New Roman" w:hAnsi="Times New Roman" w:eastAsia="宋体"/>
                <w:caps w:val="0"/>
                <w:color w:val="000000" w:themeColor="text1"/>
                <w:sz w:val="24"/>
                <w:highlight w:val="none"/>
                <w:u w:val="single"/>
                <w14:textFill>
                  <w14:solidFill>
                    <w14:schemeClr w14:val="tx1"/>
                  </w14:solidFill>
                </w14:textFill>
              </w:rPr>
              <w:t xml:space="preserve"> 21 </w:t>
            </w:r>
            <w:r>
              <w:rPr>
                <w:rFonts w:ascii="Times New Roman" w:hAnsi="Times New Roman" w:eastAsia="宋体"/>
                <w:caps w:val="0"/>
                <w:color w:val="000000" w:themeColor="text1"/>
                <w:sz w:val="24"/>
                <w:highlight w:val="none"/>
                <w14:textFill>
                  <w14:solidFill>
                    <w14:schemeClr w14:val="tx1"/>
                  </w14:solidFill>
                </w14:textFill>
              </w:rPr>
              <w:t>分</w:t>
            </w:r>
            <w:r>
              <w:rPr>
                <w:rFonts w:ascii="Times New Roman" w:hAnsi="Times New Roman" w:eastAsia="宋体"/>
                <w:caps w:val="0"/>
                <w:color w:val="000000" w:themeColor="text1"/>
                <w:sz w:val="24"/>
                <w:highlight w:val="none"/>
                <w:u w:val="single"/>
                <w14:textFill>
                  <w14:solidFill>
                    <w14:schemeClr w14:val="tx1"/>
                  </w14:solidFill>
                </w14:textFill>
              </w:rPr>
              <w:t xml:space="preserve"> </w:t>
            </w:r>
            <w:r>
              <w:rPr>
                <w:rFonts w:hint="eastAsia"/>
                <w:caps w:val="0"/>
                <w:color w:val="000000" w:themeColor="text1"/>
                <w:sz w:val="24"/>
                <w:highlight w:val="none"/>
                <w:u w:val="single"/>
                <w:lang w:val="en-US" w:eastAsia="zh-CN"/>
                <w14:textFill>
                  <w14:solidFill>
                    <w14:schemeClr w14:val="tx1"/>
                  </w14:solidFill>
                </w14:textFill>
              </w:rPr>
              <w:t>24.388</w:t>
            </w:r>
            <w:r>
              <w:rPr>
                <w:rFonts w:ascii="Times New Roman" w:hAnsi="Times New Roman" w:eastAsia="宋体"/>
                <w:caps w:val="0"/>
                <w:color w:val="000000" w:themeColor="text1"/>
                <w:sz w:val="24"/>
                <w:highlight w:val="none"/>
                <w:u w:val="single"/>
                <w14:textFill>
                  <w14:solidFill>
                    <w14:schemeClr w14:val="tx1"/>
                  </w14:solidFill>
                </w14:textFill>
              </w:rPr>
              <w:t xml:space="preserve"> </w:t>
            </w:r>
            <w:r>
              <w:rPr>
                <w:rFonts w:ascii="Times New Roman" w:hAnsi="Times New Roman" w:eastAsia="宋体"/>
                <w:caps w:val="0"/>
                <w:color w:val="000000" w:themeColor="text1"/>
                <w:sz w:val="24"/>
                <w:highlight w:val="none"/>
                <w14:textFill>
                  <w14:solidFill>
                    <w14:schemeClr w14:val="tx1"/>
                  </w14:solidFill>
                </w14:textFill>
              </w:rPr>
              <w:t>秒，</w:t>
            </w:r>
            <w:r>
              <w:rPr>
                <w:rFonts w:ascii="Times New Roman" w:hAnsi="Times New Roman" w:eastAsia="宋体"/>
                <w:caps w:val="0"/>
                <w:color w:val="000000" w:themeColor="text1"/>
                <w:sz w:val="24"/>
                <w:highlight w:val="none"/>
                <w:u w:val="single"/>
                <w14:textFill>
                  <w14:solidFill>
                    <w14:schemeClr w14:val="tx1"/>
                  </w14:solidFill>
                </w14:textFill>
              </w:rPr>
              <w:t xml:space="preserve"> 31 </w:t>
            </w:r>
            <w:r>
              <w:rPr>
                <w:rFonts w:ascii="Times New Roman" w:hAnsi="Times New Roman" w:eastAsia="宋体"/>
                <w:caps w:val="0"/>
                <w:color w:val="000000" w:themeColor="text1"/>
                <w:sz w:val="24"/>
                <w:highlight w:val="none"/>
                <w14:textFill>
                  <w14:solidFill>
                    <w14:schemeClr w14:val="tx1"/>
                  </w14:solidFill>
                </w14:textFill>
              </w:rPr>
              <w:t>度</w:t>
            </w:r>
            <w:r>
              <w:rPr>
                <w:rFonts w:ascii="Times New Roman" w:hAnsi="Times New Roman" w:eastAsia="宋体"/>
                <w:caps w:val="0"/>
                <w:color w:val="000000" w:themeColor="text1"/>
                <w:sz w:val="24"/>
                <w:highlight w:val="none"/>
                <w:u w:val="single"/>
                <w14:textFill>
                  <w14:solidFill>
                    <w14:schemeClr w14:val="tx1"/>
                  </w14:solidFill>
                </w14:textFill>
              </w:rPr>
              <w:t xml:space="preserve"> 1</w:t>
            </w:r>
            <w:r>
              <w:rPr>
                <w:rFonts w:hint="eastAsia" w:ascii="Times New Roman" w:hAnsi="Times New Roman" w:eastAsia="宋体"/>
                <w:caps w:val="0"/>
                <w:color w:val="000000" w:themeColor="text1"/>
                <w:sz w:val="24"/>
                <w:highlight w:val="none"/>
                <w:u w:val="single"/>
                <w14:textFill>
                  <w14:solidFill>
                    <w14:schemeClr w14:val="tx1"/>
                  </w14:solidFill>
                </w14:textFill>
              </w:rPr>
              <w:t>5</w:t>
            </w:r>
            <w:r>
              <w:rPr>
                <w:rFonts w:ascii="Times New Roman" w:hAnsi="Times New Roman" w:eastAsia="宋体"/>
                <w:caps w:val="0"/>
                <w:color w:val="000000" w:themeColor="text1"/>
                <w:sz w:val="24"/>
                <w:highlight w:val="none"/>
                <w:u w:val="single"/>
                <w14:textFill>
                  <w14:solidFill>
                    <w14:schemeClr w14:val="tx1"/>
                  </w14:solidFill>
                </w14:textFill>
              </w:rPr>
              <w:t xml:space="preserve"> </w:t>
            </w:r>
            <w:r>
              <w:rPr>
                <w:rFonts w:ascii="Times New Roman" w:hAnsi="Times New Roman" w:eastAsia="宋体"/>
                <w:caps w:val="0"/>
                <w:color w:val="000000" w:themeColor="text1"/>
                <w:sz w:val="24"/>
                <w:highlight w:val="none"/>
                <w14:textFill>
                  <w14:solidFill>
                    <w14:schemeClr w14:val="tx1"/>
                  </w14:solidFill>
                </w14:textFill>
              </w:rPr>
              <w:t>分</w:t>
            </w:r>
            <w:r>
              <w:rPr>
                <w:rFonts w:ascii="Times New Roman" w:hAnsi="Times New Roman" w:eastAsia="宋体"/>
                <w:caps w:val="0"/>
                <w:color w:val="000000" w:themeColor="text1"/>
                <w:sz w:val="24"/>
                <w:highlight w:val="none"/>
                <w:u w:val="single"/>
                <w14:textFill>
                  <w14:solidFill>
                    <w14:schemeClr w14:val="tx1"/>
                  </w14:solidFill>
                </w14:textFill>
              </w:rPr>
              <w:t xml:space="preserve"> </w:t>
            </w:r>
            <w:r>
              <w:rPr>
                <w:rFonts w:hint="eastAsia"/>
                <w:caps w:val="0"/>
                <w:color w:val="000000" w:themeColor="text1"/>
                <w:sz w:val="24"/>
                <w:highlight w:val="none"/>
                <w:u w:val="single"/>
                <w:lang w:val="en-US" w:eastAsia="zh-CN"/>
                <w14:textFill>
                  <w14:solidFill>
                    <w14:schemeClr w14:val="tx1"/>
                  </w14:solidFill>
                </w14:textFill>
              </w:rPr>
              <w:t>22.495</w:t>
            </w:r>
            <w:r>
              <w:rPr>
                <w:rFonts w:ascii="Times New Roman" w:hAnsi="Times New Roman" w:eastAsia="宋体"/>
                <w:caps w:val="0"/>
                <w:color w:val="000000" w:themeColor="text1"/>
                <w:sz w:val="24"/>
                <w:highlight w:val="none"/>
                <w:u w:val="single"/>
                <w14:textFill>
                  <w14:solidFill>
                    <w14:schemeClr w14:val="tx1"/>
                  </w14:solidFill>
                </w14:textFill>
              </w:rPr>
              <w:t xml:space="preserve"> </w:t>
            </w:r>
            <w:r>
              <w:rPr>
                <w:rFonts w:ascii="Times New Roman" w:hAnsi="Times New Roman" w:eastAsia="宋体"/>
                <w:caps w:val="0"/>
                <w:color w:val="000000" w:themeColor="text1"/>
                <w:sz w:val="24"/>
                <w:highlight w:val="none"/>
                <w14:textFill>
                  <w14:solidFill>
                    <w14:schemeClr w14:val="tx1"/>
                  </w14:solidFill>
                </w14:textFill>
              </w:rPr>
              <w:t>秒）</w:t>
            </w:r>
          </w:p>
        </w:tc>
      </w:tr>
      <w:tr w14:paraId="18E4DC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70" w:hRule="atLeast"/>
          <w:jc w:val="center"/>
        </w:trPr>
        <w:tc>
          <w:tcPr>
            <w:tcW w:w="1272" w:type="dxa"/>
            <w:tcMar>
              <w:top w:w="16" w:type="dxa"/>
              <w:left w:w="16" w:type="dxa"/>
              <w:right w:w="16" w:type="dxa"/>
            </w:tcMar>
            <w:vAlign w:val="center"/>
          </w:tcPr>
          <w:p w14:paraId="6148BE37">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国民经济</w:t>
            </w:r>
          </w:p>
          <w:p w14:paraId="422B0D71">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行业类别</w:t>
            </w:r>
          </w:p>
        </w:tc>
        <w:tc>
          <w:tcPr>
            <w:tcW w:w="1755" w:type="dxa"/>
            <w:vAlign w:val="center"/>
          </w:tcPr>
          <w:p w14:paraId="68C6C327">
            <w:pPr>
              <w:adjustRightInd w:val="0"/>
              <w:snapToGrid w:val="0"/>
              <w:jc w:val="center"/>
              <w:rPr>
                <w:rFonts w:hint="eastAsia"/>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C</w:t>
            </w:r>
            <w:r>
              <w:rPr>
                <w:rFonts w:hint="eastAsia"/>
                <w:caps w:val="0"/>
                <w:color w:val="000000" w:themeColor="text1"/>
                <w:sz w:val="24"/>
                <w:highlight w:val="none"/>
                <w:lang w:val="en-US" w:eastAsia="zh-CN"/>
                <w14:textFill>
                  <w14:solidFill>
                    <w14:schemeClr w14:val="tx1"/>
                  </w14:solidFill>
                </w14:textFill>
              </w:rPr>
              <w:t>3670汽车零部件及配件制造</w:t>
            </w:r>
          </w:p>
          <w:p w14:paraId="30E07720">
            <w:pPr>
              <w:adjustRightInd w:val="0"/>
              <w:snapToGrid w:val="0"/>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sz w:val="24"/>
                <w:szCs w:val="24"/>
                <w:lang w:val="en-US" w:eastAsia="zh-CN"/>
              </w:rPr>
              <w:t>C2929塑料零件及其他塑料制品制造</w:t>
            </w:r>
          </w:p>
        </w:tc>
        <w:tc>
          <w:tcPr>
            <w:tcW w:w="1922" w:type="dxa"/>
            <w:vAlign w:val="center"/>
          </w:tcPr>
          <w:p w14:paraId="33598AB7">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bookmarkStart w:id="1" w:name="_Hlk49843745"/>
            <w:r>
              <w:rPr>
                <w:rFonts w:ascii="Times New Roman" w:hAnsi="Times New Roman" w:eastAsia="宋体"/>
                <w:caps w:val="0"/>
                <w:color w:val="000000" w:themeColor="text1"/>
                <w:sz w:val="24"/>
                <w:highlight w:val="none"/>
                <w14:textFill>
                  <w14:solidFill>
                    <w14:schemeClr w14:val="tx1"/>
                  </w14:solidFill>
                </w14:textFill>
              </w:rPr>
              <w:t>建设项目</w:t>
            </w:r>
          </w:p>
          <w:p w14:paraId="099B0C0B">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行业类别</w:t>
            </w:r>
            <w:bookmarkEnd w:id="1"/>
          </w:p>
        </w:tc>
        <w:tc>
          <w:tcPr>
            <w:tcW w:w="3921" w:type="dxa"/>
            <w:vAlign w:val="center"/>
          </w:tcPr>
          <w:p w14:paraId="15266542">
            <w:pPr>
              <w:keepNext w:val="0"/>
              <w:keepLines w:val="0"/>
              <w:pageBreakBefore w:val="0"/>
              <w:kinsoku/>
              <w:wordWrap/>
              <w:overflowPunct/>
              <w:topLinePunct w:val="0"/>
              <w:autoSpaceDE/>
              <w:autoSpaceDN/>
              <w:bidi w:val="0"/>
              <w:adjustRightInd w:val="0"/>
              <w:snapToGrid w:val="0"/>
              <w:spacing w:line="240" w:lineRule="auto"/>
              <w:ind w:right="0"/>
              <w:textAlignment w:val="auto"/>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“三十</w:t>
            </w:r>
            <w:r>
              <w:rPr>
                <w:rFonts w:hint="eastAsia"/>
                <w:caps w:val="0"/>
                <w:color w:val="000000" w:themeColor="text1"/>
                <w:sz w:val="24"/>
                <w:highlight w:val="none"/>
                <w:lang w:val="en-US" w:eastAsia="zh-CN"/>
                <w14:textFill>
                  <w14:solidFill>
                    <w14:schemeClr w14:val="tx1"/>
                  </w14:solidFill>
                </w14:textFill>
              </w:rPr>
              <w:t>三</w:t>
            </w:r>
            <w:r>
              <w:rPr>
                <w:rFonts w:hint="eastAsia" w:ascii="Times New Roman" w:hAnsi="Times New Roman" w:eastAsia="宋体"/>
                <w:caps w:val="0"/>
                <w:color w:val="000000" w:themeColor="text1"/>
                <w:sz w:val="24"/>
                <w:highlight w:val="none"/>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汽车制造业</w:t>
            </w:r>
            <w:r>
              <w:rPr>
                <w:rFonts w:hint="eastAsia" w:ascii="Times New Roman" w:hAnsi="Times New Roman" w:eastAsia="宋体"/>
                <w:caps w:val="0"/>
                <w:color w:val="000000" w:themeColor="text1"/>
                <w:sz w:val="24"/>
                <w:highlight w:val="none"/>
                <w14:textFill>
                  <w14:solidFill>
                    <w14:schemeClr w14:val="tx1"/>
                  </w14:solidFill>
                </w14:textFill>
              </w:rPr>
              <w:t xml:space="preserve"> 3</w:t>
            </w:r>
            <w:r>
              <w:rPr>
                <w:rFonts w:hint="eastAsia"/>
                <w:caps w:val="0"/>
                <w:color w:val="000000" w:themeColor="text1"/>
                <w:sz w:val="24"/>
                <w:highlight w:val="none"/>
                <w:lang w:val="en-US" w:eastAsia="zh-CN"/>
                <w14:textFill>
                  <w14:solidFill>
                    <w14:schemeClr w14:val="tx1"/>
                  </w14:solidFill>
                </w14:textFill>
              </w:rPr>
              <w:t>6</w:t>
            </w:r>
            <w:r>
              <w:rPr>
                <w:rFonts w:hint="eastAsia" w:ascii="Times New Roman" w:hAnsi="Times New Roman" w:eastAsia="宋体"/>
                <w:caps w:val="0"/>
                <w:color w:val="000000" w:themeColor="text1"/>
                <w:sz w:val="24"/>
                <w:highlight w:val="none"/>
                <w14:textFill>
                  <w14:solidFill>
                    <w14:schemeClr w14:val="tx1"/>
                  </w14:solidFill>
                </w14:textFill>
              </w:rPr>
              <w:t>”中的“</w:t>
            </w:r>
            <w:r>
              <w:rPr>
                <w:rFonts w:hint="eastAsia"/>
                <w:caps w:val="0"/>
                <w:color w:val="000000" w:themeColor="text1"/>
                <w:sz w:val="24"/>
                <w:highlight w:val="none"/>
                <w:lang w:val="en-US" w:eastAsia="zh-CN"/>
                <w14:textFill>
                  <w14:solidFill>
                    <w14:schemeClr w14:val="tx1"/>
                  </w14:solidFill>
                </w14:textFill>
              </w:rPr>
              <w:t>71</w:t>
            </w:r>
            <w:r>
              <w:rPr>
                <w:rFonts w:hint="eastAsia" w:ascii="Times New Roman" w:hAnsi="Times New Roman" w:eastAsia="宋体"/>
                <w:caps w:val="0"/>
                <w:color w:val="000000" w:themeColor="text1"/>
                <w:sz w:val="24"/>
                <w:highlight w:val="none"/>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汽车整车制造361；汽车用发动机制造362；改装汽车制造363；低速汽车制造364；电车制造365；汽车车身、挂车制造366；汽车零部件及配件制造367</w:t>
            </w:r>
            <w:r>
              <w:rPr>
                <w:rFonts w:hint="eastAsia" w:ascii="Times New Roman" w:hAnsi="Times New Roman" w:eastAsia="宋体"/>
                <w:caps w:val="0"/>
                <w:color w:val="000000" w:themeColor="text1"/>
                <w:sz w:val="24"/>
                <w:highlight w:val="none"/>
                <w14:textFill>
                  <w14:solidFill>
                    <w14:schemeClr w14:val="tx1"/>
                  </w14:solidFill>
                </w14:textFill>
              </w:rPr>
              <w:t>”</w:t>
            </w:r>
          </w:p>
          <w:p w14:paraId="4A4E438C">
            <w:pPr>
              <w:pStyle w:val="7"/>
              <w:keepNext w:val="0"/>
              <w:keepLines w:val="0"/>
              <w:pageBreakBefore w:val="0"/>
              <w:kinsoku/>
              <w:wordWrap/>
              <w:overflowPunct/>
              <w:topLinePunct w:val="0"/>
              <w:autoSpaceDE/>
              <w:autoSpaceDN/>
              <w:bidi w:val="0"/>
              <w:snapToGrid w:val="0"/>
              <w:spacing w:before="0" w:after="0" w:line="240" w:lineRule="auto"/>
              <w:ind w:right="0"/>
              <w:textAlignment w:val="auto"/>
              <w:rPr>
                <w:rFonts w:hint="default" w:eastAsia="宋体"/>
                <w:lang w:val="en-US" w:eastAsia="zh-CN"/>
              </w:rPr>
            </w:pPr>
            <w:r>
              <w:rPr>
                <w:rFonts w:hint="eastAsia"/>
                <w:caps w:val="0"/>
                <w:color w:val="000000" w:themeColor="text1"/>
                <w:sz w:val="24"/>
                <w:highlight w:val="none"/>
                <w:lang w:eastAsia="zh-CN"/>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二十六 橡胶和塑料制品业29</w:t>
            </w:r>
            <w:r>
              <w:rPr>
                <w:rFonts w:hint="eastAsia"/>
                <w:caps w:val="0"/>
                <w:color w:val="000000" w:themeColor="text1"/>
                <w:sz w:val="24"/>
                <w:highlight w:val="none"/>
                <w:lang w:eastAsia="zh-CN"/>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中的“53、塑料制品业 292”</w:t>
            </w:r>
          </w:p>
        </w:tc>
      </w:tr>
      <w:tr w14:paraId="2513B9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272" w:type="dxa"/>
            <w:tcMar>
              <w:top w:w="16" w:type="dxa"/>
              <w:left w:w="16" w:type="dxa"/>
              <w:right w:w="16" w:type="dxa"/>
            </w:tcMar>
            <w:vAlign w:val="center"/>
          </w:tcPr>
          <w:p w14:paraId="2670A844">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建设性质</w:t>
            </w:r>
          </w:p>
        </w:tc>
        <w:tc>
          <w:tcPr>
            <w:tcW w:w="1755" w:type="dxa"/>
            <w:vAlign w:val="center"/>
          </w:tcPr>
          <w:p w14:paraId="0748F951">
            <w:pPr>
              <w:jc w:val="left"/>
              <w:rPr>
                <w:rFonts w:ascii="Times New Roman" w:hAnsi="Times New Roman" w:eastAsia="宋体"/>
                <w:caps w:val="0"/>
                <w:color w:val="000000" w:themeColor="text1"/>
                <w:sz w:val="24"/>
                <w:highlight w:val="none"/>
                <w14:textFill>
                  <w14:solidFill>
                    <w14:schemeClr w14:val="tx1"/>
                  </w14:solidFill>
                </w14:textFill>
              </w:rPr>
            </w:pPr>
            <w:r>
              <w:rPr>
                <w:rFonts w:hint="eastAsia"/>
                <w:caps w:val="0"/>
                <w:color w:val="000000" w:themeColor="text1"/>
                <w:sz w:val="24"/>
                <w:highlight w:val="none"/>
                <w:lang w:eastAsia="zh-CN"/>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新建（迁建）</w:t>
            </w:r>
          </w:p>
          <w:p w14:paraId="69812A28">
            <w:pPr>
              <w:jc w:val="left"/>
              <w:rPr>
                <w:rFonts w:ascii="Times New Roman" w:hAnsi="Times New Roman" w:eastAsia="宋体"/>
                <w:caps w:val="0"/>
                <w:color w:val="000000" w:themeColor="text1"/>
                <w:sz w:val="24"/>
                <w:highlight w:val="none"/>
                <w14:textFill>
                  <w14:solidFill>
                    <w14:schemeClr w14:val="tx1"/>
                  </w14:solidFill>
                </w14:textFill>
              </w:rPr>
            </w:pPr>
            <w:r>
              <w:rPr>
                <w:rFonts w:hint="eastAsia"/>
                <w:caps w:val="0"/>
                <w:color w:val="000000" w:themeColor="text1"/>
                <w:sz w:val="24"/>
                <w:highlight w:val="none"/>
                <w:lang w:eastAsia="zh-CN"/>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改建</w:t>
            </w:r>
          </w:p>
          <w:p w14:paraId="3EF1008F">
            <w:pPr>
              <w:jc w:val="left"/>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lang w:eastAsia="zh-CN"/>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扩建</w:t>
            </w:r>
          </w:p>
          <w:p w14:paraId="42B8BC28">
            <w:pPr>
              <w:jc w:val="left"/>
              <w:rPr>
                <w:rFonts w:ascii="Times New Roman" w:hAnsi="Times New Roman" w:eastAsia="宋体"/>
                <w:caps w:val="0"/>
                <w:color w:val="000000" w:themeColor="text1"/>
                <w:sz w:val="24"/>
                <w:highlight w:val="none"/>
                <w14:textFill>
                  <w14:solidFill>
                    <w14:schemeClr w14:val="tx1"/>
                  </w14:solidFill>
                </w14:textFill>
              </w:rPr>
            </w:pPr>
            <w:r>
              <w:rPr>
                <w:rFonts w:hint="eastAsia"/>
                <w:caps w:val="0"/>
                <w:color w:val="000000" w:themeColor="text1"/>
                <w:sz w:val="24"/>
                <w:highlight w:val="none"/>
                <w:lang w:eastAsia="zh-CN"/>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技术改造</w:t>
            </w:r>
          </w:p>
        </w:tc>
        <w:tc>
          <w:tcPr>
            <w:tcW w:w="1922" w:type="dxa"/>
            <w:vAlign w:val="center"/>
          </w:tcPr>
          <w:p w14:paraId="54B45151">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建设项目</w:t>
            </w:r>
          </w:p>
          <w:p w14:paraId="4B78F04F">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申报情形</w:t>
            </w:r>
          </w:p>
        </w:tc>
        <w:tc>
          <w:tcPr>
            <w:tcW w:w="3921" w:type="dxa"/>
            <w:vAlign w:val="center"/>
          </w:tcPr>
          <w:p w14:paraId="0B458895">
            <w:pPr>
              <w:jc w:val="left"/>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 xml:space="preserve">√首次申报项目             </w:t>
            </w:r>
          </w:p>
          <w:p w14:paraId="2756E610">
            <w:pPr>
              <w:jc w:val="left"/>
              <w:rPr>
                <w:rFonts w:ascii="Times New Roman" w:hAnsi="Times New Roman" w:eastAsia="宋体"/>
                <w:caps w:val="0"/>
                <w:color w:val="000000" w:themeColor="text1"/>
                <w:sz w:val="24"/>
                <w:highlight w:val="none"/>
                <w14:textFill>
                  <w14:solidFill>
                    <w14:schemeClr w14:val="tx1"/>
                  </w14:solidFill>
                </w14:textFill>
              </w:rPr>
            </w:pPr>
            <w:r>
              <w:rPr>
                <w:rFonts w:hint="eastAsia"/>
                <w:caps w:val="0"/>
                <w:color w:val="000000" w:themeColor="text1"/>
                <w:sz w:val="24"/>
                <w:highlight w:val="none"/>
                <w:lang w:eastAsia="zh-CN"/>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不予批准后再次申报项目</w:t>
            </w:r>
          </w:p>
          <w:p w14:paraId="7783CAA4">
            <w:pPr>
              <w:jc w:val="left"/>
              <w:rPr>
                <w:rFonts w:ascii="Times New Roman" w:hAnsi="Times New Roman" w:eastAsia="宋体"/>
                <w:caps w:val="0"/>
                <w:color w:val="000000" w:themeColor="text1"/>
                <w:sz w:val="24"/>
                <w:highlight w:val="none"/>
                <w14:textFill>
                  <w14:solidFill>
                    <w14:schemeClr w14:val="tx1"/>
                  </w14:solidFill>
                </w14:textFill>
              </w:rPr>
            </w:pPr>
            <w:r>
              <w:rPr>
                <w:rFonts w:hint="eastAsia"/>
                <w:caps w:val="0"/>
                <w:color w:val="000000" w:themeColor="text1"/>
                <w:sz w:val="24"/>
                <w:highlight w:val="none"/>
                <w:lang w:eastAsia="zh-CN"/>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 xml:space="preserve">超五年重新审核项目     </w:t>
            </w:r>
          </w:p>
          <w:p w14:paraId="0A55AC35">
            <w:pPr>
              <w:jc w:val="left"/>
              <w:rPr>
                <w:rFonts w:ascii="Times New Roman" w:hAnsi="Times New Roman" w:eastAsia="宋体"/>
                <w:caps w:val="0"/>
                <w:color w:val="000000" w:themeColor="text1"/>
                <w:sz w:val="24"/>
                <w:highlight w:val="none"/>
                <w14:textFill>
                  <w14:solidFill>
                    <w14:schemeClr w14:val="tx1"/>
                  </w14:solidFill>
                </w14:textFill>
              </w:rPr>
            </w:pPr>
            <w:r>
              <w:rPr>
                <w:rFonts w:hint="eastAsia"/>
                <w:caps w:val="0"/>
                <w:color w:val="000000" w:themeColor="text1"/>
                <w:sz w:val="24"/>
                <w:highlight w:val="none"/>
                <w:lang w:eastAsia="zh-CN"/>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重大变动重新报批项目</w:t>
            </w:r>
          </w:p>
        </w:tc>
      </w:tr>
      <w:tr w14:paraId="7ABCB0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272" w:type="dxa"/>
            <w:tcMar>
              <w:top w:w="16" w:type="dxa"/>
              <w:left w:w="16" w:type="dxa"/>
              <w:right w:w="16" w:type="dxa"/>
            </w:tcMar>
            <w:vAlign w:val="center"/>
          </w:tcPr>
          <w:p w14:paraId="2AC4B49B">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项目审批（核准/</w:t>
            </w:r>
          </w:p>
          <w:p w14:paraId="6533469A">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备案）部门（选填）</w:t>
            </w:r>
          </w:p>
        </w:tc>
        <w:tc>
          <w:tcPr>
            <w:tcW w:w="1755" w:type="dxa"/>
            <w:vAlign w:val="center"/>
          </w:tcPr>
          <w:p w14:paraId="2E8FC2D0">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芜湖市弋江区发展和改革委员会</w:t>
            </w:r>
          </w:p>
        </w:tc>
        <w:tc>
          <w:tcPr>
            <w:tcW w:w="1922" w:type="dxa"/>
            <w:vAlign w:val="center"/>
          </w:tcPr>
          <w:p w14:paraId="77C3BFD3">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项目审批（核准/</w:t>
            </w:r>
          </w:p>
          <w:p w14:paraId="2687A9F0">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备案）文号（选填）</w:t>
            </w:r>
          </w:p>
        </w:tc>
        <w:tc>
          <w:tcPr>
            <w:tcW w:w="3921" w:type="dxa"/>
            <w:vAlign w:val="center"/>
          </w:tcPr>
          <w:p w14:paraId="2B5311E2">
            <w:pPr>
              <w:adjustRightInd w:val="0"/>
              <w:snapToGrid w:val="0"/>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w:t>
            </w:r>
          </w:p>
        </w:tc>
      </w:tr>
      <w:tr w14:paraId="4A788D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72" w:type="dxa"/>
            <w:tcMar>
              <w:top w:w="16" w:type="dxa"/>
              <w:left w:w="16" w:type="dxa"/>
              <w:right w:w="16" w:type="dxa"/>
            </w:tcMar>
            <w:vAlign w:val="center"/>
          </w:tcPr>
          <w:p w14:paraId="4B82BE35">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总投资（万元）</w:t>
            </w:r>
          </w:p>
        </w:tc>
        <w:tc>
          <w:tcPr>
            <w:tcW w:w="1755" w:type="dxa"/>
            <w:vAlign w:val="center"/>
          </w:tcPr>
          <w:p w14:paraId="1FE8D477">
            <w:pPr>
              <w:adjustRightInd w:val="0"/>
              <w:snapToGrid w:val="0"/>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8000</w:t>
            </w:r>
          </w:p>
        </w:tc>
        <w:tc>
          <w:tcPr>
            <w:tcW w:w="1922" w:type="dxa"/>
            <w:tcMar>
              <w:top w:w="16" w:type="dxa"/>
              <w:left w:w="16" w:type="dxa"/>
              <w:right w:w="16" w:type="dxa"/>
            </w:tcMar>
            <w:vAlign w:val="center"/>
          </w:tcPr>
          <w:p w14:paraId="4E469E94">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环保投资（万元）</w:t>
            </w:r>
          </w:p>
        </w:tc>
        <w:tc>
          <w:tcPr>
            <w:tcW w:w="3921" w:type="dxa"/>
            <w:vAlign w:val="center"/>
          </w:tcPr>
          <w:p w14:paraId="2992D466">
            <w:pPr>
              <w:adjustRightInd w:val="0"/>
              <w:snapToGrid w:val="0"/>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40</w:t>
            </w:r>
          </w:p>
        </w:tc>
      </w:tr>
      <w:tr w14:paraId="21D941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72" w:type="dxa"/>
            <w:tcMar>
              <w:top w:w="16" w:type="dxa"/>
              <w:left w:w="16" w:type="dxa"/>
              <w:right w:w="16" w:type="dxa"/>
            </w:tcMar>
            <w:vAlign w:val="center"/>
          </w:tcPr>
          <w:p w14:paraId="65B2C29D">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环保投资占比（%）</w:t>
            </w:r>
          </w:p>
        </w:tc>
        <w:tc>
          <w:tcPr>
            <w:tcW w:w="1755" w:type="dxa"/>
            <w:vAlign w:val="center"/>
          </w:tcPr>
          <w:p w14:paraId="437605FA">
            <w:pPr>
              <w:adjustRightInd w:val="0"/>
              <w:snapToGrid w:val="0"/>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0.5</w:t>
            </w:r>
          </w:p>
        </w:tc>
        <w:tc>
          <w:tcPr>
            <w:tcW w:w="1922" w:type="dxa"/>
            <w:tcMar>
              <w:top w:w="16" w:type="dxa"/>
              <w:left w:w="16" w:type="dxa"/>
              <w:right w:w="16" w:type="dxa"/>
            </w:tcMar>
            <w:vAlign w:val="center"/>
          </w:tcPr>
          <w:p w14:paraId="51E171FA">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施工工期</w:t>
            </w:r>
          </w:p>
        </w:tc>
        <w:tc>
          <w:tcPr>
            <w:tcW w:w="3921" w:type="dxa"/>
            <w:vAlign w:val="center"/>
          </w:tcPr>
          <w:p w14:paraId="79B2DC7B">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12</w:t>
            </w:r>
            <w:r>
              <w:rPr>
                <w:rFonts w:hint="eastAsia" w:ascii="Times New Roman" w:hAnsi="Times New Roman" w:eastAsia="宋体"/>
                <w:caps w:val="0"/>
                <w:color w:val="000000" w:themeColor="text1"/>
                <w:sz w:val="24"/>
                <w:highlight w:val="none"/>
                <w14:textFill>
                  <w14:solidFill>
                    <w14:schemeClr w14:val="tx1"/>
                  </w14:solidFill>
                </w14:textFill>
              </w:rPr>
              <w:t>个月</w:t>
            </w:r>
          </w:p>
        </w:tc>
      </w:tr>
      <w:tr w14:paraId="02F5F9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72" w:type="dxa"/>
            <w:tcMar>
              <w:top w:w="16" w:type="dxa"/>
              <w:left w:w="16" w:type="dxa"/>
              <w:right w:w="16" w:type="dxa"/>
            </w:tcMar>
            <w:vAlign w:val="center"/>
          </w:tcPr>
          <w:p w14:paraId="50B0CEE0">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是否开工建设</w:t>
            </w:r>
          </w:p>
        </w:tc>
        <w:tc>
          <w:tcPr>
            <w:tcW w:w="1755" w:type="dxa"/>
            <w:vAlign w:val="center"/>
          </w:tcPr>
          <w:p w14:paraId="2E02E7FB">
            <w:pPr>
              <w:adjustRightInd w:val="0"/>
              <w:snapToGrid w:val="0"/>
              <w:rPr>
                <w:rFonts w:ascii="Times New Roman" w:hAnsi="Times New Roman" w:eastAsia="宋体" w:cs="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s="宋体"/>
                <w:caps w:val="0"/>
                <w:color w:val="000000" w:themeColor="text1"/>
                <w:sz w:val="24"/>
                <w:highlight w:val="none"/>
                <w14:textFill>
                  <w14:solidFill>
                    <w14:schemeClr w14:val="tx1"/>
                  </w14:solidFill>
                </w14:textFill>
              </w:rPr>
              <w:t>否</w:t>
            </w:r>
          </w:p>
          <w:p w14:paraId="417559F3">
            <w:pPr>
              <w:adjustRightInd w:val="0"/>
              <w:snapToGrid w:val="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□是</w:t>
            </w:r>
            <w:r>
              <w:rPr>
                <w:rFonts w:ascii="Times New Roman" w:hAnsi="Times New Roman" w:eastAsia="宋体"/>
                <w:caps w:val="0"/>
                <w:color w:val="000000" w:themeColor="text1"/>
                <w:sz w:val="24"/>
                <w:highlight w:val="none"/>
                <w14:textFill>
                  <w14:solidFill>
                    <w14:schemeClr w14:val="tx1"/>
                  </w14:solidFill>
                </w14:textFill>
              </w:rPr>
              <w:t>：</w:t>
            </w:r>
            <w:r>
              <w:rPr>
                <w:rFonts w:ascii="Times New Roman" w:hAnsi="Times New Roman" w:eastAsia="宋体"/>
                <w:caps w:val="0"/>
                <w:color w:val="000000" w:themeColor="text1"/>
                <w:sz w:val="24"/>
                <w:highlight w:val="none"/>
                <w:u w:val="single"/>
                <w14:textFill>
                  <w14:solidFill>
                    <w14:schemeClr w14:val="tx1"/>
                  </w14:solidFill>
                </w14:textFill>
              </w:rPr>
              <w:t xml:space="preserve">             </w:t>
            </w:r>
          </w:p>
        </w:tc>
        <w:tc>
          <w:tcPr>
            <w:tcW w:w="1922" w:type="dxa"/>
            <w:tcMar>
              <w:top w:w="16" w:type="dxa"/>
              <w:left w:w="16" w:type="dxa"/>
              <w:right w:w="16" w:type="dxa"/>
            </w:tcMar>
            <w:vAlign w:val="center"/>
          </w:tcPr>
          <w:p w14:paraId="6A77AE4F">
            <w:pPr>
              <w:adjustRightInd w:val="0"/>
              <w:snapToGrid w:val="0"/>
              <w:jc w:val="center"/>
              <w:rPr>
                <w:rFonts w:ascii="Times New Roman" w:hAnsi="Times New Roman" w:eastAsia="宋体"/>
                <w:caps w:val="0"/>
                <w:color w:val="000000" w:themeColor="text1"/>
                <w:spacing w:val="-6"/>
                <w:sz w:val="24"/>
                <w:highlight w:val="none"/>
                <w14:textFill>
                  <w14:solidFill>
                    <w14:schemeClr w14:val="tx1"/>
                  </w14:solidFill>
                </w14:textFill>
              </w:rPr>
            </w:pPr>
            <w:r>
              <w:rPr>
                <w:rFonts w:ascii="Times New Roman" w:hAnsi="Times New Roman" w:eastAsia="宋体"/>
                <w:caps w:val="0"/>
                <w:color w:val="000000" w:themeColor="text1"/>
                <w:spacing w:val="-6"/>
                <w:sz w:val="24"/>
                <w:highlight w:val="none"/>
                <w14:textFill>
                  <w14:solidFill>
                    <w14:schemeClr w14:val="tx1"/>
                  </w14:solidFill>
                </w14:textFill>
              </w:rPr>
              <w:t>用地（用海）</w:t>
            </w:r>
          </w:p>
          <w:p w14:paraId="1BAD79CE">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pacing w:val="-6"/>
                <w:sz w:val="24"/>
                <w:highlight w:val="none"/>
                <w14:textFill>
                  <w14:solidFill>
                    <w14:schemeClr w14:val="tx1"/>
                  </w14:solidFill>
                </w14:textFill>
              </w:rPr>
              <w:t>面积（m</w:t>
            </w:r>
            <w:r>
              <w:rPr>
                <w:rFonts w:ascii="Times New Roman" w:hAnsi="Times New Roman" w:eastAsia="宋体"/>
                <w:caps w:val="0"/>
                <w:color w:val="000000" w:themeColor="text1"/>
                <w:spacing w:val="-6"/>
                <w:sz w:val="24"/>
                <w:highlight w:val="none"/>
                <w:vertAlign w:val="superscript"/>
                <w14:textFill>
                  <w14:solidFill>
                    <w14:schemeClr w14:val="tx1"/>
                  </w14:solidFill>
                </w14:textFill>
              </w:rPr>
              <w:t>2</w:t>
            </w:r>
            <w:r>
              <w:rPr>
                <w:rFonts w:ascii="Times New Roman" w:hAnsi="Times New Roman" w:eastAsia="宋体"/>
                <w:caps w:val="0"/>
                <w:color w:val="000000" w:themeColor="text1"/>
                <w:spacing w:val="-6"/>
                <w:sz w:val="24"/>
                <w:highlight w:val="none"/>
                <w14:textFill>
                  <w14:solidFill>
                    <w14:schemeClr w14:val="tx1"/>
                  </w14:solidFill>
                </w14:textFill>
              </w:rPr>
              <w:t>）</w:t>
            </w:r>
          </w:p>
        </w:tc>
        <w:tc>
          <w:tcPr>
            <w:tcW w:w="3921" w:type="dxa"/>
            <w:vAlign w:val="center"/>
          </w:tcPr>
          <w:p w14:paraId="7D055523">
            <w:pPr>
              <w:adjustRightInd w:val="0"/>
              <w:snapToGrid w:val="0"/>
              <w:jc w:val="center"/>
              <w:rPr>
                <w:rFonts w:hint="default" w:ascii="Times New Roman" w:hAnsi="Times New Roman" w:eastAsia="宋体"/>
                <w:caps w:val="0"/>
                <w:color w:val="000000" w:themeColor="text1"/>
                <w:sz w:val="24"/>
                <w:highlight w:val="none"/>
                <w:lang w:val="en-US"/>
                <w14:textFill>
                  <w14:solidFill>
                    <w14:schemeClr w14:val="tx1"/>
                  </w14:solidFill>
                </w14:textFill>
              </w:rPr>
            </w:pPr>
            <w:r>
              <w:rPr>
                <w:rFonts w:hint="eastAsia" w:ascii="Times New Roman" w:hAnsi="Times New Roman" w:eastAsia="宋体"/>
                <w:caps w:val="0"/>
                <w:color w:val="000000" w:themeColor="text1"/>
                <w:spacing w:val="-6"/>
                <w:sz w:val="24"/>
                <w:highlight w:val="none"/>
                <w:lang w:val="en-US" w:eastAsia="zh-CN"/>
                <w14:textFill>
                  <w14:solidFill>
                    <w14:schemeClr w14:val="tx1"/>
                  </w14:solidFill>
                </w14:textFill>
              </w:rPr>
              <w:t>14257.73（建筑面积）</w:t>
            </w:r>
          </w:p>
        </w:tc>
      </w:tr>
      <w:tr w14:paraId="524D44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72" w:type="dxa"/>
            <w:vAlign w:val="center"/>
          </w:tcPr>
          <w:p w14:paraId="7EFA9285">
            <w:pPr>
              <w:autoSpaceDE w:val="0"/>
              <w:autoSpaceDN w:val="0"/>
              <w:adjustRightInd w:val="0"/>
              <w:snapToGrid w:val="0"/>
              <w:jc w:val="center"/>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专项评价设置情况</w:t>
            </w:r>
          </w:p>
        </w:tc>
        <w:tc>
          <w:tcPr>
            <w:tcW w:w="7598" w:type="dxa"/>
            <w:gridSpan w:val="3"/>
            <w:vAlign w:val="center"/>
          </w:tcPr>
          <w:p w14:paraId="2B8D96AD">
            <w:pPr>
              <w:autoSpaceDE w:val="0"/>
              <w:autoSpaceDN w:val="0"/>
              <w:adjustRightInd w:val="0"/>
              <w:snapToGrid w:val="0"/>
              <w:jc w:val="center"/>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无</w:t>
            </w:r>
          </w:p>
        </w:tc>
      </w:tr>
      <w:tr w14:paraId="46367B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272" w:type="dxa"/>
            <w:vAlign w:val="center"/>
          </w:tcPr>
          <w:p w14:paraId="231E273E">
            <w:pPr>
              <w:autoSpaceDE w:val="0"/>
              <w:autoSpaceDN w:val="0"/>
              <w:adjustRightInd w:val="0"/>
              <w:snapToGrid w:val="0"/>
              <w:jc w:val="center"/>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规划情况</w:t>
            </w:r>
          </w:p>
        </w:tc>
        <w:tc>
          <w:tcPr>
            <w:tcW w:w="7598" w:type="dxa"/>
            <w:gridSpan w:val="3"/>
            <w:vAlign w:val="center"/>
          </w:tcPr>
          <w:p w14:paraId="172FC2AD">
            <w:pPr>
              <w:keepNext w:val="0"/>
              <w:keepLines w:val="0"/>
              <w:pageBreakBefore w:val="0"/>
              <w:widowControl w:val="0"/>
              <w:kinsoku/>
              <w:wordWrap/>
              <w:overflowPunct/>
              <w:topLinePunct w:val="0"/>
              <w:bidi w:val="0"/>
              <w:spacing w:line="360" w:lineRule="auto"/>
              <w:ind w:firstLine="480" w:firstLineChars="200"/>
              <w:jc w:val="left"/>
              <w:textAlignment w:val="auto"/>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规划名称：《芜湖高新技术产业开发区总体规划（201</w:t>
            </w:r>
            <w:r>
              <w:rPr>
                <w:rFonts w:ascii="Times New Roman" w:hAnsi="Times New Roman" w:eastAsia="宋体"/>
                <w:caps w:val="0"/>
                <w:color w:val="000000" w:themeColor="text1"/>
                <w:sz w:val="24"/>
                <w:highlight w:val="none"/>
                <w14:textFill>
                  <w14:solidFill>
                    <w14:schemeClr w14:val="tx1"/>
                  </w14:solidFill>
                </w14:textFill>
              </w:rPr>
              <w:t>0</w:t>
            </w:r>
            <w:r>
              <w:rPr>
                <w:rFonts w:hint="eastAsia" w:ascii="Times New Roman" w:hAnsi="Times New Roman" w:eastAsia="宋体"/>
                <w:caps w:val="0"/>
                <w:color w:val="000000" w:themeColor="text1"/>
                <w:sz w:val="24"/>
                <w:highlight w:val="none"/>
                <w14:textFill>
                  <w14:solidFill>
                    <w14:schemeClr w14:val="tx1"/>
                  </w14:solidFill>
                </w14:textFill>
              </w:rPr>
              <w:t>-2030年）》</w:t>
            </w:r>
          </w:p>
          <w:p w14:paraId="3B42694E">
            <w:pPr>
              <w:keepNext w:val="0"/>
              <w:keepLines w:val="0"/>
              <w:pageBreakBefore w:val="0"/>
              <w:widowControl w:val="0"/>
              <w:kinsoku/>
              <w:wordWrap/>
              <w:overflowPunct/>
              <w:topLinePunct w:val="0"/>
              <w:bidi w:val="0"/>
              <w:spacing w:line="360" w:lineRule="auto"/>
              <w:ind w:firstLine="480" w:firstLineChars="200"/>
              <w:jc w:val="left"/>
              <w:textAlignment w:val="auto"/>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审批机关：/</w:t>
            </w:r>
          </w:p>
          <w:p w14:paraId="63101E86">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审批文件名称及文号：</w:t>
            </w:r>
            <w:r>
              <w:rPr>
                <w:rFonts w:hint="eastAsia" w:ascii="Times New Roman" w:hAnsi="Times New Roman" w:eastAsia="宋体"/>
                <w:caps w:val="0"/>
                <w:color w:val="000000" w:themeColor="text1"/>
                <w:sz w:val="24"/>
                <w:highlight w:val="none"/>
                <w14:textFill>
                  <w14:solidFill>
                    <w14:schemeClr w14:val="tx1"/>
                  </w14:solidFill>
                </w14:textFill>
              </w:rPr>
              <w:t>/</w:t>
            </w:r>
          </w:p>
        </w:tc>
      </w:tr>
      <w:tr w14:paraId="683505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72" w:type="dxa"/>
            <w:vAlign w:val="center"/>
          </w:tcPr>
          <w:p w14:paraId="0E912303">
            <w:pPr>
              <w:adjustRightInd w:val="0"/>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规划环境影响</w:t>
            </w:r>
          </w:p>
          <w:p w14:paraId="656F8883">
            <w:pPr>
              <w:adjustRightInd w:val="0"/>
              <w:snapToGrid w:val="0"/>
              <w:jc w:val="center"/>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评价情况</w:t>
            </w:r>
          </w:p>
        </w:tc>
        <w:tc>
          <w:tcPr>
            <w:tcW w:w="7598" w:type="dxa"/>
            <w:gridSpan w:val="3"/>
            <w:vAlign w:val="center"/>
          </w:tcPr>
          <w:p w14:paraId="497545B4">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ascii="Times New Roman" w:hAnsi="Times New Roman" w:eastAsia="宋体"/>
                <w:bCs/>
                <w:caps w:val="0"/>
                <w:color w:val="000000" w:themeColor="text1"/>
                <w:sz w:val="24"/>
                <w:szCs w:val="28"/>
                <w:highlight w:val="none"/>
                <w14:textFill>
                  <w14:solidFill>
                    <w14:schemeClr w14:val="tx1"/>
                  </w14:solidFill>
                </w14:textFill>
              </w:rPr>
            </w:pPr>
            <w:r>
              <w:rPr>
                <w:rFonts w:ascii="Times New Roman" w:hAnsi="Times New Roman" w:eastAsia="宋体"/>
                <w:bCs/>
                <w:caps w:val="0"/>
                <w:color w:val="000000" w:themeColor="text1"/>
                <w:sz w:val="24"/>
                <w:szCs w:val="28"/>
                <w:highlight w:val="none"/>
                <w14:textFill>
                  <w14:solidFill>
                    <w14:schemeClr w14:val="tx1"/>
                  </w14:solidFill>
                </w14:textFill>
              </w:rPr>
              <w:t>规划环境影响评价文件名称：</w:t>
            </w:r>
            <w:r>
              <w:rPr>
                <w:rFonts w:hint="eastAsia" w:ascii="Times New Roman" w:hAnsi="Times New Roman" w:eastAsia="宋体"/>
                <w:bCs/>
                <w:caps w:val="0"/>
                <w:color w:val="000000" w:themeColor="text1"/>
                <w:sz w:val="24"/>
                <w:szCs w:val="28"/>
                <w:highlight w:val="none"/>
                <w14:textFill>
                  <w14:solidFill>
                    <w14:schemeClr w14:val="tx1"/>
                  </w14:solidFill>
                </w14:textFill>
              </w:rPr>
              <w:t>《芜湖高新技术产业开发区区域环境影响报告书》）</w:t>
            </w:r>
          </w:p>
          <w:p w14:paraId="3AD434E6">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ascii="Times New Roman" w:hAnsi="Times New Roman" w:eastAsia="宋体"/>
                <w:bCs/>
                <w:caps w:val="0"/>
                <w:color w:val="000000" w:themeColor="text1"/>
                <w:sz w:val="24"/>
                <w:szCs w:val="28"/>
                <w:highlight w:val="none"/>
                <w14:textFill>
                  <w14:solidFill>
                    <w14:schemeClr w14:val="tx1"/>
                  </w14:solidFill>
                </w14:textFill>
              </w:rPr>
            </w:pPr>
            <w:r>
              <w:rPr>
                <w:rFonts w:ascii="Times New Roman" w:hAnsi="Times New Roman" w:eastAsia="宋体"/>
                <w:bCs/>
                <w:caps w:val="0"/>
                <w:color w:val="000000" w:themeColor="text1"/>
                <w:sz w:val="24"/>
                <w:szCs w:val="28"/>
                <w:highlight w:val="none"/>
                <w14:textFill>
                  <w14:solidFill>
                    <w14:schemeClr w14:val="tx1"/>
                  </w14:solidFill>
                </w14:textFill>
              </w:rPr>
              <w:t>召集审查机关：</w:t>
            </w:r>
            <w:r>
              <w:rPr>
                <w:rFonts w:hint="eastAsia" w:ascii="Times New Roman" w:hAnsi="Times New Roman" w:eastAsia="宋体"/>
                <w:bCs/>
                <w:caps w:val="0"/>
                <w:color w:val="000000" w:themeColor="text1"/>
                <w:sz w:val="24"/>
                <w:szCs w:val="28"/>
                <w:highlight w:val="none"/>
                <w14:textFill>
                  <w14:solidFill>
                    <w14:schemeClr w14:val="tx1"/>
                  </w14:solidFill>
                </w14:textFill>
              </w:rPr>
              <w:t>原芜湖市环境保护局</w:t>
            </w:r>
          </w:p>
          <w:p w14:paraId="41B4396D">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bCs/>
                <w:caps w:val="0"/>
                <w:color w:val="000000" w:themeColor="text1"/>
                <w:sz w:val="24"/>
                <w:szCs w:val="28"/>
                <w:highlight w:val="none"/>
                <w14:textFill>
                  <w14:solidFill>
                    <w14:schemeClr w14:val="tx1"/>
                  </w14:solidFill>
                </w14:textFill>
              </w:rPr>
              <w:t>审查文件名称及文号：《关于</w:t>
            </w:r>
            <w:r>
              <w:rPr>
                <w:rFonts w:hint="eastAsia" w:ascii="Times New Roman" w:hAnsi="Times New Roman" w:eastAsia="宋体"/>
                <w:bCs/>
                <w:caps w:val="0"/>
                <w:color w:val="000000" w:themeColor="text1"/>
                <w:sz w:val="24"/>
                <w:szCs w:val="28"/>
                <w:highlight w:val="none"/>
                <w14:textFill>
                  <w14:solidFill>
                    <w14:schemeClr w14:val="tx1"/>
                  </w14:solidFill>
                </w14:textFill>
              </w:rPr>
              <w:t>芜湖高新技术产业开发区区域环境影响报告书审查意见的复函</w:t>
            </w:r>
            <w:r>
              <w:rPr>
                <w:rFonts w:ascii="Times New Roman" w:hAnsi="Times New Roman" w:eastAsia="宋体"/>
                <w:bCs/>
                <w:caps w:val="0"/>
                <w:color w:val="000000" w:themeColor="text1"/>
                <w:sz w:val="24"/>
                <w:szCs w:val="28"/>
                <w:highlight w:val="none"/>
                <w14:textFill>
                  <w14:solidFill>
                    <w14:schemeClr w14:val="tx1"/>
                  </w14:solidFill>
                </w14:textFill>
              </w:rPr>
              <w:t>》（</w:t>
            </w:r>
            <w:r>
              <w:rPr>
                <w:rFonts w:hint="eastAsia" w:ascii="Times New Roman" w:hAnsi="Times New Roman" w:eastAsia="宋体"/>
                <w:bCs/>
                <w:caps w:val="0"/>
                <w:color w:val="000000" w:themeColor="text1"/>
                <w:sz w:val="24"/>
                <w:szCs w:val="28"/>
                <w:highlight w:val="none"/>
                <w14:textFill>
                  <w14:solidFill>
                    <w14:schemeClr w14:val="tx1"/>
                  </w14:solidFill>
                </w14:textFill>
              </w:rPr>
              <w:t>环监管</w:t>
            </w:r>
            <w:r>
              <w:rPr>
                <w:rFonts w:ascii="Times New Roman" w:hAnsi="Times New Roman" w:eastAsia="宋体"/>
                <w:bCs/>
                <w:caps w:val="0"/>
                <w:color w:val="000000" w:themeColor="text1"/>
                <w:sz w:val="24"/>
                <w:szCs w:val="28"/>
                <w:highlight w:val="none"/>
                <w14:textFill>
                  <w14:solidFill>
                    <w14:schemeClr w14:val="tx1"/>
                  </w14:solidFill>
                </w14:textFill>
              </w:rPr>
              <w:t>[2</w:t>
            </w:r>
            <w:r>
              <w:rPr>
                <w:rFonts w:hint="eastAsia" w:ascii="Times New Roman" w:hAnsi="Times New Roman" w:eastAsia="宋体"/>
                <w:bCs/>
                <w:caps w:val="0"/>
                <w:color w:val="000000" w:themeColor="text1"/>
                <w:sz w:val="24"/>
                <w:szCs w:val="28"/>
                <w:highlight w:val="none"/>
                <w14:textFill>
                  <w14:solidFill>
                    <w14:schemeClr w14:val="tx1"/>
                  </w14:solidFill>
                </w14:textFill>
              </w:rPr>
              <w:t>004</w:t>
            </w:r>
            <w:r>
              <w:rPr>
                <w:rFonts w:ascii="Times New Roman" w:hAnsi="Times New Roman" w:eastAsia="宋体"/>
                <w:bCs/>
                <w:caps w:val="0"/>
                <w:color w:val="000000" w:themeColor="text1"/>
                <w:sz w:val="24"/>
                <w:szCs w:val="28"/>
                <w:highlight w:val="none"/>
                <w14:textFill>
                  <w14:solidFill>
                    <w14:schemeClr w14:val="tx1"/>
                  </w14:solidFill>
                </w14:textFill>
              </w:rPr>
              <w:t>]</w:t>
            </w:r>
            <w:r>
              <w:rPr>
                <w:rFonts w:hint="eastAsia" w:ascii="Times New Roman" w:hAnsi="Times New Roman" w:eastAsia="宋体"/>
                <w:bCs/>
                <w:caps w:val="0"/>
                <w:color w:val="000000" w:themeColor="text1"/>
                <w:sz w:val="24"/>
                <w:szCs w:val="28"/>
                <w:highlight w:val="none"/>
                <w14:textFill>
                  <w14:solidFill>
                    <w14:schemeClr w14:val="tx1"/>
                  </w14:solidFill>
                </w14:textFill>
              </w:rPr>
              <w:t>23</w:t>
            </w:r>
            <w:r>
              <w:rPr>
                <w:rFonts w:ascii="Times New Roman" w:hAnsi="Times New Roman" w:eastAsia="宋体"/>
                <w:bCs/>
                <w:caps w:val="0"/>
                <w:color w:val="000000" w:themeColor="text1"/>
                <w:sz w:val="24"/>
                <w:szCs w:val="28"/>
                <w:highlight w:val="none"/>
                <w14:textFill>
                  <w14:solidFill>
                    <w14:schemeClr w14:val="tx1"/>
                  </w14:solidFill>
                </w14:textFill>
              </w:rPr>
              <w:t>号）</w:t>
            </w:r>
          </w:p>
        </w:tc>
      </w:tr>
      <w:tr w14:paraId="423325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72" w:type="dxa"/>
            <w:vAlign w:val="center"/>
          </w:tcPr>
          <w:p w14:paraId="17B0BE7E">
            <w:pPr>
              <w:autoSpaceDE w:val="0"/>
              <w:autoSpaceDN w:val="0"/>
              <w:adjustRightInd w:val="0"/>
              <w:snapToGrid w:val="0"/>
              <w:jc w:val="center"/>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规划及规划环境影响评价符合性分析</w:t>
            </w:r>
          </w:p>
        </w:tc>
        <w:tc>
          <w:tcPr>
            <w:tcW w:w="7598" w:type="dxa"/>
            <w:gridSpan w:val="3"/>
            <w:vAlign w:val="center"/>
          </w:tcPr>
          <w:p w14:paraId="11ABD301">
            <w:pPr>
              <w:keepNext w:val="0"/>
              <w:keepLines w:val="0"/>
              <w:pageBreakBefore w:val="0"/>
              <w:kinsoku/>
              <w:wordWrap/>
              <w:overflowPunct/>
              <w:topLinePunct w:val="0"/>
              <w:autoSpaceDE/>
              <w:autoSpaceDN/>
              <w:bidi w:val="0"/>
              <w:adjustRightInd/>
              <w:snapToGrid/>
              <w:spacing w:line="360" w:lineRule="auto"/>
              <w:ind w:firstLine="540" w:firstLineChars="224"/>
              <w:textAlignment w:val="auto"/>
              <w:rPr>
                <w:rFonts w:ascii="Times New Roman" w:hAnsi="Times New Roman" w:eastAsia="宋体"/>
                <w:b/>
                <w:caps w:val="0"/>
                <w:color w:val="000000" w:themeColor="text1"/>
                <w:sz w:val="24"/>
                <w:highlight w:val="none"/>
                <w14:textFill>
                  <w14:solidFill>
                    <w14:schemeClr w14:val="tx1"/>
                  </w14:solidFill>
                </w14:textFill>
              </w:rPr>
            </w:pPr>
            <w:r>
              <w:rPr>
                <w:rFonts w:hint="eastAsia" w:ascii="Times New Roman" w:hAnsi="Times New Roman" w:eastAsia="宋体"/>
                <w:b/>
                <w:caps w:val="0"/>
                <w:color w:val="000000" w:themeColor="text1"/>
                <w:sz w:val="24"/>
                <w:highlight w:val="none"/>
                <w14:textFill>
                  <w14:solidFill>
                    <w14:schemeClr w14:val="tx1"/>
                  </w14:solidFill>
                </w14:textFill>
              </w:rPr>
              <w:t>1、</w:t>
            </w:r>
            <w:r>
              <w:rPr>
                <w:rFonts w:ascii="Times New Roman" w:hAnsi="Times New Roman" w:eastAsia="宋体"/>
                <w:b/>
                <w:caps w:val="0"/>
                <w:color w:val="000000" w:themeColor="text1"/>
                <w:sz w:val="24"/>
                <w:highlight w:val="none"/>
                <w14:textFill>
                  <w14:solidFill>
                    <w14:schemeClr w14:val="tx1"/>
                  </w14:solidFill>
                </w14:textFill>
              </w:rPr>
              <w:t>规划用地相符性分析</w:t>
            </w:r>
          </w:p>
          <w:p w14:paraId="57B0264F">
            <w:pPr>
              <w:keepNext w:val="0"/>
              <w:keepLines w:val="0"/>
              <w:pageBreakBefore w:val="0"/>
              <w:kinsoku/>
              <w:wordWrap/>
              <w:overflowPunct/>
              <w:topLinePunct w:val="0"/>
              <w:autoSpaceDE/>
              <w:autoSpaceDN/>
              <w:bidi w:val="0"/>
              <w:adjustRightInd/>
              <w:snapToGrid/>
              <w:spacing w:line="360" w:lineRule="auto"/>
              <w:ind w:firstLine="540" w:firstLineChars="225"/>
              <w:textAlignment w:val="auto"/>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本项目位于安徽省芜湖市弋江区高新技术开发区漳河路28号</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参照《芜湖高新技术产业开发区总体规划（2010-2030年）》，项目地块属于工业用地，符合开发区土地利用规划。芜湖高新技术产业开发区主导产业为汽车零部件产业、电子信息、节能环保、服务外包等四大主导产业，开发区规划中提出对国家政策明令禁止的及电镀、化工、电子线路板等污染严重项目严禁入园，产生生产废水量大的项目须从严控制。本项目从事</w:t>
            </w:r>
            <w:r>
              <w:rPr>
                <w:rFonts w:hint="eastAsia"/>
                <w:caps w:val="0"/>
                <w:color w:val="000000" w:themeColor="text1"/>
                <w:sz w:val="24"/>
                <w:highlight w:val="none"/>
                <w:lang w:val="en-US" w:eastAsia="zh-CN"/>
                <w14:textFill>
                  <w14:solidFill>
                    <w14:schemeClr w14:val="tx1"/>
                  </w14:solidFill>
                </w14:textFill>
              </w:rPr>
              <w:t>汽车零部件及配件制造、</w:t>
            </w:r>
            <w:r>
              <w:rPr>
                <w:rFonts w:hint="eastAsia"/>
                <w:sz w:val="24"/>
                <w:szCs w:val="24"/>
                <w:lang w:val="en-US" w:eastAsia="zh-CN"/>
              </w:rPr>
              <w:t>塑料零件及其他塑料制品制造</w:t>
            </w:r>
            <w:r>
              <w:rPr>
                <w:rFonts w:hint="eastAsia" w:ascii="Times New Roman" w:hAnsi="Times New Roman" w:eastAsia="宋体"/>
                <w:caps w:val="0"/>
                <w:color w:val="000000" w:themeColor="text1"/>
                <w:sz w:val="24"/>
                <w:highlight w:val="none"/>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属于园区主导产业</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符合芜湖高新技术产业开发区产业定位。</w:t>
            </w:r>
          </w:p>
          <w:p w14:paraId="18B22AD0">
            <w:pPr>
              <w:keepNext w:val="0"/>
              <w:keepLines w:val="0"/>
              <w:pageBreakBefore w:val="0"/>
              <w:kinsoku/>
              <w:wordWrap/>
              <w:overflowPunct/>
              <w:topLinePunct w:val="0"/>
              <w:autoSpaceDE/>
              <w:autoSpaceDN/>
              <w:bidi w:val="0"/>
              <w:adjustRightInd/>
              <w:snapToGrid/>
              <w:spacing w:line="360" w:lineRule="auto"/>
              <w:ind w:firstLine="540" w:firstLineChars="225"/>
              <w:textAlignment w:val="auto"/>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综上所述，本项目选址合理。</w:t>
            </w:r>
          </w:p>
          <w:p w14:paraId="314568CB">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ascii="Times New Roman" w:hAnsi="Times New Roman" w:eastAsia="宋体"/>
                <w:b/>
                <w:bCs/>
                <w:caps w:val="0"/>
                <w:color w:val="000000" w:themeColor="text1"/>
                <w:kern w:val="0"/>
                <w:sz w:val="24"/>
                <w:highlight w:val="none"/>
                <w14:textFill>
                  <w14:solidFill>
                    <w14:schemeClr w14:val="tx1"/>
                  </w14:solidFill>
                </w14:textFill>
              </w:rPr>
            </w:pPr>
            <w:r>
              <w:rPr>
                <w:rFonts w:hint="eastAsia" w:ascii="Times New Roman" w:hAnsi="Times New Roman" w:eastAsia="宋体"/>
                <w:b/>
                <w:bCs/>
                <w:caps w:val="0"/>
                <w:color w:val="000000" w:themeColor="text1"/>
                <w:kern w:val="0"/>
                <w:sz w:val="24"/>
                <w:highlight w:val="none"/>
                <w14:textFill>
                  <w14:solidFill>
                    <w14:schemeClr w14:val="tx1"/>
                  </w14:solidFill>
                </w14:textFill>
              </w:rPr>
              <w:t>2、与芜湖高新技术产业开发区总体规划相符性分析</w:t>
            </w:r>
          </w:p>
          <w:p w14:paraId="19DC401C">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（1）总体布局</w:t>
            </w:r>
          </w:p>
          <w:p w14:paraId="41D2B685">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芜湖高新技术产业开发区位于芜湖市中部，规划总面积178平方公里。芜湖高新区自2001年开始建设，2010年9月26日，被国务院正式批准为国家高新技术产业开发区。高新区产业区主要分北区和南区，其中北区目前占地9平方公里，已基本建成，南区23.5平方公里，正在逐步推进建设。高新区内形成了三纵：长江南路、花津南路、九华南路（205国道）和四横：峨山路、白马山路、科创路及石硊路的交通格局。目前，北区道路已全部建成通车，南区道路九华南路以西地块道路基本建成通车，九华南路以东地块南纬一路建成，其他部分支路也已进行施工图纸设计。</w:t>
            </w:r>
          </w:p>
          <w:p w14:paraId="4E82DED7">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w:t>
            </w:r>
            <w:r>
              <w:rPr>
                <w:rFonts w:hint="eastAsia" w:ascii="Times New Roman" w:hAnsi="Times New Roman" w:eastAsia="宋体"/>
                <w:caps w:val="0"/>
                <w:color w:val="000000" w:themeColor="text1"/>
                <w:highlight w:val="none"/>
                <w:lang w:val="en-US" w:eastAsia="zh-CN"/>
                <w14:textFill>
                  <w14:solidFill>
                    <w14:schemeClr w14:val="tx1"/>
                  </w14:solidFill>
                </w14:textFill>
              </w:rPr>
              <w:t>2</w:t>
            </w:r>
            <w:r>
              <w:rPr>
                <w:rFonts w:hint="eastAsia" w:ascii="Times New Roman" w:hAnsi="Times New Roman" w:eastAsia="宋体"/>
                <w:caps w:val="0"/>
                <w:color w:val="000000" w:themeColor="text1"/>
                <w:highlight w:val="none"/>
                <w14:textFill>
                  <w14:solidFill>
                    <w14:schemeClr w14:val="tx1"/>
                  </w14:solidFill>
                </w14:textFill>
              </w:rPr>
              <w:t>）产业定位</w:t>
            </w:r>
          </w:p>
          <w:p w14:paraId="268CEBF3">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芜湖高新技术产业开发区初步形成了汽车及汽车零部件、节能环保制造业、电子信息产业、服务外包产业—四大主导产业；并积极培育生命健康产业，重点发展现代服务业和创新型科技企业。</w:t>
            </w:r>
          </w:p>
          <w:p w14:paraId="294CC15D">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w:t>
            </w:r>
            <w:r>
              <w:rPr>
                <w:rFonts w:hint="eastAsia" w:ascii="Times New Roman" w:hAnsi="Times New Roman" w:eastAsia="宋体"/>
                <w:caps w:val="0"/>
                <w:color w:val="000000" w:themeColor="text1"/>
                <w:highlight w:val="none"/>
                <w:lang w:val="en-US" w:eastAsia="zh-CN"/>
                <w14:textFill>
                  <w14:solidFill>
                    <w14:schemeClr w14:val="tx1"/>
                  </w14:solidFill>
                </w14:textFill>
              </w:rPr>
              <w:t>3</w:t>
            </w:r>
            <w:r>
              <w:rPr>
                <w:rFonts w:hint="eastAsia" w:ascii="Times New Roman" w:hAnsi="Times New Roman" w:eastAsia="宋体"/>
                <w:caps w:val="0"/>
                <w:color w:val="000000" w:themeColor="text1"/>
                <w:highlight w:val="none"/>
                <w14:textFill>
                  <w14:solidFill>
                    <w14:schemeClr w14:val="tx1"/>
                  </w14:solidFill>
                </w14:textFill>
              </w:rPr>
              <w:t>）基础设施建设</w:t>
            </w:r>
          </w:p>
          <w:p w14:paraId="67AD6EC7">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供电：芜湖是皖电东送、皖煤东输的必经之地。是华东重要的能源基地，现火电装机容量182万千瓦。华电2×66万千瓦火力发电机组已并网发电，4×250兆瓦响水涧抽水蓄能电站机组1号机组已建成投产，电厂五期2×66万千瓦火力发电机组正在建设。芜湖高新区境内有两座110千伏和一座220千伏变电所，可提供三回路供电，充分保障了企业的正常生产。另外芜湖高新区周边5公里范围内还有1座220千伏变电所、1座110千伏变电所、1座35千伏变电所。</w:t>
            </w:r>
          </w:p>
          <w:p w14:paraId="15F1EF0C">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供气：芜湖是“西气东输”天然气接收城市，“川气东送”工程正在加快建设，全市天然气使用率达97%。能够满足企业生产和居民生活所需。水、电、气供应十分充足，不会发生因电力紧张而对企业进行停电或限电的现象。</w:t>
            </w:r>
          </w:p>
          <w:p w14:paraId="0B78F36F">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供水：芜湖地处长江中下游，水源充足，水质优良。城市日供水能力为72万吨，已达城市实际用量一倍以上，管径为800mm的供水管道已通入开发区，可提供高新区的生产、生活和消防用水。高新区内免征水增容费。</w:t>
            </w:r>
          </w:p>
          <w:p w14:paraId="2F061339">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highlight w:val="none"/>
                <w14:textFill>
                  <w14:solidFill>
                    <w14:schemeClr w14:val="tx1"/>
                  </w14:solidFill>
                </w14:textFill>
              </w:rPr>
              <w:t>污水处理：日处理能力10万m</w:t>
            </w:r>
            <w:r>
              <w:rPr>
                <w:rFonts w:ascii="Times New Roman" w:hAnsi="Times New Roman" w:eastAsia="宋体"/>
                <w:caps w:val="0"/>
                <w:color w:val="000000" w:themeColor="text1"/>
                <w:highlight w:val="none"/>
                <w:vertAlign w:val="superscript"/>
                <w14:textFill>
                  <w14:solidFill>
                    <w14:schemeClr w14:val="tx1"/>
                  </w14:solidFill>
                </w14:textFill>
              </w:rPr>
              <w:t>3</w:t>
            </w:r>
            <w:r>
              <w:rPr>
                <w:rFonts w:ascii="Times New Roman" w:hAnsi="Times New Roman" w:eastAsia="宋体"/>
                <w:caps w:val="0"/>
                <w:color w:val="000000" w:themeColor="text1"/>
                <w:highlight w:val="none"/>
                <w14:textFill>
                  <w14:solidFill>
                    <w14:schemeClr w14:val="tx1"/>
                  </w14:solidFill>
                </w14:textFill>
              </w:rPr>
              <w:t>的城南污水处理厂一期已建成投入使用。目前污水管网已经铺设到项目所在地。</w:t>
            </w:r>
          </w:p>
          <w:p w14:paraId="5FC55896">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highlight w:val="none"/>
                <w14:textFill>
                  <w14:solidFill>
                    <w14:schemeClr w14:val="tx1"/>
                  </w14:solidFill>
                </w14:textFill>
              </w:rPr>
              <w:t>根据《芜湖高新技术产业开发区总体规划》（</w:t>
            </w:r>
            <w:bookmarkStart w:id="2" w:name="_Hlk134175907"/>
            <w:r>
              <w:rPr>
                <w:rFonts w:hint="eastAsia" w:ascii="Times New Roman" w:hAnsi="Times New Roman" w:eastAsia="宋体"/>
                <w:caps w:val="0"/>
                <w:color w:val="000000" w:themeColor="text1"/>
                <w:highlight w:val="none"/>
                <w14:textFill>
                  <w14:solidFill>
                    <w14:schemeClr w14:val="tx1"/>
                  </w14:solidFill>
                </w14:textFill>
              </w:rPr>
              <w:t>201</w:t>
            </w:r>
            <w:bookmarkEnd w:id="2"/>
            <w:r>
              <w:rPr>
                <w:rFonts w:ascii="Times New Roman" w:hAnsi="Times New Roman" w:eastAsia="宋体"/>
                <w:caps w:val="0"/>
                <w:color w:val="000000" w:themeColor="text1"/>
                <w:highlight w:val="none"/>
                <w14:textFill>
                  <w14:solidFill>
                    <w14:schemeClr w14:val="tx1"/>
                  </w14:solidFill>
                </w14:textFill>
              </w:rPr>
              <w:t>0</w:t>
            </w:r>
            <w:r>
              <w:rPr>
                <w:rFonts w:hint="eastAsia" w:ascii="Times New Roman" w:hAnsi="Times New Roman" w:eastAsia="宋体"/>
                <w:caps w:val="0"/>
                <w:color w:val="000000" w:themeColor="text1"/>
                <w:highlight w:val="none"/>
                <w14:textFill>
                  <w14:solidFill>
                    <w14:schemeClr w14:val="tx1"/>
                  </w14:solidFill>
                </w14:textFill>
              </w:rPr>
              <w:t>-2030</w:t>
            </w:r>
            <w:r>
              <w:rPr>
                <w:rFonts w:ascii="Times New Roman" w:hAnsi="Times New Roman" w:eastAsia="宋体"/>
                <w:caps w:val="0"/>
                <w:color w:val="000000" w:themeColor="text1"/>
                <w:highlight w:val="none"/>
                <w14:textFill>
                  <w14:solidFill>
                    <w14:schemeClr w14:val="tx1"/>
                  </w14:solidFill>
                </w14:textFill>
              </w:rPr>
              <w:t>年）</w:t>
            </w:r>
            <w:r>
              <w:rPr>
                <w:rFonts w:hint="eastAsia"/>
                <w:caps w:val="0"/>
                <w:color w:val="000000" w:themeColor="text1"/>
                <w:highlight w:val="none"/>
                <w:lang w:val="en-US" w:eastAsia="zh-CN"/>
                <w14:textFill>
                  <w14:solidFill>
                    <w14:schemeClr w14:val="tx1"/>
                  </w14:solidFill>
                </w14:textFill>
              </w:rPr>
              <w:t>土地利用规划图，详见附图五</w:t>
            </w:r>
            <w:r>
              <w:rPr>
                <w:rFonts w:ascii="Times New Roman" w:hAnsi="Times New Roman" w:eastAsia="宋体"/>
                <w:caps w:val="0"/>
                <w:color w:val="000000" w:themeColor="text1"/>
                <w:highlight w:val="none"/>
                <w14:textFill>
                  <w14:solidFill>
                    <w14:schemeClr w14:val="tx1"/>
                  </w14:solidFill>
                </w14:textFill>
              </w:rPr>
              <w:t>，项目所在地为工业用地，符合园区产业定位。</w:t>
            </w:r>
          </w:p>
          <w:p w14:paraId="49A27440">
            <w:pPr>
              <w:pStyle w:val="5"/>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b/>
                <w:caps w:val="0"/>
                <w:color w:val="000000" w:themeColor="text1"/>
                <w:highlight w:val="none"/>
                <w14:textFill>
                  <w14:solidFill>
                    <w14:schemeClr w14:val="tx1"/>
                  </w14:solidFill>
                </w14:textFill>
              </w:rPr>
            </w:pPr>
            <w:r>
              <w:rPr>
                <w:rFonts w:hint="eastAsia" w:ascii="Times New Roman" w:hAnsi="Times New Roman" w:eastAsia="宋体"/>
                <w:b/>
                <w:caps w:val="0"/>
                <w:color w:val="000000" w:themeColor="text1"/>
                <w:highlight w:val="none"/>
                <w14:textFill>
                  <w14:solidFill>
                    <w14:schemeClr w14:val="tx1"/>
                  </w14:solidFill>
                </w14:textFill>
              </w:rPr>
              <w:t>3、与开发区规划环评报告审查意见的相符性分析</w:t>
            </w:r>
          </w:p>
          <w:p w14:paraId="7D3AE264">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《芜湖高新技术产业开发区区域环境影响报告书》于2004年3月19日取得了原芜湖市环境保护局的审查意见（环监管[2004]23号）。经对比审查意见，与本项目有关的审查意见及对应分析如下表。</w:t>
            </w:r>
          </w:p>
          <w:p w14:paraId="5246305C">
            <w:pPr>
              <w:pStyle w:val="56"/>
              <w:spacing w:beforeLines="0" w:afterLines="0" w:line="240" w:lineRule="auto"/>
              <w:ind w:left="643" w:hanging="643" w:hangingChars="267"/>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highlight w:val="none"/>
                <w14:textFill>
                  <w14:solidFill>
                    <w14:schemeClr w14:val="tx1"/>
                  </w14:solidFill>
                </w14:textFill>
              </w:rPr>
              <w:t>表1</w:t>
            </w:r>
            <w:r>
              <w:rPr>
                <w:rFonts w:hint="eastAsia" w:ascii="Times New Roman" w:hAnsi="Times New Roman" w:eastAsia="宋体"/>
                <w:caps w:val="0"/>
                <w:color w:val="000000" w:themeColor="text1"/>
                <w:highlight w:val="none"/>
                <w14:textFill>
                  <w14:solidFill>
                    <w14:schemeClr w14:val="tx1"/>
                  </w14:solidFill>
                </w14:textFill>
              </w:rPr>
              <w:t>-1与开发区规划环评报告审查意见的相符性分析</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1"/>
              <w:gridCol w:w="3343"/>
              <w:gridCol w:w="3288"/>
            </w:tblGrid>
            <w:tr w14:paraId="3BEE4D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 w:hRule="atLeast"/>
                <w:tblHeader/>
                <w:jc w:val="center"/>
              </w:trPr>
              <w:tc>
                <w:tcPr>
                  <w:tcW w:w="508" w:type="pct"/>
                  <w:tcBorders>
                    <w:tl2br w:val="nil"/>
                    <w:tr2bl w:val="nil"/>
                  </w:tcBorders>
                  <w:vAlign w:val="center"/>
                </w:tcPr>
                <w:p w14:paraId="28E3480A">
                  <w:pPr>
                    <w:snapToGrid w:val="0"/>
                    <w:jc w:val="center"/>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序号</w:t>
                  </w:r>
                </w:p>
              </w:tc>
              <w:tc>
                <w:tcPr>
                  <w:tcW w:w="2264" w:type="pct"/>
                  <w:tcBorders>
                    <w:tl2br w:val="nil"/>
                    <w:tr2bl w:val="nil"/>
                  </w:tcBorders>
                  <w:vAlign w:val="center"/>
                </w:tcPr>
                <w:p w14:paraId="166065D7">
                  <w:pPr>
                    <w:snapToGrid w:val="0"/>
                    <w:jc w:val="center"/>
                    <w:rPr>
                      <w:rFonts w:ascii="Times New Roman" w:hAnsi="Times New Roman" w:eastAsia="宋体"/>
                      <w:b/>
                      <w:caps w:val="0"/>
                      <w:color w:val="000000" w:themeColor="text1"/>
                      <w:szCs w:val="21"/>
                      <w:highlight w:val="none"/>
                      <w14:textFill>
                        <w14:solidFill>
                          <w14:schemeClr w14:val="tx1"/>
                        </w14:solidFill>
                      </w14:textFill>
                    </w:rPr>
                  </w:pPr>
                  <w:r>
                    <w:rPr>
                      <w:rFonts w:hint="eastAsia" w:ascii="Times New Roman" w:hAnsi="Times New Roman" w:eastAsia="宋体"/>
                      <w:b/>
                      <w:caps w:val="0"/>
                      <w:color w:val="000000" w:themeColor="text1"/>
                      <w:szCs w:val="21"/>
                      <w:highlight w:val="none"/>
                      <w14:textFill>
                        <w14:solidFill>
                          <w14:schemeClr w14:val="tx1"/>
                        </w14:solidFill>
                      </w14:textFill>
                    </w:rPr>
                    <w:t>与本项目有关的审查意见</w:t>
                  </w:r>
                </w:p>
              </w:tc>
              <w:tc>
                <w:tcPr>
                  <w:tcW w:w="2227" w:type="pct"/>
                  <w:tcBorders>
                    <w:tl2br w:val="nil"/>
                    <w:tr2bl w:val="nil"/>
                  </w:tcBorders>
                  <w:vAlign w:val="center"/>
                </w:tcPr>
                <w:p w14:paraId="0C5D89F8">
                  <w:pPr>
                    <w:snapToGrid w:val="0"/>
                    <w:jc w:val="center"/>
                    <w:rPr>
                      <w:rFonts w:ascii="Times New Roman" w:hAnsi="Times New Roman" w:eastAsia="宋体"/>
                      <w:b/>
                      <w:caps w:val="0"/>
                      <w:color w:val="000000" w:themeColor="text1"/>
                      <w:szCs w:val="21"/>
                      <w:highlight w:val="none"/>
                      <w14:textFill>
                        <w14:solidFill>
                          <w14:schemeClr w14:val="tx1"/>
                        </w14:solidFill>
                      </w14:textFill>
                    </w:rPr>
                  </w:pPr>
                  <w:r>
                    <w:rPr>
                      <w:rFonts w:hint="eastAsia" w:ascii="Times New Roman" w:hAnsi="Times New Roman" w:eastAsia="宋体"/>
                      <w:b/>
                      <w:caps w:val="0"/>
                      <w:color w:val="000000" w:themeColor="text1"/>
                      <w:szCs w:val="21"/>
                      <w:highlight w:val="none"/>
                      <w14:textFill>
                        <w14:solidFill>
                          <w14:schemeClr w14:val="tx1"/>
                        </w14:solidFill>
                      </w14:textFill>
                    </w:rPr>
                    <w:t>相符性分析</w:t>
                  </w:r>
                </w:p>
              </w:tc>
            </w:tr>
            <w:tr w14:paraId="339F08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tcBorders>
                    <w:tl2br w:val="nil"/>
                    <w:tr2bl w:val="nil"/>
                  </w:tcBorders>
                  <w:vAlign w:val="center"/>
                </w:tcPr>
                <w:p w14:paraId="7FDDE2A9">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1</w:t>
                  </w:r>
                </w:p>
              </w:tc>
              <w:tc>
                <w:tcPr>
                  <w:tcW w:w="2264" w:type="pct"/>
                  <w:tcBorders>
                    <w:tl2br w:val="nil"/>
                    <w:tr2bl w:val="nil"/>
                  </w:tcBorders>
                  <w:vAlign w:val="center"/>
                </w:tcPr>
                <w:p w14:paraId="7420E386">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高新区初步形成了以高新技术产业开发为主导产业的光电工业、新材料工业、汽车配件中心、综合加工等产区群。</w:t>
                  </w:r>
                </w:p>
              </w:tc>
              <w:tc>
                <w:tcPr>
                  <w:tcW w:w="2227" w:type="pct"/>
                  <w:tcBorders>
                    <w:tl2br w:val="nil"/>
                    <w:tr2bl w:val="nil"/>
                  </w:tcBorders>
                  <w:vAlign w:val="center"/>
                </w:tcPr>
                <w:p w14:paraId="47CCC3BF">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本项目主要从事</w:t>
                  </w:r>
                  <w:r>
                    <w:rPr>
                      <w:rFonts w:hint="eastAsia"/>
                      <w:caps w:val="0"/>
                      <w:color w:val="000000" w:themeColor="text1"/>
                      <w:szCs w:val="21"/>
                      <w:highlight w:val="none"/>
                      <w:lang w:val="en-US" w:eastAsia="zh-CN"/>
                      <w14:textFill>
                        <w14:solidFill>
                          <w14:schemeClr w14:val="tx1"/>
                        </w14:solidFill>
                      </w14:textFill>
                    </w:rPr>
                    <w:t>汽车零部件及配件制造、塑料零件及其他塑料制品制造</w:t>
                  </w:r>
                  <w:r>
                    <w:rPr>
                      <w:rFonts w:hint="eastAsia" w:ascii="Times New Roman" w:hAnsi="Times New Roman" w:eastAsia="宋体"/>
                      <w:caps w:val="0"/>
                      <w:color w:val="000000" w:themeColor="text1"/>
                      <w:szCs w:val="21"/>
                      <w:highlight w:val="none"/>
                      <w14:textFill>
                        <w14:solidFill>
                          <w14:schemeClr w14:val="tx1"/>
                        </w14:solidFill>
                      </w14:textFill>
                    </w:rPr>
                    <w:t>，符合开发区产业定位。</w:t>
                  </w:r>
                </w:p>
              </w:tc>
            </w:tr>
            <w:tr w14:paraId="199C7E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tcBorders>
                    <w:tl2br w:val="nil"/>
                    <w:tr2bl w:val="nil"/>
                  </w:tcBorders>
                  <w:vAlign w:val="center"/>
                </w:tcPr>
                <w:p w14:paraId="505865D0">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2</w:t>
                  </w:r>
                </w:p>
              </w:tc>
              <w:tc>
                <w:tcPr>
                  <w:tcW w:w="2264" w:type="pct"/>
                  <w:tcBorders>
                    <w:tl2br w:val="nil"/>
                    <w:tr2bl w:val="nil"/>
                  </w:tcBorders>
                  <w:vAlign w:val="center"/>
                </w:tcPr>
                <w:p w14:paraId="0D7FD236">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按照循环经济的思想和清洁生产的要求，树立从源头控制环境污染和生态破坏的理念，做好入区建设项目的污染防治和污染物排放总量控制，促进高新区的生态保护和可持续发展。</w:t>
                  </w:r>
                </w:p>
              </w:tc>
              <w:tc>
                <w:tcPr>
                  <w:tcW w:w="2227" w:type="pct"/>
                  <w:tcBorders>
                    <w:tl2br w:val="nil"/>
                    <w:tr2bl w:val="nil"/>
                  </w:tcBorders>
                  <w:vAlign w:val="center"/>
                </w:tcPr>
                <w:p w14:paraId="157DFC11">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本项目产生的废气采取有效的处理处置措施，经处理达标后排放；本项目</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产生的废水均处理后做到达标排放</w:t>
                  </w:r>
                  <w:r>
                    <w:rPr>
                      <w:rFonts w:hint="eastAsia" w:ascii="Times New Roman" w:hAnsi="Times New Roman" w:eastAsia="宋体"/>
                      <w:caps w:val="0"/>
                      <w:color w:val="000000" w:themeColor="text1"/>
                      <w:szCs w:val="21"/>
                      <w:highlight w:val="none"/>
                      <w14:textFill>
                        <w14:solidFill>
                          <w14:schemeClr w14:val="tx1"/>
                        </w14:solidFill>
                      </w14:textFill>
                    </w:rPr>
                    <w:t>；固废做到综合利用或得到有效处置。企业落实总量控制要求，各类总量控制指标经批准后实施。</w:t>
                  </w:r>
                </w:p>
              </w:tc>
            </w:tr>
            <w:tr w14:paraId="16CC18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tcBorders>
                    <w:tl2br w:val="nil"/>
                    <w:tr2bl w:val="nil"/>
                  </w:tcBorders>
                  <w:vAlign w:val="center"/>
                </w:tcPr>
                <w:p w14:paraId="6864FB47">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3</w:t>
                  </w:r>
                </w:p>
              </w:tc>
              <w:tc>
                <w:tcPr>
                  <w:tcW w:w="2264" w:type="pct"/>
                  <w:tcBorders>
                    <w:tl2br w:val="nil"/>
                    <w:tr2bl w:val="nil"/>
                  </w:tcBorders>
                  <w:vAlign w:val="center"/>
                </w:tcPr>
                <w:p w14:paraId="2F4DB827">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高浓度废水应经预处理达接管标准后方可排入高新区污水处理厂。</w:t>
                  </w:r>
                </w:p>
              </w:tc>
              <w:tc>
                <w:tcPr>
                  <w:tcW w:w="2227" w:type="pct"/>
                  <w:tcBorders>
                    <w:tl2br w:val="nil"/>
                    <w:tr2bl w:val="nil"/>
                  </w:tcBorders>
                  <w:vAlign w:val="center"/>
                </w:tcPr>
                <w:p w14:paraId="37146016">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auto"/>
                      <w:szCs w:val="21"/>
                      <w:highlight w:val="none"/>
                      <w:lang w:val="en-US" w:eastAsia="zh-CN"/>
                    </w:rPr>
                    <w:t>本项目</w:t>
                  </w:r>
                  <w:r>
                    <w:rPr>
                      <w:rFonts w:hint="eastAsia"/>
                      <w:caps w:val="0"/>
                      <w:color w:val="auto"/>
                      <w:szCs w:val="21"/>
                      <w:highlight w:val="none"/>
                      <w:lang w:val="en-US" w:eastAsia="zh-CN"/>
                    </w:rPr>
                    <w:t>潮湿废水经沉淀池处理后与</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生活污水经化粪池</w:t>
                  </w:r>
                  <w:r>
                    <w:rPr>
                      <w:rFonts w:hint="eastAsia"/>
                      <w:caps w:val="0"/>
                      <w:color w:val="000000" w:themeColor="text1"/>
                      <w:szCs w:val="21"/>
                      <w:highlight w:val="none"/>
                      <w:lang w:val="en-US" w:eastAsia="zh-CN"/>
                      <w14:textFill>
                        <w14:solidFill>
                          <w14:schemeClr w14:val="tx1"/>
                        </w14:solidFill>
                      </w14:textFill>
                    </w:rPr>
                    <w:t>+隔油池</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处理后排入</w:t>
                  </w:r>
                  <w:r>
                    <w:rPr>
                      <w:rFonts w:hint="eastAsia" w:ascii="Times New Roman" w:hAnsi="Times New Roman" w:eastAsia="宋体"/>
                      <w:caps w:val="0"/>
                      <w:color w:val="000000" w:themeColor="text1"/>
                      <w:kern w:val="21"/>
                      <w:szCs w:val="21"/>
                      <w:highlight w:val="none"/>
                      <w14:textFill>
                        <w14:solidFill>
                          <w14:schemeClr w14:val="tx1"/>
                        </w14:solidFill>
                      </w14:textFill>
                    </w:rPr>
                    <w:t>城南污水处理厂</w:t>
                  </w:r>
                  <w:r>
                    <w:rPr>
                      <w:rFonts w:hint="eastAsia" w:ascii="Times New Roman" w:hAnsi="Times New Roman" w:eastAsia="宋体"/>
                      <w:caps w:val="0"/>
                      <w:color w:val="000000" w:themeColor="text1"/>
                      <w:kern w:val="21"/>
                      <w:szCs w:val="21"/>
                      <w:highlight w:val="none"/>
                      <w:lang w:val="en-US" w:eastAsia="zh-CN"/>
                      <w14:textFill>
                        <w14:solidFill>
                          <w14:schemeClr w14:val="tx1"/>
                        </w14:solidFill>
                      </w14:textFill>
                    </w:rPr>
                    <w:t>进行处理</w:t>
                  </w:r>
                  <w:r>
                    <w:rPr>
                      <w:rFonts w:hint="eastAsia" w:ascii="Times New Roman" w:hAnsi="Times New Roman" w:eastAsia="宋体"/>
                      <w:caps w:val="0"/>
                      <w:color w:val="000000" w:themeColor="text1"/>
                      <w:szCs w:val="21"/>
                      <w:highlight w:val="none"/>
                      <w14:textFill>
                        <w14:solidFill>
                          <w14:schemeClr w14:val="tx1"/>
                        </w14:solidFill>
                      </w14:textFill>
                    </w:rPr>
                    <w:t>。</w:t>
                  </w:r>
                </w:p>
              </w:tc>
            </w:tr>
            <w:tr w14:paraId="595E5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tcBorders>
                    <w:tl2br w:val="nil"/>
                    <w:tr2bl w:val="nil"/>
                  </w:tcBorders>
                  <w:vAlign w:val="center"/>
                </w:tcPr>
                <w:p w14:paraId="7EE7FF0E">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4</w:t>
                  </w:r>
                </w:p>
              </w:tc>
              <w:tc>
                <w:tcPr>
                  <w:tcW w:w="2264" w:type="pct"/>
                  <w:tcBorders>
                    <w:tl2br w:val="nil"/>
                    <w:tr2bl w:val="nil"/>
                  </w:tcBorders>
                  <w:vAlign w:val="center"/>
                </w:tcPr>
                <w:p w14:paraId="15E6A0AC">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入区建设项目应采取清洁生产工艺，所有工艺废气必须达标排放。</w:t>
                  </w:r>
                </w:p>
              </w:tc>
              <w:tc>
                <w:tcPr>
                  <w:tcW w:w="2227" w:type="pct"/>
                  <w:tcBorders>
                    <w:tl2br w:val="nil"/>
                    <w:tr2bl w:val="nil"/>
                  </w:tcBorders>
                  <w:vAlign w:val="center"/>
                </w:tcPr>
                <w:p w14:paraId="767297E9">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本项目产生的废气采取</w:t>
                  </w:r>
                  <w:r>
                    <w:rPr>
                      <w:rFonts w:hint="eastAsia"/>
                      <w:caps w:val="0"/>
                      <w:color w:val="000000" w:themeColor="text1"/>
                      <w:szCs w:val="21"/>
                      <w:highlight w:val="none"/>
                      <w:lang w:val="en-US" w:eastAsia="zh-CN"/>
                      <w14:textFill>
                        <w14:solidFill>
                          <w14:schemeClr w14:val="tx1"/>
                        </w14:solidFill>
                      </w14:textFill>
                    </w:rPr>
                    <w:t>二级活性炭吸附装置</w:t>
                  </w:r>
                  <w:r>
                    <w:rPr>
                      <w:rFonts w:hint="eastAsia" w:ascii="Times New Roman" w:hAnsi="Times New Roman" w:eastAsia="宋体"/>
                      <w:caps w:val="0"/>
                      <w:color w:val="000000" w:themeColor="text1"/>
                      <w:szCs w:val="21"/>
                      <w:highlight w:val="none"/>
                      <w14:textFill>
                        <w14:solidFill>
                          <w14:schemeClr w14:val="tx1"/>
                        </w14:solidFill>
                      </w14:textFill>
                    </w:rPr>
                    <w:t>处理达标后排放。</w:t>
                  </w:r>
                </w:p>
              </w:tc>
            </w:tr>
            <w:tr w14:paraId="297F09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tcBorders>
                    <w:tl2br w:val="nil"/>
                    <w:tr2bl w:val="nil"/>
                  </w:tcBorders>
                  <w:vAlign w:val="center"/>
                </w:tcPr>
                <w:p w14:paraId="5135F975">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5</w:t>
                  </w:r>
                </w:p>
              </w:tc>
              <w:tc>
                <w:tcPr>
                  <w:tcW w:w="2264" w:type="pct"/>
                  <w:tcBorders>
                    <w:tl2br w:val="nil"/>
                    <w:tr2bl w:val="nil"/>
                  </w:tcBorders>
                  <w:vAlign w:val="center"/>
                </w:tcPr>
                <w:p w14:paraId="6E15CB45">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加强企业固定源噪声控制，确保区域声环境质量满足功能区要求。</w:t>
                  </w:r>
                </w:p>
              </w:tc>
              <w:tc>
                <w:tcPr>
                  <w:tcW w:w="2227" w:type="pct"/>
                  <w:tcBorders>
                    <w:tl2br w:val="nil"/>
                    <w:tr2bl w:val="nil"/>
                  </w:tcBorders>
                  <w:vAlign w:val="center"/>
                </w:tcPr>
                <w:p w14:paraId="7F8BD007">
                  <w:pPr>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企业对高噪声源采取必要的隔声减振等措施，项目所在区域声环境可满足声环境功能区要求。</w:t>
                  </w:r>
                </w:p>
              </w:tc>
            </w:tr>
          </w:tbl>
          <w:p w14:paraId="41E6A9B6">
            <w:pPr>
              <w:pStyle w:val="7"/>
              <w:rPr>
                <w:rFonts w:ascii="Times New Roman" w:hAnsi="Times New Roman" w:eastAsia="宋体"/>
                <w:caps w:val="0"/>
                <w:color w:val="000000" w:themeColor="text1"/>
                <w:highlight w:val="none"/>
                <w14:textFill>
                  <w14:solidFill>
                    <w14:schemeClr w14:val="tx1"/>
                  </w14:solidFill>
                </w14:textFill>
              </w:rPr>
            </w:pPr>
          </w:p>
        </w:tc>
      </w:tr>
      <w:tr w14:paraId="6A0232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8" w:hRule="atLeast"/>
          <w:jc w:val="center"/>
        </w:trPr>
        <w:tc>
          <w:tcPr>
            <w:tcW w:w="1272" w:type="dxa"/>
            <w:vAlign w:val="center"/>
          </w:tcPr>
          <w:p w14:paraId="2FA48641">
            <w:pPr>
              <w:autoSpaceDE w:val="0"/>
              <w:autoSpaceDN w:val="0"/>
              <w:adjustRightInd w:val="0"/>
              <w:snapToGrid w:val="0"/>
              <w:jc w:val="center"/>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其他符合性分析</w:t>
            </w:r>
          </w:p>
        </w:tc>
        <w:tc>
          <w:tcPr>
            <w:tcW w:w="7598" w:type="dxa"/>
            <w:gridSpan w:val="3"/>
            <w:vAlign w:val="center"/>
          </w:tcPr>
          <w:p w14:paraId="518CC8CD">
            <w:pPr>
              <w:keepNext w:val="0"/>
              <w:keepLines w:val="0"/>
              <w:pageBreakBefore w:val="0"/>
              <w:widowControl w:val="0"/>
              <w:kinsoku/>
              <w:wordWrap/>
              <w:overflowPunct/>
              <w:topLinePunct w:val="0"/>
              <w:bidi w:val="0"/>
              <w:spacing w:line="360" w:lineRule="auto"/>
              <w:ind w:firstLine="482" w:firstLineChars="200"/>
              <w:textAlignment w:val="auto"/>
              <w:rPr>
                <w:rFonts w:ascii="Times New Roman" w:hAnsi="Times New Roman" w:eastAsia="宋体"/>
                <w:b/>
                <w:caps w:val="0"/>
                <w:color w:val="000000" w:themeColor="text1"/>
                <w:sz w:val="24"/>
                <w:highlight w:val="none"/>
                <w14:textFill>
                  <w14:solidFill>
                    <w14:schemeClr w14:val="tx1"/>
                  </w14:solidFill>
                </w14:textFill>
              </w:rPr>
            </w:pPr>
            <w:r>
              <w:rPr>
                <w:rFonts w:hint="eastAsia" w:ascii="Times New Roman" w:hAnsi="Times New Roman" w:eastAsia="宋体"/>
                <w:b/>
                <w:caps w:val="0"/>
                <w:color w:val="000000" w:themeColor="text1"/>
                <w:sz w:val="24"/>
                <w:highlight w:val="none"/>
                <w14:textFill>
                  <w14:solidFill>
                    <w14:schemeClr w14:val="tx1"/>
                  </w14:solidFill>
                </w14:textFill>
              </w:rPr>
              <w:t>1、建设项目产业政策符合性</w:t>
            </w:r>
          </w:p>
          <w:p w14:paraId="5B877902">
            <w:pPr>
              <w:keepNext w:val="0"/>
              <w:keepLines w:val="0"/>
              <w:pageBreakBefore w:val="0"/>
              <w:widowControl w:val="0"/>
              <w:kinsoku/>
              <w:wordWrap/>
              <w:overflowPunct/>
              <w:topLinePunct w:val="0"/>
              <w:bidi w:val="0"/>
              <w:spacing w:line="360" w:lineRule="auto"/>
              <w:ind w:firstLine="420"/>
              <w:textAlignment w:val="auto"/>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对照《产业结构调整指导目录（20</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24</w:t>
            </w:r>
            <w:r>
              <w:rPr>
                <w:rFonts w:hint="eastAsia" w:ascii="Times New Roman" w:hAnsi="Times New Roman" w:eastAsia="宋体"/>
                <w:caps w:val="0"/>
                <w:color w:val="000000" w:themeColor="text1"/>
                <w:sz w:val="24"/>
                <w:highlight w:val="none"/>
                <w14:textFill>
                  <w14:solidFill>
                    <w14:schemeClr w14:val="tx1"/>
                  </w14:solidFill>
                </w14:textFill>
              </w:rPr>
              <w:t>年本）》可知，本项目不属于鼓励类、限制类和淘汰类范畴，视为允许类；</w:t>
            </w:r>
            <w:r>
              <w:rPr>
                <w:rFonts w:hint="eastAsia" w:ascii="Times New Roman" w:hAnsi="Times New Roman" w:eastAsia="宋体"/>
                <w:caps w:val="0"/>
                <w:color w:val="000000" w:themeColor="text1"/>
                <w:kern w:val="24"/>
                <w:sz w:val="24"/>
                <w:szCs w:val="20"/>
                <w:highlight w:val="none"/>
                <w14:textFill>
                  <w14:solidFill>
                    <w14:schemeClr w14:val="tx1"/>
                  </w14:solidFill>
                </w14:textFill>
              </w:rPr>
              <w:t>本项目不属于《市场准入负面清单（2022年版）》中的负面清单，不属于《环境保护综合名录》（2021年版）中“高污染、高环境风险”产品名录；</w:t>
            </w:r>
            <w:r>
              <w:rPr>
                <w:rFonts w:hint="eastAsia" w:ascii="Times New Roman" w:hAnsi="Times New Roman" w:eastAsia="宋体"/>
                <w:caps w:val="0"/>
                <w:color w:val="000000" w:themeColor="text1"/>
                <w:sz w:val="24"/>
                <w:szCs w:val="24"/>
                <w:highlight w:val="none"/>
                <w14:textFill>
                  <w14:solidFill>
                    <w14:schemeClr w14:val="tx1"/>
                  </w14:solidFill>
                </w14:textFill>
              </w:rPr>
              <w:t>本项目不属于《安徽省节能减排及应对气候变化工作领导小组关于印发安徽省“两高”项目管理目录（试行）的通知》（皖节能﹝2022）2号）中的“两高”项目。</w:t>
            </w:r>
            <w:r>
              <w:rPr>
                <w:rFonts w:hint="eastAsia" w:ascii="Times New Roman" w:hAnsi="Times New Roman" w:eastAsia="宋体"/>
                <w:caps w:val="0"/>
                <w:color w:val="000000" w:themeColor="text1"/>
                <w:sz w:val="24"/>
                <w:highlight w:val="none"/>
                <w14:textFill>
                  <w14:solidFill>
                    <w14:schemeClr w14:val="tx1"/>
                  </w14:solidFill>
                </w14:textFill>
              </w:rPr>
              <w:t>与产业政策相符，故本项目的建设符合国家产业政策。</w:t>
            </w:r>
          </w:p>
          <w:p w14:paraId="42819AAA">
            <w:pPr>
              <w:keepNext w:val="0"/>
              <w:keepLines w:val="0"/>
              <w:pageBreakBefore w:val="0"/>
              <w:widowControl w:val="0"/>
              <w:kinsoku/>
              <w:wordWrap/>
              <w:overflowPunct/>
              <w:topLinePunct w:val="0"/>
              <w:bidi w:val="0"/>
              <w:spacing w:line="360" w:lineRule="auto"/>
              <w:ind w:firstLine="482" w:firstLineChars="200"/>
              <w:textAlignment w:val="auto"/>
              <w:rPr>
                <w:rFonts w:hint="default" w:ascii="Times New Roman" w:hAnsi="Times New Roman" w:eastAsia="宋体"/>
                <w:b/>
                <w:bCs/>
                <w:caps w:val="0"/>
                <w:color w:val="000000" w:themeColor="text1"/>
                <w:sz w:val="24"/>
                <w:highlight w:val="none"/>
                <w:lang w:val="en-US" w:eastAsia="zh-CN"/>
                <w14:textFill>
                  <w14:solidFill>
                    <w14:schemeClr w14:val="tx1"/>
                  </w14:solidFill>
                </w14:textFill>
              </w:rPr>
            </w:pPr>
            <w:r>
              <w:rPr>
                <w:rFonts w:hint="eastAsia"/>
                <w:b/>
                <w:bCs/>
                <w:caps w:val="0"/>
                <w:color w:val="000000" w:themeColor="text1"/>
                <w:sz w:val="24"/>
                <w:highlight w:val="none"/>
                <w:lang w:val="en-US" w:eastAsia="zh-CN"/>
                <w14:textFill>
                  <w14:solidFill>
                    <w14:schemeClr w14:val="tx1"/>
                  </w14:solidFill>
                </w14:textFill>
              </w:rPr>
              <w:t>2、“三线一单”相符性分析</w:t>
            </w:r>
          </w:p>
          <w:p w14:paraId="7E252298">
            <w:pPr>
              <w:keepNext w:val="0"/>
              <w:keepLines w:val="0"/>
              <w:pageBreakBefore w:val="0"/>
              <w:widowControl w:val="0"/>
              <w:kinsoku/>
              <w:wordWrap/>
              <w:overflowPunct/>
              <w:topLinePunct w:val="0"/>
              <w:bidi w:val="0"/>
              <w:spacing w:line="360" w:lineRule="auto"/>
              <w:ind w:firstLine="420"/>
              <w:textAlignment w:val="auto"/>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根据《安徽省人民政府关于加快实施“三线一单”生态环境分区管控的通知》、《关于印发安徽省“三线一单”生态环境分区管控管理办法</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暂行</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的通知》</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皖环发[2022</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5号</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要求</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基于生态保护红线、环境质量底线、资源利用上线，依据现有法律法规、政策标准和管理要求等，衔接区域发展战略和生态功能定位，坚持目标导向和问题导向，从空间布局约束、污染物排放管控、环境风险防控和资源利用效率等方面明确生态环境准入要求。以生态保护红线、环境质量底线、资源利用上线和环境准入负面清单为手段，强化空间、总量、准入环境管理。</w:t>
            </w:r>
          </w:p>
          <w:p w14:paraId="6A2FA36B">
            <w:pPr>
              <w:keepNext w:val="0"/>
              <w:keepLines w:val="0"/>
              <w:pageBreakBefore w:val="0"/>
              <w:widowControl w:val="0"/>
              <w:kinsoku/>
              <w:wordWrap/>
              <w:overflowPunct/>
              <w:topLinePunct w:val="0"/>
              <w:bidi w:val="0"/>
              <w:spacing w:line="360" w:lineRule="auto"/>
              <w:ind w:firstLine="420"/>
              <w:textAlignment w:val="auto"/>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pP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1</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与生态保护红线相符性</w:t>
            </w:r>
          </w:p>
          <w:p w14:paraId="21CF1919">
            <w:pPr>
              <w:keepNext w:val="0"/>
              <w:keepLines w:val="0"/>
              <w:pageBreakBefore w:val="0"/>
              <w:widowControl w:val="0"/>
              <w:kinsoku/>
              <w:wordWrap/>
              <w:overflowPunct/>
              <w:topLinePunct w:val="0"/>
              <w:bidi w:val="0"/>
              <w:spacing w:line="360" w:lineRule="auto"/>
              <w:ind w:firstLine="420"/>
              <w:textAlignment w:val="auto"/>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根据《安徽省人民政府关于发布安徽省生态保护红线的通知》</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皖政秘</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2018</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120号</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、《芜湖市生态环境分区管控文本（成果）》</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2023年8月</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，项目选址位于芜湖高新技术产业开发区内，不占用区域生态保护红线及一般生态空间</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与安徽省生态保护红线及生态分区管控要求相符。本项目不会导致辖区内生态红线区域生态服务功能下降。本项目与生态保护红线区域位置关系图见附图。</w:t>
            </w:r>
          </w:p>
          <w:p w14:paraId="3E4C8F3B">
            <w:pPr>
              <w:keepNext w:val="0"/>
              <w:keepLines w:val="0"/>
              <w:pageBreakBefore w:val="0"/>
              <w:widowControl w:val="0"/>
              <w:kinsoku/>
              <w:wordWrap/>
              <w:overflowPunct/>
              <w:topLinePunct w:val="0"/>
              <w:bidi w:val="0"/>
              <w:spacing w:line="360" w:lineRule="auto"/>
              <w:ind w:firstLine="420"/>
              <w:textAlignment w:val="auto"/>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pP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2</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与环境质量底线相符性</w:t>
            </w:r>
          </w:p>
          <w:p w14:paraId="099F852E">
            <w:pPr>
              <w:keepNext w:val="0"/>
              <w:keepLines w:val="0"/>
              <w:pageBreakBefore w:val="0"/>
              <w:widowControl w:val="0"/>
              <w:kinsoku/>
              <w:wordWrap/>
              <w:overflowPunct/>
              <w:topLinePunct w:val="0"/>
              <w:bidi w:val="0"/>
              <w:spacing w:line="360" w:lineRule="auto"/>
              <w:ind w:firstLine="420"/>
              <w:textAlignment w:val="auto"/>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环境质量</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本次评价的环境质量底线即评价区域的大气、地表水、声环境功能区划，以此作为容量管控的依据。项目所在区域内环境空气为二类区，根据《2023年芜湖市生态环境状况公报》可知，2023年度芜湖市空气环境质量中SO</w:t>
            </w:r>
            <w:r>
              <w:rPr>
                <w:rFonts w:hint="eastAsia" w:ascii="Times New Roman" w:hAnsi="Times New Roman" w:eastAsia="宋体"/>
                <w:caps w:val="0"/>
                <w:color w:val="000000" w:themeColor="text1"/>
                <w:kern w:val="24"/>
                <w:sz w:val="24"/>
                <w:szCs w:val="20"/>
                <w:highlight w:val="none"/>
                <w:vertAlign w:val="subscript"/>
                <w:lang w:val="en-US" w:eastAsia="zh-CN"/>
                <w14:textFill>
                  <w14:solidFill>
                    <w14:schemeClr w14:val="tx1"/>
                  </w14:solidFill>
                </w14:textFill>
              </w:rPr>
              <w:t>2</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、NO</w:t>
            </w:r>
            <w:r>
              <w:rPr>
                <w:rFonts w:hint="eastAsia" w:ascii="Times New Roman" w:hAnsi="Times New Roman" w:eastAsia="宋体"/>
                <w:caps w:val="0"/>
                <w:color w:val="000000" w:themeColor="text1"/>
                <w:kern w:val="24"/>
                <w:sz w:val="24"/>
                <w:szCs w:val="20"/>
                <w:highlight w:val="none"/>
                <w:vertAlign w:val="subscript"/>
                <w:lang w:val="en-US" w:eastAsia="zh-CN"/>
                <w14:textFill>
                  <w14:solidFill>
                    <w14:schemeClr w14:val="tx1"/>
                  </w14:solidFill>
                </w14:textFill>
              </w:rPr>
              <w:t>2</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、PM</w:t>
            </w:r>
            <w:r>
              <w:rPr>
                <w:rFonts w:hint="eastAsia" w:ascii="Times New Roman" w:hAnsi="Times New Roman" w:eastAsia="宋体"/>
                <w:caps w:val="0"/>
                <w:color w:val="000000" w:themeColor="text1"/>
                <w:kern w:val="24"/>
                <w:sz w:val="24"/>
                <w:szCs w:val="20"/>
                <w:highlight w:val="none"/>
                <w:vertAlign w:val="subscript"/>
                <w:lang w:val="en-US" w:eastAsia="zh-CN"/>
                <w14:textFill>
                  <w14:solidFill>
                    <w14:schemeClr w14:val="tx1"/>
                  </w14:solidFill>
                </w14:textFill>
              </w:rPr>
              <w:t>10</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、PM</w:t>
            </w:r>
            <w:r>
              <w:rPr>
                <w:rFonts w:hint="eastAsia" w:ascii="Times New Roman" w:hAnsi="Times New Roman" w:eastAsia="宋体"/>
                <w:caps w:val="0"/>
                <w:color w:val="000000" w:themeColor="text1"/>
                <w:kern w:val="24"/>
                <w:sz w:val="24"/>
                <w:szCs w:val="20"/>
                <w:highlight w:val="none"/>
                <w:vertAlign w:val="subscript"/>
                <w:lang w:val="en-US" w:eastAsia="zh-CN"/>
                <w14:textFill>
                  <w14:solidFill>
                    <w14:schemeClr w14:val="tx1"/>
                  </w14:solidFill>
                </w14:textFill>
              </w:rPr>
              <w:t>2</w:t>
            </w:r>
            <w:r>
              <w:rPr>
                <w:rFonts w:hint="eastAsia"/>
                <w:caps w:val="0"/>
                <w:color w:val="000000" w:themeColor="text1"/>
                <w:kern w:val="24"/>
                <w:sz w:val="24"/>
                <w:szCs w:val="20"/>
                <w:highlight w:val="none"/>
                <w:vertAlign w:val="subscript"/>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vertAlign w:val="subscript"/>
                <w:lang w:val="en-US" w:eastAsia="zh-CN"/>
                <w14:textFill>
                  <w14:solidFill>
                    <w14:schemeClr w14:val="tx1"/>
                  </w14:solidFill>
                </w14:textFill>
              </w:rPr>
              <w:t>5</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、CO、</w:t>
            </w:r>
            <w:r>
              <w:rPr>
                <w:rFonts w:hint="eastAsia"/>
                <w:caps w:val="0"/>
                <w:color w:val="000000" w:themeColor="text1"/>
                <w:kern w:val="24"/>
                <w:sz w:val="24"/>
                <w:szCs w:val="20"/>
                <w:highlight w:val="none"/>
                <w:lang w:val="en-US" w:eastAsia="zh-CN"/>
                <w14:textFill>
                  <w14:solidFill>
                    <w14:schemeClr w14:val="tx1"/>
                  </w14:solidFill>
                </w14:textFill>
              </w:rPr>
              <w:t>O</w:t>
            </w:r>
            <w:r>
              <w:rPr>
                <w:rFonts w:hint="eastAsia"/>
                <w:caps w:val="0"/>
                <w:color w:val="000000" w:themeColor="text1"/>
                <w:kern w:val="24"/>
                <w:sz w:val="24"/>
                <w:szCs w:val="20"/>
                <w:highlight w:val="none"/>
                <w:vertAlign w:val="subscript"/>
                <w:lang w:val="en-US" w:eastAsia="zh-CN"/>
                <w14:textFill>
                  <w14:solidFill>
                    <w14:schemeClr w14:val="tx1"/>
                  </w14:solidFill>
                </w14:textFill>
              </w:rPr>
              <w:t>3</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限值全部达到《环境空气质量标准》</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GB3095-2012</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二级标准要求，属于达标区。项目所在区域的声环境、地表水、地下水、土壤的环境质量均可达到相应的环境功能区划要求，本项目的建设对周围环境的影响较小。</w:t>
            </w:r>
          </w:p>
          <w:p w14:paraId="49A15765">
            <w:pPr>
              <w:keepNext w:val="0"/>
              <w:keepLines w:val="0"/>
              <w:pageBreakBefore w:val="0"/>
              <w:widowControl w:val="0"/>
              <w:kinsoku/>
              <w:wordWrap/>
              <w:overflowPunct/>
              <w:topLinePunct w:val="0"/>
              <w:bidi w:val="0"/>
              <w:spacing w:line="360" w:lineRule="auto"/>
              <w:ind w:firstLine="420"/>
              <w:textAlignment w:val="auto"/>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在落实本次评价提出的各项污染防治措施的前提下，各项污染物可以做到达标排放，不会降低区域环境质量的原有功能级别，满足环境质量底线控制要求。</w:t>
            </w:r>
          </w:p>
          <w:p w14:paraId="1791FBFF">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pP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3</w:t>
            </w: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与资源利用上线相符性</w:t>
            </w:r>
          </w:p>
          <w:p w14:paraId="60703F35">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资源利用</w:t>
            </w: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本项目位于芜湖市高新技术产业开发区，该区域规划完整基础设施齐备，项目供水依托园区供水系统，园区供水系统富余能力完全满足本项目需求</w:t>
            </w: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本项目依托现有供电系统，新增用电量较少，园区供电富余能力完全满足本项目需求。本项目不使用煤炭，不在高污染燃料禁燃区</w:t>
            </w:r>
            <w:r>
              <w:rPr>
                <w:rFonts w:hint="eastAsia"/>
                <w:caps w:val="0"/>
                <w:color w:val="000000" w:themeColor="text1"/>
                <w:kern w:val="24"/>
                <w:sz w:val="24"/>
                <w:highlight w:val="none"/>
                <w:lang w:val="en-US" w:eastAsia="zh-CN"/>
                <w14:textFill>
                  <w14:solidFill>
                    <w14:schemeClr w14:val="tx1"/>
                  </w14:solidFill>
                </w14:textFill>
              </w:rPr>
              <w:t>。</w:t>
            </w:r>
          </w:p>
          <w:p w14:paraId="5D96FE49">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建设单位将全过程贯彻清洁生产、循环经济理念，通过采用节水工艺节电设备、严格执行土地利用规划有关规定。项目在区域规划定的资源利用上线内所占比例很小。本项目资源利用均在芜湖高新技术产业开发区可承受范围内。</w:t>
            </w:r>
          </w:p>
          <w:p w14:paraId="52398E9F">
            <w:pPr>
              <w:keepNext w:val="0"/>
              <w:keepLines w:val="0"/>
              <w:pageBreakBefore w:val="0"/>
              <w:widowControl w:val="0"/>
              <w:kinsoku/>
              <w:wordWrap/>
              <w:overflowPunct/>
              <w:topLinePunct w:val="0"/>
              <w:bidi w:val="0"/>
              <w:spacing w:line="360" w:lineRule="auto"/>
              <w:ind w:firstLine="420"/>
              <w:textAlignment w:val="auto"/>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分区管控</w:t>
            </w:r>
            <w:r>
              <w:rPr>
                <w:rFonts w:hint="eastAsia"/>
                <w:caps w:val="0"/>
                <w:color w:val="000000" w:themeColor="text1"/>
                <w:kern w:val="24"/>
                <w:sz w:val="24"/>
                <w:szCs w:val="20"/>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对照《芜湖市生态环境分区管控文本（成果）》，其相关管控要求见下表。</w:t>
            </w:r>
          </w:p>
          <w:p w14:paraId="0FE8E5FD">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center"/>
              <w:textAlignment w:val="auto"/>
              <w:rPr>
                <w:rFonts w:ascii="Times New Roman" w:hAnsi="Times New Roman" w:eastAsia="宋体"/>
                <w:b/>
                <w:bCs/>
                <w:caps w:val="0"/>
                <w:color w:val="000000" w:themeColor="text1"/>
                <w:kern w:val="24"/>
                <w:sz w:val="24"/>
                <w:highlight w:val="none"/>
                <w14:textFill>
                  <w14:solidFill>
                    <w14:schemeClr w14:val="tx1"/>
                  </w14:solidFill>
                </w14:textFill>
              </w:rPr>
            </w:pPr>
            <w:r>
              <w:rPr>
                <w:rFonts w:hint="eastAsia" w:ascii="Times New Roman" w:hAnsi="Times New Roman" w:eastAsia="宋体"/>
                <w:b/>
                <w:bCs/>
                <w:caps w:val="0"/>
                <w:color w:val="000000" w:themeColor="text1"/>
                <w:kern w:val="24"/>
                <w:sz w:val="24"/>
                <w:highlight w:val="none"/>
                <w14:textFill>
                  <w14:solidFill>
                    <w14:schemeClr w14:val="tx1"/>
                  </w14:solidFill>
                </w14:textFill>
              </w:rPr>
              <w:t>表1-</w:t>
            </w:r>
            <w:r>
              <w:rPr>
                <w:rFonts w:hint="eastAsia"/>
                <w:b/>
                <w:bCs/>
                <w:caps w:val="0"/>
                <w:color w:val="000000" w:themeColor="text1"/>
                <w:kern w:val="24"/>
                <w:sz w:val="24"/>
                <w:highlight w:val="none"/>
                <w:lang w:val="en-US" w:eastAsia="zh-CN"/>
                <w14:textFill>
                  <w14:solidFill>
                    <w14:schemeClr w14:val="tx1"/>
                  </w14:solidFill>
                </w14:textFill>
              </w:rPr>
              <w:t>2</w:t>
            </w:r>
            <w:r>
              <w:rPr>
                <w:rFonts w:hint="eastAsia" w:ascii="Times New Roman" w:hAnsi="Times New Roman" w:eastAsia="宋体"/>
                <w:b/>
                <w:bCs/>
                <w:caps w:val="0"/>
                <w:color w:val="000000" w:themeColor="text1"/>
                <w:kern w:val="24"/>
                <w:sz w:val="24"/>
                <w:highlight w:val="none"/>
                <w:lang w:val="en-US" w:eastAsia="zh-CN"/>
                <w14:textFill>
                  <w14:solidFill>
                    <w14:schemeClr w14:val="tx1"/>
                  </w14:solidFill>
                </w14:textFill>
              </w:rPr>
              <w:t xml:space="preserve"> </w:t>
            </w:r>
            <w:r>
              <w:rPr>
                <w:rFonts w:hint="eastAsia" w:ascii="Times New Roman" w:hAnsi="Times New Roman" w:eastAsia="宋体"/>
                <w:b/>
                <w:bCs/>
                <w:caps w:val="0"/>
                <w:color w:val="000000" w:themeColor="text1"/>
                <w:kern w:val="24"/>
                <w:sz w:val="24"/>
                <w:highlight w:val="none"/>
                <w14:textFill>
                  <w14:solidFill>
                    <w14:schemeClr w14:val="tx1"/>
                  </w14:solidFill>
                </w14:textFill>
              </w:rPr>
              <w:t xml:space="preserve"> 本项目与《芜湖市生态环境分区管控文本（成果）》相符性分析一览表</w:t>
            </w:r>
          </w:p>
          <w:tbl>
            <w:tblPr>
              <w:tblStyle w:val="22"/>
              <w:tblW w:w="756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3950"/>
              <w:gridCol w:w="2230"/>
              <w:gridCol w:w="695"/>
            </w:tblGrid>
            <w:tr w14:paraId="7C701D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687" w:type="dxa"/>
                  <w:tcBorders>
                    <w:tl2br w:val="nil"/>
                    <w:tr2bl w:val="nil"/>
                  </w:tcBorders>
                  <w:noWrap w:val="0"/>
                  <w:vAlign w:val="center"/>
                </w:tcPr>
                <w:p w14:paraId="21417CC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b/>
                      <w:bCs/>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b/>
                      <w:bCs/>
                      <w:caps w:val="0"/>
                      <w:color w:val="000000" w:themeColor="text1"/>
                      <w:kern w:val="24"/>
                      <w:sz w:val="21"/>
                      <w:szCs w:val="21"/>
                      <w:highlight w:val="none"/>
                      <w:vertAlign w:val="baseline"/>
                      <w14:textFill>
                        <w14:solidFill>
                          <w14:schemeClr w14:val="tx1"/>
                        </w14:solidFill>
                      </w14:textFill>
                    </w:rPr>
                    <w:t>管控领域</w:t>
                  </w:r>
                </w:p>
              </w:tc>
              <w:tc>
                <w:tcPr>
                  <w:tcW w:w="3950" w:type="dxa"/>
                  <w:tcBorders>
                    <w:tl2br w:val="nil"/>
                    <w:tr2bl w:val="nil"/>
                  </w:tcBorders>
                  <w:noWrap w:val="0"/>
                  <w:vAlign w:val="center"/>
                </w:tcPr>
                <w:p w14:paraId="3E7C90A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b/>
                      <w:bCs/>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b/>
                      <w:bCs/>
                      <w:caps w:val="0"/>
                      <w:color w:val="000000" w:themeColor="text1"/>
                      <w:kern w:val="24"/>
                      <w:sz w:val="21"/>
                      <w:szCs w:val="21"/>
                      <w:highlight w:val="none"/>
                      <w:vertAlign w:val="baseline"/>
                      <w14:textFill>
                        <w14:solidFill>
                          <w14:schemeClr w14:val="tx1"/>
                        </w14:solidFill>
                      </w14:textFill>
                    </w:rPr>
                    <w:t>管控单元及管控要求</w:t>
                  </w:r>
                </w:p>
              </w:tc>
              <w:tc>
                <w:tcPr>
                  <w:tcW w:w="2230" w:type="dxa"/>
                  <w:tcBorders>
                    <w:tl2br w:val="nil"/>
                    <w:tr2bl w:val="nil"/>
                  </w:tcBorders>
                  <w:noWrap w:val="0"/>
                  <w:vAlign w:val="center"/>
                </w:tcPr>
                <w:p w14:paraId="4DD83A0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b/>
                      <w:bCs/>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b/>
                      <w:bCs/>
                      <w:caps w:val="0"/>
                      <w:color w:val="000000" w:themeColor="text1"/>
                      <w:kern w:val="24"/>
                      <w:sz w:val="21"/>
                      <w:szCs w:val="21"/>
                      <w:highlight w:val="none"/>
                      <w:vertAlign w:val="baseline"/>
                      <w14:textFill>
                        <w14:solidFill>
                          <w14:schemeClr w14:val="tx1"/>
                        </w14:solidFill>
                      </w14:textFill>
                    </w:rPr>
                    <w:t>本项目情况</w:t>
                  </w:r>
                </w:p>
              </w:tc>
              <w:tc>
                <w:tcPr>
                  <w:tcW w:w="695" w:type="dxa"/>
                  <w:tcBorders>
                    <w:tl2br w:val="nil"/>
                    <w:tr2bl w:val="nil"/>
                  </w:tcBorders>
                  <w:noWrap w:val="0"/>
                  <w:vAlign w:val="center"/>
                </w:tcPr>
                <w:p w14:paraId="3C58004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b/>
                      <w:bCs/>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b/>
                      <w:bCs/>
                      <w:caps w:val="0"/>
                      <w:color w:val="000000" w:themeColor="text1"/>
                      <w:kern w:val="24"/>
                      <w:sz w:val="21"/>
                      <w:szCs w:val="21"/>
                      <w:highlight w:val="none"/>
                      <w:vertAlign w:val="baseline"/>
                      <w14:textFill>
                        <w14:solidFill>
                          <w14:schemeClr w14:val="tx1"/>
                        </w14:solidFill>
                      </w14:textFill>
                    </w:rPr>
                    <w:t>相符性</w:t>
                  </w:r>
                </w:p>
              </w:tc>
            </w:tr>
            <w:tr w14:paraId="00220F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7562" w:type="dxa"/>
                  <w:gridSpan w:val="4"/>
                  <w:tcBorders>
                    <w:tl2br w:val="nil"/>
                    <w:tr2bl w:val="nil"/>
                  </w:tcBorders>
                  <w:noWrap w:val="0"/>
                  <w:vAlign w:val="center"/>
                </w:tcPr>
                <w:p w14:paraId="3B7AD62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b/>
                      <w:bCs/>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b/>
                      <w:bCs/>
                      <w:caps w:val="0"/>
                      <w:color w:val="000000" w:themeColor="text1"/>
                      <w:kern w:val="24"/>
                      <w:sz w:val="21"/>
                      <w:szCs w:val="21"/>
                      <w:highlight w:val="none"/>
                      <w:vertAlign w:val="baseline"/>
                      <w14:textFill>
                        <w14:solidFill>
                          <w14:schemeClr w14:val="tx1"/>
                        </w14:solidFill>
                      </w14:textFill>
                    </w:rPr>
                    <w:t>生态保护红线及生态分区管控</w:t>
                  </w:r>
                </w:p>
              </w:tc>
            </w:tr>
            <w:tr w14:paraId="356570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tcBorders>
                    <w:tl2br w:val="nil"/>
                    <w:tr2bl w:val="nil"/>
                  </w:tcBorders>
                  <w:noWrap w:val="0"/>
                  <w:vAlign w:val="center"/>
                </w:tcPr>
                <w:p w14:paraId="225EEDF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生态分区管控要求</w:t>
                  </w:r>
                </w:p>
              </w:tc>
              <w:tc>
                <w:tcPr>
                  <w:tcW w:w="3950" w:type="dxa"/>
                  <w:tcBorders>
                    <w:tl2br w:val="nil"/>
                    <w:tr2bl w:val="nil"/>
                  </w:tcBorders>
                  <w:noWrap w:val="0"/>
                  <w:vAlign w:val="center"/>
                </w:tcPr>
                <w:p w14:paraId="13591AA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生态保护红线管控要求：依据中办、国办印发的《关于划定并严守生态保护红线的若干意见》，生态保护红线原则上按禁止开发区域的要求进行管理。严禁不符合主体功能定位的各类开发活动，严禁任意改变用途，确保生态保护红线的生态功能不降低、面积不减少、性质不改变。依据中办、国办印发的《关于在国土空间规划中统筹划定落实三条控制线的指导意见》，生态保护红线内，自然保护地核心保护区原则上禁止人为活动，其他区域严格禁止开发性、生产性建设活动，在符合现行法律法规前提下，除国家重大战略项目外，仅允许对生态功能不造成破坏的有限人为活动。依据《自然资源部生态环境部国家林业和草原局关于加强生态保护红线管理的通知</w:t>
                  </w:r>
                  <w:r>
                    <w:rPr>
                      <w:rFonts w:hint="eastAsia"/>
                      <w:caps w:val="0"/>
                      <w:color w:val="000000" w:themeColor="text1"/>
                      <w:kern w:val="24"/>
                      <w:sz w:val="21"/>
                      <w:szCs w:val="21"/>
                      <w:highlight w:val="none"/>
                      <w:vertAlign w:val="baseline"/>
                      <w:lang w:eastAsia="zh-CN"/>
                      <w14:textFill>
                        <w14:solidFill>
                          <w14:schemeClr w14:val="tx1"/>
                        </w14:solidFill>
                      </w14:textFill>
                    </w:rPr>
                    <w:t>（</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试行</w:t>
                  </w:r>
                  <w:r>
                    <w:rPr>
                      <w:rFonts w:hint="eastAsia"/>
                      <w:caps w:val="0"/>
                      <w:color w:val="000000" w:themeColor="text1"/>
                      <w:kern w:val="24"/>
                      <w:sz w:val="21"/>
                      <w:szCs w:val="21"/>
                      <w:highlight w:val="none"/>
                      <w:vertAlign w:val="baseline"/>
                      <w:lang w:eastAsia="zh-CN"/>
                      <w14:textFill>
                        <w14:solidFill>
                          <w14:schemeClr w14:val="tx1"/>
                        </w14:solidFill>
                      </w14:textFill>
                    </w:rPr>
                    <w:t>）</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》，生态保护红线内自然保护区、风景名胜区、饮用水水源保护区等区域，依照法律法规执行。</w:t>
                  </w:r>
                </w:p>
              </w:tc>
              <w:tc>
                <w:tcPr>
                  <w:tcW w:w="2230" w:type="dxa"/>
                  <w:tcBorders>
                    <w:tl2br w:val="nil"/>
                    <w:tr2bl w:val="nil"/>
                  </w:tcBorders>
                  <w:noWrap w:val="0"/>
                  <w:vAlign w:val="center"/>
                </w:tcPr>
                <w:p w14:paraId="6D6F816B">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本项目位于</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芜湖市弋江</w:t>
                  </w:r>
                  <w:r>
                    <w:rPr>
                      <w:rFonts w:hint="eastAsia" w:ascii="Times New Roman" w:hAnsi="Times New Roman" w:eastAsia="宋体"/>
                      <w:caps w:val="0"/>
                      <w:color w:val="auto"/>
                      <w:kern w:val="24"/>
                      <w:sz w:val="21"/>
                      <w:szCs w:val="21"/>
                      <w:highlight w:val="none"/>
                      <w:vertAlign w:val="baseline"/>
                    </w:rPr>
                    <w:t>区高新技术开发区漳河路28号，不在生态保护红线范围内，详见附图</w:t>
                  </w:r>
                  <w:r>
                    <w:rPr>
                      <w:rFonts w:hint="eastAsia"/>
                      <w:caps w:val="0"/>
                      <w:color w:val="auto"/>
                      <w:kern w:val="24"/>
                      <w:sz w:val="21"/>
                      <w:szCs w:val="21"/>
                      <w:highlight w:val="none"/>
                      <w:vertAlign w:val="baseline"/>
                      <w:lang w:val="en-US" w:eastAsia="zh-CN"/>
                    </w:rPr>
                    <w:t>六</w:t>
                  </w:r>
                  <w:r>
                    <w:rPr>
                      <w:rFonts w:hint="eastAsia" w:ascii="Times New Roman" w:hAnsi="Times New Roman" w:eastAsia="宋体"/>
                      <w:caps w:val="0"/>
                      <w:color w:val="auto"/>
                      <w:kern w:val="24"/>
                      <w:sz w:val="21"/>
                      <w:szCs w:val="21"/>
                      <w:highlight w:val="none"/>
                      <w:vertAlign w:val="baseline"/>
                    </w:rPr>
                    <w:t>；本项目距</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离长江干流岸线</w:t>
                  </w:r>
                  <w:r>
                    <w:rPr>
                      <w:rFonts w:hint="eastAsia"/>
                      <w:caps w:val="0"/>
                      <w:color w:val="000000" w:themeColor="text1"/>
                      <w:kern w:val="24"/>
                      <w:sz w:val="21"/>
                      <w:szCs w:val="21"/>
                      <w:highlight w:val="none"/>
                      <w:vertAlign w:val="baseline"/>
                      <w:lang w:val="en-US" w:eastAsia="zh-CN"/>
                      <w14:textFill>
                        <w14:solidFill>
                          <w14:schemeClr w14:val="tx1"/>
                        </w14:solidFill>
                      </w14:textFill>
                    </w:rPr>
                    <w:t>4.7</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km，距离青弋江</w:t>
                  </w:r>
                  <w:r>
                    <w:rPr>
                      <w:rFonts w:hint="eastAsia"/>
                      <w:caps w:val="0"/>
                      <w:color w:val="000000" w:themeColor="text1"/>
                      <w:kern w:val="24"/>
                      <w:sz w:val="21"/>
                      <w:szCs w:val="21"/>
                      <w:highlight w:val="none"/>
                      <w:vertAlign w:val="baseline"/>
                      <w:lang w:val="en-US" w:eastAsia="zh-CN"/>
                      <w14:textFill>
                        <w14:solidFill>
                          <w14:schemeClr w14:val="tx1"/>
                        </w14:solidFill>
                      </w14:textFill>
                    </w:rPr>
                    <w:t>7</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km，距离漳河</w:t>
                  </w:r>
                  <w:r>
                    <w:rPr>
                      <w:rFonts w:hint="eastAsia"/>
                      <w:caps w:val="0"/>
                      <w:color w:val="000000" w:themeColor="text1"/>
                      <w:kern w:val="24"/>
                      <w:sz w:val="21"/>
                      <w:szCs w:val="21"/>
                      <w:highlight w:val="none"/>
                      <w:vertAlign w:val="baseline"/>
                      <w:lang w:val="en-US" w:eastAsia="zh-CN"/>
                      <w14:textFill>
                        <w14:solidFill>
                          <w14:schemeClr w14:val="tx1"/>
                        </w14:solidFill>
                      </w14:textFill>
                    </w:rPr>
                    <w:t>0.8</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km。根据《芜湖市生态环境分区管控文本（成果）》，本项目区域不涉及一般生态空间区域。</w:t>
                  </w:r>
                </w:p>
              </w:tc>
              <w:tc>
                <w:tcPr>
                  <w:tcW w:w="695" w:type="dxa"/>
                  <w:tcBorders>
                    <w:tl2br w:val="nil"/>
                    <w:tr2bl w:val="nil"/>
                  </w:tcBorders>
                  <w:noWrap w:val="0"/>
                  <w:vAlign w:val="center"/>
                </w:tcPr>
                <w:p w14:paraId="7098E83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符合</w:t>
                  </w:r>
                </w:p>
              </w:tc>
            </w:tr>
            <w:tr w14:paraId="172590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562" w:type="dxa"/>
                  <w:gridSpan w:val="4"/>
                  <w:tcBorders>
                    <w:tl2br w:val="nil"/>
                    <w:tr2bl w:val="nil"/>
                  </w:tcBorders>
                  <w:noWrap w:val="0"/>
                  <w:vAlign w:val="center"/>
                </w:tcPr>
                <w:p w14:paraId="76FC7FD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b/>
                      <w:bCs/>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b/>
                      <w:bCs/>
                      <w:caps w:val="0"/>
                      <w:color w:val="000000" w:themeColor="text1"/>
                      <w:kern w:val="24"/>
                      <w:sz w:val="21"/>
                      <w:szCs w:val="21"/>
                      <w:highlight w:val="none"/>
                      <w:vertAlign w:val="baseline"/>
                      <w:lang w:val="en-US" w:eastAsia="zh-CN"/>
                      <w14:textFill>
                        <w14:solidFill>
                          <w14:schemeClr w14:val="tx1"/>
                        </w14:solidFill>
                      </w14:textFill>
                    </w:rPr>
                    <w:t>环境质量底线及环境分区管控</w:t>
                  </w:r>
                </w:p>
              </w:tc>
            </w:tr>
            <w:tr w14:paraId="2800C4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restart"/>
                  <w:tcBorders>
                    <w:tl2br w:val="nil"/>
                    <w:tr2bl w:val="nil"/>
                  </w:tcBorders>
                  <w:noWrap w:val="0"/>
                  <w:vAlign w:val="center"/>
                </w:tcPr>
                <w:p w14:paraId="41D0123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水环境质量底线及分区管控</w:t>
                  </w:r>
                </w:p>
              </w:tc>
              <w:tc>
                <w:tcPr>
                  <w:tcW w:w="3950" w:type="dxa"/>
                  <w:tcBorders>
                    <w:tl2br w:val="nil"/>
                    <w:tr2bl w:val="nil"/>
                  </w:tcBorders>
                  <w:noWrap w:val="0"/>
                  <w:vAlign w:val="center"/>
                </w:tcPr>
                <w:p w14:paraId="16E9996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芜湖市水环境管控分区包括优先保护区、重点管控区和一般管控区。</w:t>
                  </w:r>
                </w:p>
              </w:tc>
              <w:tc>
                <w:tcPr>
                  <w:tcW w:w="2230" w:type="dxa"/>
                  <w:vMerge w:val="restart"/>
                  <w:tcBorders>
                    <w:tl2br w:val="nil"/>
                    <w:tr2bl w:val="nil"/>
                  </w:tcBorders>
                  <w:noWrap w:val="0"/>
                  <w:vAlign w:val="center"/>
                </w:tcPr>
                <w:p w14:paraId="62664992">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本项目位于芜湖市弋江区高新技术开发区漳河路28号，属于水环境工业污染重点管控区。本项目</w:t>
                  </w:r>
                  <w:r>
                    <w:rPr>
                      <w:rFonts w:hint="eastAsia"/>
                      <w:caps w:val="0"/>
                      <w:color w:val="000000" w:themeColor="text1"/>
                      <w:kern w:val="24"/>
                      <w:sz w:val="21"/>
                      <w:szCs w:val="21"/>
                      <w:highlight w:val="none"/>
                      <w:vertAlign w:val="baseline"/>
                      <w:lang w:val="en-US" w:eastAsia="zh-CN"/>
                      <w14:textFill>
                        <w14:solidFill>
                          <w14:schemeClr w14:val="tx1"/>
                        </w14:solidFill>
                      </w14:textFill>
                    </w:rPr>
                    <w:t>潮湿废水经沉淀池处理后与</w:t>
                  </w: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生活污水经化粪池</w:t>
                  </w:r>
                  <w:r>
                    <w:rPr>
                      <w:rFonts w:hint="eastAsia"/>
                      <w:caps w:val="0"/>
                      <w:color w:val="000000" w:themeColor="text1"/>
                      <w:kern w:val="24"/>
                      <w:sz w:val="21"/>
                      <w:szCs w:val="21"/>
                      <w:highlight w:val="none"/>
                      <w:vertAlign w:val="baseline"/>
                      <w:lang w:val="en-US" w:eastAsia="zh-CN"/>
                      <w14:textFill>
                        <w14:solidFill>
                          <w14:schemeClr w14:val="tx1"/>
                        </w14:solidFill>
                      </w14:textFill>
                    </w:rPr>
                    <w:t>+隔油池</w:t>
                  </w: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处理后，</w:t>
                  </w:r>
                  <w:r>
                    <w:rPr>
                      <w:rFonts w:hint="eastAsia"/>
                      <w:caps w:val="0"/>
                      <w:color w:val="000000" w:themeColor="text1"/>
                      <w:kern w:val="24"/>
                      <w:sz w:val="21"/>
                      <w:szCs w:val="21"/>
                      <w:highlight w:val="none"/>
                      <w:vertAlign w:val="baseline"/>
                      <w:lang w:val="en-US" w:eastAsia="zh-CN"/>
                      <w14:textFill>
                        <w14:solidFill>
                          <w14:schemeClr w14:val="tx1"/>
                        </w14:solidFill>
                      </w14:textFill>
                    </w:rPr>
                    <w:t>一起</w:t>
                  </w: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通过市政管网排入城南污水处理厂集中处理。水污染物总量已纳入芜湖市城南污水处理厂总量控制范围内。</w:t>
                  </w:r>
                </w:p>
              </w:tc>
              <w:tc>
                <w:tcPr>
                  <w:tcW w:w="695" w:type="dxa"/>
                  <w:vMerge w:val="restart"/>
                  <w:tcBorders>
                    <w:tl2br w:val="nil"/>
                    <w:tr2bl w:val="nil"/>
                  </w:tcBorders>
                  <w:noWrap w:val="0"/>
                  <w:vAlign w:val="center"/>
                </w:tcPr>
                <w:p w14:paraId="0E4E890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符合</w:t>
                  </w:r>
                </w:p>
              </w:tc>
            </w:tr>
            <w:tr w14:paraId="3FE419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continue"/>
                  <w:tcBorders>
                    <w:tl2br w:val="nil"/>
                    <w:tr2bl w:val="nil"/>
                  </w:tcBorders>
                  <w:noWrap w:val="0"/>
                  <w:vAlign w:val="center"/>
                </w:tcPr>
                <w:p w14:paraId="686D0306">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c>
                <w:tcPr>
                  <w:tcW w:w="3950" w:type="dxa"/>
                  <w:tcBorders>
                    <w:tl2br w:val="nil"/>
                    <w:tr2bl w:val="nil"/>
                  </w:tcBorders>
                  <w:noWrap w:val="0"/>
                  <w:vAlign w:val="center"/>
                </w:tcPr>
                <w:p w14:paraId="648409DB">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重点管控区：依据《中华人民共和国水污染防治法》、《水污染防治行动计划》、《安徽省水污染防治工作方案》、《芜湖市水污染防治工作方案》等对重点管控区实施管控；依据《巢湖流域水污染防治条例》对巢湖流域实施管控；依据开发区规划、规划环评及审查意见相关要求对开发区实施管控；落实《“十四五”生态环境保护规划》、《安徽省“十四五”环境保护规划》、《安徽省“十四五”节能减排实施方案》、《芜湖市“十四五”节能减排实施方案》等要求，新建、改建和扩建项目水污染物实施“等量替代”。</w:t>
                  </w:r>
                </w:p>
              </w:tc>
              <w:tc>
                <w:tcPr>
                  <w:tcW w:w="2230" w:type="dxa"/>
                  <w:vMerge w:val="continue"/>
                  <w:tcBorders>
                    <w:tl2br w:val="nil"/>
                    <w:tr2bl w:val="nil"/>
                  </w:tcBorders>
                  <w:noWrap w:val="0"/>
                  <w:vAlign w:val="center"/>
                </w:tcPr>
                <w:p w14:paraId="60C50362">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c>
                <w:tcPr>
                  <w:tcW w:w="695" w:type="dxa"/>
                  <w:vMerge w:val="continue"/>
                  <w:tcBorders>
                    <w:tl2br w:val="nil"/>
                    <w:tr2bl w:val="nil"/>
                  </w:tcBorders>
                  <w:noWrap w:val="0"/>
                  <w:vAlign w:val="center"/>
                </w:tcPr>
                <w:p w14:paraId="3BA500D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r>
            <w:tr w14:paraId="325485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restart"/>
                  <w:tcBorders>
                    <w:tl2br w:val="nil"/>
                    <w:tr2bl w:val="nil"/>
                  </w:tcBorders>
                  <w:noWrap w:val="0"/>
                  <w:vAlign w:val="center"/>
                </w:tcPr>
                <w:p w14:paraId="65F4222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大气环境质量底线及分区管控</w:t>
                  </w:r>
                </w:p>
              </w:tc>
              <w:tc>
                <w:tcPr>
                  <w:tcW w:w="3950" w:type="dxa"/>
                  <w:tcBorders>
                    <w:tl2br w:val="nil"/>
                    <w:tr2bl w:val="nil"/>
                  </w:tcBorders>
                  <w:noWrap w:val="0"/>
                  <w:vAlign w:val="center"/>
                </w:tcPr>
                <w:p w14:paraId="3308D22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芜湖市大气环境管控分区包括优先保护区、重点管控区和一般管控区。</w:t>
                  </w:r>
                </w:p>
              </w:tc>
              <w:tc>
                <w:tcPr>
                  <w:tcW w:w="2230" w:type="dxa"/>
                  <w:vMerge w:val="restart"/>
                  <w:tcBorders>
                    <w:tl2br w:val="nil"/>
                    <w:tr2bl w:val="nil"/>
                  </w:tcBorders>
                  <w:noWrap w:val="0"/>
                  <w:vAlign w:val="center"/>
                </w:tcPr>
                <w:p w14:paraId="3FBC573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本项目位于芜湖市弋江区高新技术开发区漳河路28号，属于重点管控区。根据《202</w:t>
                  </w: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3</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年芜湖市生态环境状况公报》可知，项目区域202</w:t>
                  </w: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3</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年度PM</w:t>
                  </w:r>
                  <w:r>
                    <w:rPr>
                      <w:rFonts w:hint="eastAsia" w:ascii="Times New Roman" w:hAnsi="Times New Roman" w:eastAsia="宋体"/>
                      <w:caps w:val="0"/>
                      <w:color w:val="000000" w:themeColor="text1"/>
                      <w:kern w:val="24"/>
                      <w:sz w:val="21"/>
                      <w:szCs w:val="21"/>
                      <w:highlight w:val="none"/>
                      <w:vertAlign w:val="subscript"/>
                      <w14:textFill>
                        <w14:solidFill>
                          <w14:schemeClr w14:val="tx1"/>
                        </w14:solidFill>
                      </w14:textFill>
                    </w:rPr>
                    <w:t>2.5</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达标，大气主要污染物总量指标实行区域内等量削减替代，建设项目需向生态环境主管部门申请大气污染物总量指标</w:t>
                  </w:r>
                  <w:r>
                    <w:rPr>
                      <w:rFonts w:hint="eastAsia" w:ascii="Times New Roman" w:hAnsi="Times New Roman" w:eastAsia="宋体"/>
                      <w:caps w:val="0"/>
                      <w:color w:val="000000" w:themeColor="text1"/>
                      <w:kern w:val="24"/>
                      <w:sz w:val="21"/>
                      <w:szCs w:val="21"/>
                      <w:highlight w:val="none"/>
                      <w:vertAlign w:val="baseline"/>
                      <w:lang w:eastAsia="zh-CN"/>
                      <w14:textFill>
                        <w14:solidFill>
                          <w14:schemeClr w14:val="tx1"/>
                        </w14:solidFill>
                      </w14:textFill>
                    </w:rPr>
                    <w:t>，</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不会降低区域现有环境功能。</w:t>
                  </w:r>
                </w:p>
              </w:tc>
              <w:tc>
                <w:tcPr>
                  <w:tcW w:w="695" w:type="dxa"/>
                  <w:vMerge w:val="restart"/>
                  <w:tcBorders>
                    <w:tl2br w:val="nil"/>
                    <w:tr2bl w:val="nil"/>
                  </w:tcBorders>
                  <w:noWrap w:val="0"/>
                  <w:vAlign w:val="center"/>
                </w:tcPr>
                <w:p w14:paraId="2A86F55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aps w:val="0"/>
                      <w:color w:val="000000" w:themeColor="text1"/>
                      <w:kern w:val="24"/>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符合</w:t>
                  </w:r>
                </w:p>
              </w:tc>
            </w:tr>
            <w:tr w14:paraId="58D90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continue"/>
                  <w:tcBorders>
                    <w:tl2br w:val="nil"/>
                    <w:tr2bl w:val="nil"/>
                  </w:tcBorders>
                  <w:noWrap w:val="0"/>
                  <w:vAlign w:val="center"/>
                </w:tcPr>
                <w:p w14:paraId="73B14FE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c>
                <w:tcPr>
                  <w:tcW w:w="3950" w:type="dxa"/>
                  <w:tcBorders>
                    <w:tl2br w:val="nil"/>
                    <w:tr2bl w:val="nil"/>
                  </w:tcBorders>
                  <w:noWrap w:val="0"/>
                  <w:vAlign w:val="center"/>
                </w:tcPr>
                <w:p w14:paraId="6C82664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重点管控区：落实《安徽省大气污染防治条例》、《“十四五”生态环境保护规划》、《安徽省“十四五”环境保护规划》、《芜湖市“十四五”环境保护规划》、《重点行业挥发性有机物综合治理方案》等要求，严格目标实施计划，加强环境监管，促进生态环境质量好转。若上年度PM</w:t>
                  </w:r>
                  <w:r>
                    <w:rPr>
                      <w:rFonts w:hint="eastAsia" w:ascii="Times New Roman" w:hAnsi="Times New Roman" w:eastAsia="宋体"/>
                      <w:caps w:val="0"/>
                      <w:color w:val="000000" w:themeColor="text1"/>
                      <w:kern w:val="24"/>
                      <w:sz w:val="21"/>
                      <w:szCs w:val="21"/>
                      <w:highlight w:val="none"/>
                      <w:vertAlign w:val="subscript"/>
                      <w14:textFill>
                        <w14:solidFill>
                          <w14:schemeClr w14:val="tx1"/>
                        </w14:solidFill>
                      </w14:textFill>
                    </w:rPr>
                    <w:t>2.5</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不达标，新建、改建和扩建项目大气污染物实施“倍量替代”，执行特别排放标准的行业实施提标升级改造。</w:t>
                  </w:r>
                </w:p>
              </w:tc>
              <w:tc>
                <w:tcPr>
                  <w:tcW w:w="2230" w:type="dxa"/>
                  <w:vMerge w:val="continue"/>
                  <w:tcBorders>
                    <w:tl2br w:val="nil"/>
                    <w:tr2bl w:val="nil"/>
                  </w:tcBorders>
                  <w:noWrap w:val="0"/>
                  <w:vAlign w:val="center"/>
                </w:tcPr>
                <w:p w14:paraId="0C97C7B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c>
                <w:tcPr>
                  <w:tcW w:w="695" w:type="dxa"/>
                  <w:vMerge w:val="continue"/>
                  <w:tcBorders>
                    <w:tl2br w:val="nil"/>
                    <w:tr2bl w:val="nil"/>
                  </w:tcBorders>
                  <w:noWrap w:val="0"/>
                  <w:vAlign w:val="center"/>
                </w:tcPr>
                <w:p w14:paraId="5751F9D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r>
            <w:tr w14:paraId="75A44B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687" w:type="dxa"/>
                  <w:vMerge w:val="restart"/>
                  <w:tcBorders>
                    <w:tl2br w:val="nil"/>
                    <w:tr2bl w:val="nil"/>
                  </w:tcBorders>
                  <w:noWrap w:val="0"/>
                  <w:vAlign w:val="center"/>
                </w:tcPr>
                <w:p w14:paraId="13A92A2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土壤环境风险防控底线及分区管控</w:t>
                  </w:r>
                </w:p>
              </w:tc>
              <w:tc>
                <w:tcPr>
                  <w:tcW w:w="3950" w:type="dxa"/>
                  <w:tcBorders>
                    <w:tl2br w:val="nil"/>
                    <w:tr2bl w:val="nil"/>
                  </w:tcBorders>
                  <w:noWrap w:val="0"/>
                  <w:vAlign w:val="center"/>
                </w:tcPr>
                <w:p w14:paraId="3A0180E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芜湖市土壤风险防控分区包括优先保护区、重点管控区和一般管控区。</w:t>
                  </w:r>
                </w:p>
              </w:tc>
              <w:tc>
                <w:tcPr>
                  <w:tcW w:w="2230" w:type="dxa"/>
                  <w:vMerge w:val="restart"/>
                  <w:tcBorders>
                    <w:tl2br w:val="nil"/>
                    <w:tr2bl w:val="nil"/>
                  </w:tcBorders>
                  <w:noWrap w:val="0"/>
                  <w:vAlign w:val="center"/>
                </w:tcPr>
                <w:p w14:paraId="62558E8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本项目位于芜湖市弋江区高新技术开发区漳河路28号，属于土壤环境一般管控区。本项目不涉及有色金属冶炼、石油加工、化工、焦化、电镀、制革等行业生产经营活动，且项目采取分区防渗，因此不会对区域土壤环境造成影响。</w:t>
                  </w:r>
                </w:p>
              </w:tc>
              <w:tc>
                <w:tcPr>
                  <w:tcW w:w="695" w:type="dxa"/>
                  <w:vMerge w:val="restart"/>
                  <w:tcBorders>
                    <w:tl2br w:val="nil"/>
                    <w:tr2bl w:val="nil"/>
                  </w:tcBorders>
                  <w:noWrap w:val="0"/>
                  <w:vAlign w:val="center"/>
                </w:tcPr>
                <w:p w14:paraId="360A6A0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符合</w:t>
                  </w:r>
                </w:p>
              </w:tc>
            </w:tr>
            <w:tr w14:paraId="58F39B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continue"/>
                  <w:tcBorders>
                    <w:tl2br w:val="nil"/>
                    <w:tr2bl w:val="nil"/>
                  </w:tcBorders>
                  <w:noWrap w:val="0"/>
                  <w:vAlign w:val="center"/>
                </w:tcPr>
                <w:p w14:paraId="27DBC53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c>
                <w:tcPr>
                  <w:tcW w:w="3950" w:type="dxa"/>
                  <w:tcBorders>
                    <w:tl2br w:val="nil"/>
                    <w:tr2bl w:val="nil"/>
                  </w:tcBorders>
                  <w:noWrap w:val="0"/>
                  <w:vAlign w:val="center"/>
                </w:tcPr>
                <w:p w14:paraId="476FEE6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一般管控区：依据《中华人民共和国土壤污染防治法》、《土壤污染防治行动计划》、《安徽省土壤污染防治工作方案》、《安徽省“十四五”环境保护规划》、《芜湖市土壤污染防治工作方案》等要求及各市土壤污染防治工作方案对一般管控区实施管控。</w:t>
                  </w:r>
                </w:p>
              </w:tc>
              <w:tc>
                <w:tcPr>
                  <w:tcW w:w="2230" w:type="dxa"/>
                  <w:vMerge w:val="continue"/>
                  <w:tcBorders>
                    <w:tl2br w:val="nil"/>
                    <w:tr2bl w:val="nil"/>
                  </w:tcBorders>
                  <w:noWrap w:val="0"/>
                  <w:vAlign w:val="center"/>
                </w:tcPr>
                <w:p w14:paraId="0E7E214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c>
                <w:tcPr>
                  <w:tcW w:w="695" w:type="dxa"/>
                  <w:vMerge w:val="continue"/>
                  <w:tcBorders>
                    <w:tl2br w:val="nil"/>
                    <w:tr2bl w:val="nil"/>
                  </w:tcBorders>
                  <w:noWrap w:val="0"/>
                  <w:vAlign w:val="center"/>
                </w:tcPr>
                <w:p w14:paraId="3220614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r>
            <w:tr w14:paraId="4CB563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562" w:type="dxa"/>
                  <w:gridSpan w:val="4"/>
                  <w:tcBorders>
                    <w:tl2br w:val="nil"/>
                    <w:tr2bl w:val="nil"/>
                  </w:tcBorders>
                  <w:noWrap w:val="0"/>
                  <w:vAlign w:val="center"/>
                </w:tcPr>
                <w:p w14:paraId="03EFE4A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b/>
                      <w:bCs/>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b/>
                      <w:bCs/>
                      <w:caps w:val="0"/>
                      <w:color w:val="000000" w:themeColor="text1"/>
                      <w:kern w:val="24"/>
                      <w:sz w:val="21"/>
                      <w:szCs w:val="21"/>
                      <w:highlight w:val="none"/>
                      <w:vertAlign w:val="baseline"/>
                      <w14:textFill>
                        <w14:solidFill>
                          <w14:schemeClr w14:val="tx1"/>
                        </w14:solidFill>
                      </w14:textFill>
                    </w:rPr>
                    <w:t>资源利用上线及自然资源开发分区管控</w:t>
                  </w:r>
                </w:p>
              </w:tc>
            </w:tr>
            <w:tr w14:paraId="55F769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tcBorders>
                    <w:tl2br w:val="nil"/>
                    <w:tr2bl w:val="nil"/>
                  </w:tcBorders>
                  <w:noWrap w:val="0"/>
                  <w:vAlign w:val="center"/>
                </w:tcPr>
                <w:p w14:paraId="2BB28CD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水资源利用上线及分区管</w:t>
                  </w:r>
                  <w:bookmarkStart w:id="18" w:name="_GoBack"/>
                  <w:bookmarkEnd w:id="18"/>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控</w:t>
                  </w:r>
                </w:p>
              </w:tc>
              <w:tc>
                <w:tcPr>
                  <w:tcW w:w="3950" w:type="dxa"/>
                  <w:tcBorders>
                    <w:tl2br w:val="nil"/>
                    <w:tr2bl w:val="nil"/>
                  </w:tcBorders>
                  <w:noWrap w:val="0"/>
                  <w:vAlign w:val="center"/>
                </w:tcPr>
                <w:p w14:paraId="67EF800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芜湖市水资源管控分区全部为一般管控区。管控要求：落实《国务院办公厅关于印发实行最严格水资源管理制度考核办法的通知》、《“十四五”水资源消耗总量和强度双控行动方案》、《安徽省“十四五”水资源消耗总量和强度双控工作方案》和《芜湖市“十四五”水资源消耗总量和强度双控工作方案》等要求。</w:t>
                  </w:r>
                </w:p>
              </w:tc>
              <w:tc>
                <w:tcPr>
                  <w:tcW w:w="2230" w:type="dxa"/>
                  <w:tcBorders>
                    <w:tl2br w:val="nil"/>
                    <w:tr2bl w:val="nil"/>
                  </w:tcBorders>
                  <w:noWrap w:val="0"/>
                  <w:vAlign w:val="center"/>
                </w:tcPr>
                <w:p w14:paraId="51E7107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本项目用水来自区域市政供水管网，</w:t>
                  </w: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新增</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年用水量</w:t>
                  </w:r>
                  <w:r>
                    <w:rPr>
                      <w:rFonts w:hint="eastAsia"/>
                      <w:caps w:val="0"/>
                      <w:color w:val="000000" w:themeColor="text1"/>
                      <w:kern w:val="21"/>
                      <w:szCs w:val="21"/>
                      <w:highlight w:val="none"/>
                      <w:lang w:val="en-US" w:eastAsia="zh-CN"/>
                      <w14:textFill>
                        <w14:solidFill>
                          <w14:schemeClr w14:val="tx1"/>
                        </w14:solidFill>
                      </w14:textFill>
                    </w:rPr>
                    <w:t>5839.6</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‬t；满足水资源利用上线要求。</w:t>
                  </w:r>
                </w:p>
              </w:tc>
              <w:tc>
                <w:tcPr>
                  <w:tcW w:w="695" w:type="dxa"/>
                  <w:tcBorders>
                    <w:tl2br w:val="nil"/>
                    <w:tr2bl w:val="nil"/>
                  </w:tcBorders>
                  <w:noWrap w:val="0"/>
                  <w:vAlign w:val="center"/>
                </w:tcPr>
                <w:p w14:paraId="4C5D9B8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符合</w:t>
                  </w:r>
                </w:p>
              </w:tc>
            </w:tr>
            <w:tr w14:paraId="42D0E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restart"/>
                  <w:tcBorders>
                    <w:tl2br w:val="nil"/>
                    <w:tr2bl w:val="nil"/>
                  </w:tcBorders>
                  <w:noWrap w:val="0"/>
                  <w:vAlign w:val="center"/>
                </w:tcPr>
                <w:p w14:paraId="5C560AA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土地资源利用上线及分区管控</w:t>
                  </w:r>
                </w:p>
              </w:tc>
              <w:tc>
                <w:tcPr>
                  <w:tcW w:w="3950" w:type="dxa"/>
                  <w:tcBorders>
                    <w:tl2br w:val="nil"/>
                    <w:tr2bl w:val="nil"/>
                  </w:tcBorders>
                  <w:noWrap w:val="0"/>
                  <w:vAlign w:val="center"/>
                </w:tcPr>
                <w:p w14:paraId="731E212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芜湖市土地资源管控区划分为两类，分别为重点管控区和一般管控区。</w:t>
                  </w:r>
                </w:p>
              </w:tc>
              <w:tc>
                <w:tcPr>
                  <w:tcW w:w="2230" w:type="dxa"/>
                  <w:vMerge w:val="restart"/>
                  <w:tcBorders>
                    <w:tl2br w:val="nil"/>
                    <w:tr2bl w:val="nil"/>
                  </w:tcBorders>
                  <w:noWrap w:val="0"/>
                  <w:vAlign w:val="center"/>
                </w:tcPr>
                <w:p w14:paraId="692D8142">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本项目位于芜湖市弋江区高新技术开发区漳河路28号，属于土地资源重点管控区。本项目用地为工业用地，符合规划要求。土地</w:t>
                  </w:r>
                  <w:r>
                    <w:rPr>
                      <w:rFonts w:hint="eastAsia"/>
                      <w:caps w:val="0"/>
                      <w:color w:val="000000" w:themeColor="text1"/>
                      <w:kern w:val="24"/>
                      <w:sz w:val="21"/>
                      <w:szCs w:val="21"/>
                      <w:highlight w:val="none"/>
                      <w:vertAlign w:val="baseline"/>
                      <w:lang w:val="en-US" w:eastAsia="zh-CN"/>
                      <w14:textFill>
                        <w14:solidFill>
                          <w14:schemeClr w14:val="tx1"/>
                        </w14:solidFill>
                      </w14:textFill>
                    </w:rPr>
                    <w:t>资源</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利用水平较高，不会突破土地资源利用上线。</w:t>
                  </w:r>
                </w:p>
              </w:tc>
              <w:tc>
                <w:tcPr>
                  <w:tcW w:w="695" w:type="dxa"/>
                  <w:vMerge w:val="restart"/>
                  <w:tcBorders>
                    <w:tl2br w:val="nil"/>
                    <w:tr2bl w:val="nil"/>
                  </w:tcBorders>
                  <w:noWrap w:val="0"/>
                  <w:vAlign w:val="center"/>
                </w:tcPr>
                <w:p w14:paraId="76E55CF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符合</w:t>
                  </w:r>
                </w:p>
              </w:tc>
            </w:tr>
            <w:tr w14:paraId="110497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continue"/>
                  <w:tcBorders>
                    <w:tl2br w:val="nil"/>
                    <w:tr2bl w:val="nil"/>
                  </w:tcBorders>
                  <w:noWrap w:val="0"/>
                  <w:vAlign w:val="center"/>
                </w:tcPr>
                <w:p w14:paraId="23E42F3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c>
                <w:tcPr>
                  <w:tcW w:w="3950" w:type="dxa"/>
                  <w:tcBorders>
                    <w:tl2br w:val="nil"/>
                    <w:tr2bl w:val="nil"/>
                  </w:tcBorders>
                  <w:noWrap w:val="0"/>
                  <w:vAlign w:val="center"/>
                </w:tcPr>
                <w:p w14:paraId="699CE4D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落实《全国国土空间规划纲要（2021-2035年）》、《安徽省国土空间规划（2021-2035年）》、《芜湖市国土空间规划（2021-2035年）》、《自然资源“十四五”规划编制工作方案》、《安徽省“十四五”自然资源保护和利用规划》等要求。</w:t>
                  </w:r>
                </w:p>
              </w:tc>
              <w:tc>
                <w:tcPr>
                  <w:tcW w:w="2230" w:type="dxa"/>
                  <w:vMerge w:val="continue"/>
                  <w:tcBorders>
                    <w:tl2br w:val="nil"/>
                    <w:tr2bl w:val="nil"/>
                  </w:tcBorders>
                  <w:noWrap w:val="0"/>
                  <w:vAlign w:val="center"/>
                </w:tcPr>
                <w:p w14:paraId="3FF1DF5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c>
                <w:tcPr>
                  <w:tcW w:w="695" w:type="dxa"/>
                  <w:vMerge w:val="continue"/>
                  <w:tcBorders>
                    <w:tl2br w:val="nil"/>
                    <w:tr2bl w:val="nil"/>
                  </w:tcBorders>
                  <w:noWrap w:val="0"/>
                  <w:vAlign w:val="center"/>
                </w:tcPr>
                <w:p w14:paraId="44CCB05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p>
              </w:tc>
            </w:tr>
            <w:tr w14:paraId="047DFA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tcBorders>
                    <w:tl2br w:val="nil"/>
                    <w:tr2bl w:val="nil"/>
                  </w:tcBorders>
                  <w:noWrap w:val="0"/>
                  <w:vAlign w:val="center"/>
                </w:tcPr>
                <w:p w14:paraId="3B36DAB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岸线资源利用上线及分区管控</w:t>
                  </w:r>
                </w:p>
              </w:tc>
              <w:tc>
                <w:tcPr>
                  <w:tcW w:w="3950" w:type="dxa"/>
                  <w:tcBorders>
                    <w:tl2br w:val="nil"/>
                    <w:tr2bl w:val="nil"/>
                  </w:tcBorders>
                  <w:noWrap w:val="0"/>
                  <w:vAlign w:val="center"/>
                </w:tcPr>
                <w:p w14:paraId="75CA29F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按照生态环境部“三线一单”岸线生态环境分类管控技术说明，长江岸线分为优先保护岸线、重点管控岸线、一般管控岸线。</w:t>
                  </w:r>
                </w:p>
              </w:tc>
              <w:tc>
                <w:tcPr>
                  <w:tcW w:w="2230" w:type="dxa"/>
                  <w:tcBorders>
                    <w:tl2br w:val="nil"/>
                    <w:tr2bl w:val="nil"/>
                  </w:tcBorders>
                  <w:noWrap w:val="0"/>
                  <w:vAlign w:val="center"/>
                </w:tcPr>
                <w:p w14:paraId="03B2E38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本项目不涉及</w:t>
                  </w:r>
                  <w:r>
                    <w:rPr>
                      <w:rFonts w:hint="eastAsia" w:ascii="Times New Roman" w:hAnsi="Times New Roman" w:eastAsia="宋体"/>
                      <w:caps w:val="0"/>
                      <w:color w:val="000000" w:themeColor="text1"/>
                      <w:kern w:val="24"/>
                      <w:sz w:val="21"/>
                      <w:szCs w:val="21"/>
                      <w:highlight w:val="none"/>
                      <w:vertAlign w:val="baseline"/>
                      <w:lang w:val="en-US" w:eastAsia="zh-CN"/>
                      <w14:textFill>
                        <w14:solidFill>
                          <w14:schemeClr w14:val="tx1"/>
                        </w14:solidFill>
                      </w14:textFill>
                    </w:rPr>
                    <w:t>长江</w:t>
                  </w: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岸线。</w:t>
                  </w:r>
                </w:p>
              </w:tc>
              <w:tc>
                <w:tcPr>
                  <w:tcW w:w="695" w:type="dxa"/>
                  <w:tcBorders>
                    <w:tl2br w:val="nil"/>
                    <w:tr2bl w:val="nil"/>
                  </w:tcBorders>
                  <w:noWrap w:val="0"/>
                  <w:vAlign w:val="center"/>
                </w:tcPr>
                <w:p w14:paraId="14601B6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宋体"/>
                      <w:caps w:val="0"/>
                      <w:color w:val="000000" w:themeColor="text1"/>
                      <w:kern w:val="24"/>
                      <w:sz w:val="21"/>
                      <w:szCs w:val="21"/>
                      <w:highlight w:val="none"/>
                      <w:vertAlign w:val="baseline"/>
                      <w14:textFill>
                        <w14:solidFill>
                          <w14:schemeClr w14:val="tx1"/>
                        </w14:solidFill>
                      </w14:textFill>
                    </w:rPr>
                  </w:pPr>
                  <w:r>
                    <w:rPr>
                      <w:rFonts w:hint="eastAsia" w:ascii="Times New Roman" w:hAnsi="Times New Roman" w:eastAsia="宋体"/>
                      <w:caps w:val="0"/>
                      <w:color w:val="000000" w:themeColor="text1"/>
                      <w:kern w:val="24"/>
                      <w:sz w:val="21"/>
                      <w:szCs w:val="21"/>
                      <w:highlight w:val="none"/>
                      <w:vertAlign w:val="baseline"/>
                      <w14:textFill>
                        <w14:solidFill>
                          <w14:schemeClr w14:val="tx1"/>
                        </w14:solidFill>
                      </w14:textFill>
                    </w:rPr>
                    <w:t>符合</w:t>
                  </w:r>
                </w:p>
              </w:tc>
            </w:tr>
          </w:tbl>
          <w:p w14:paraId="2E79B52D">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Times New Roman" w:hAnsi="Times New Roman" w:eastAsia="宋体"/>
                <w:caps w:val="0"/>
                <w:color w:val="auto"/>
                <w:kern w:val="24"/>
                <w:sz w:val="24"/>
                <w:highlight w:val="none"/>
                <w:lang w:val="en-US" w:eastAsia="zh-CN"/>
              </w:rPr>
            </w:pP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对照《芜湖市生态环境分区管控生态环境准入清单》，项目所在地属于水环境重点管控区、大气环境重点</w:t>
            </w:r>
            <w:r>
              <w:rPr>
                <w:rFonts w:hint="eastAsia" w:ascii="Times New Roman" w:hAnsi="Times New Roman" w:eastAsia="宋体"/>
                <w:caps w:val="0"/>
                <w:color w:val="auto"/>
                <w:kern w:val="24"/>
                <w:sz w:val="24"/>
                <w:highlight w:val="none"/>
                <w:lang w:val="en-US" w:eastAsia="zh-CN"/>
              </w:rPr>
              <w:t>管控区、土壤环境一般管控区。</w:t>
            </w:r>
            <w:r>
              <w:rPr>
                <w:rFonts w:hint="eastAsia"/>
                <w:caps w:val="0"/>
                <w:color w:val="auto"/>
                <w:kern w:val="24"/>
                <w:sz w:val="24"/>
                <w:highlight w:val="none"/>
                <w:lang w:val="en-US" w:eastAsia="zh-CN"/>
              </w:rPr>
              <w:t>详</w:t>
            </w:r>
            <w:r>
              <w:rPr>
                <w:rFonts w:hint="eastAsia" w:ascii="Times New Roman" w:hAnsi="Times New Roman" w:eastAsia="宋体"/>
                <w:caps w:val="0"/>
                <w:color w:val="auto"/>
                <w:kern w:val="24"/>
                <w:sz w:val="24"/>
                <w:highlight w:val="none"/>
                <w:lang w:val="en-US" w:eastAsia="zh-CN"/>
              </w:rPr>
              <w:t>见附图</w:t>
            </w:r>
            <w:r>
              <w:rPr>
                <w:rFonts w:hint="eastAsia"/>
                <w:caps w:val="0"/>
                <w:color w:val="auto"/>
                <w:kern w:val="24"/>
                <w:sz w:val="24"/>
                <w:highlight w:val="none"/>
                <w:lang w:val="en-US" w:eastAsia="zh-CN"/>
              </w:rPr>
              <w:t>八</w:t>
            </w:r>
            <w:r>
              <w:rPr>
                <w:rFonts w:hint="eastAsia" w:ascii="Times New Roman" w:hAnsi="Times New Roman" w:eastAsia="宋体"/>
                <w:caps w:val="0"/>
                <w:color w:val="auto"/>
                <w:kern w:val="24"/>
                <w:sz w:val="24"/>
                <w:highlight w:val="none"/>
                <w:lang w:val="en-US" w:eastAsia="zh-CN"/>
              </w:rPr>
              <w:t>。</w:t>
            </w:r>
          </w:p>
          <w:p w14:paraId="45C7C0C4">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综上所述，本项目建成后，区域水资源、土地资源、电耗使用量均未超出园区划定的资源利用上线要求。</w:t>
            </w:r>
          </w:p>
          <w:p w14:paraId="67A5D43D">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pP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4</w:t>
            </w: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与生态环境准入清单相符性分析</w:t>
            </w:r>
          </w:p>
          <w:p w14:paraId="44B150E8">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根据《</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芜湖市生态环境分区管控文本（成果）</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w:t>
            </w:r>
            <w:r>
              <w:rPr>
                <w:rFonts w:hint="eastAsia"/>
                <w:caps w:val="0"/>
                <w:color w:val="000000" w:themeColor="text1"/>
                <w:kern w:val="24"/>
                <w:sz w:val="24"/>
                <w:highlight w:val="none"/>
                <w:lang w:val="en-US" w:eastAsia="zh-CN"/>
                <w14:textFill>
                  <w14:solidFill>
                    <w14:schemeClr w14:val="tx1"/>
                  </w14:solidFill>
                </w14:textFill>
              </w:rPr>
              <w:t>（2</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023年8月</w:t>
            </w: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中“芜湖市生态环境分区管控生态环境准入清单”表4开发区生态环境准入清单准入条件，本项目与其要求相符。具体详见下表。</w:t>
            </w:r>
          </w:p>
          <w:p w14:paraId="5DE288C2">
            <w:pPr>
              <w:keepNext w:val="0"/>
              <w:keepLines w:val="0"/>
              <w:widowControl/>
              <w:suppressLineNumbers w:val="0"/>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表1-</w:t>
            </w:r>
            <w:r>
              <w:rPr>
                <w:rFonts w:hint="eastAsia"/>
                <w:b/>
                <w:caps w:val="0"/>
                <w:color w:val="000000" w:themeColor="text1"/>
                <w:sz w:val="24"/>
                <w:highlight w:val="none"/>
                <w:lang w:val="en-US" w:eastAsia="zh-CN"/>
                <w14:textFill>
                  <w14:solidFill>
                    <w14:schemeClr w14:val="tx1"/>
                  </w14:solidFill>
                </w14:textFill>
              </w:rPr>
              <w:t>3</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 xml:space="preserve"> </w:t>
            </w:r>
            <w:r>
              <w:rPr>
                <w:rFonts w:hint="eastAsia" w:ascii="Times New Roman" w:hAnsi="Times New Roman" w:eastAsia="宋体"/>
                <w:b/>
                <w:caps w:val="0"/>
                <w:color w:val="000000" w:themeColor="text1"/>
                <w:sz w:val="24"/>
                <w:highlight w:val="none"/>
                <w14:textFill>
                  <w14:solidFill>
                    <w14:schemeClr w14:val="tx1"/>
                  </w14:solidFill>
                </w14:textFill>
              </w:rPr>
              <w:t xml:space="preserve"> </w:t>
            </w:r>
            <w:r>
              <w:rPr>
                <w:rFonts w:ascii="Times New Roman" w:hAnsi="Times New Roman" w:eastAsia="宋体"/>
                <w:b/>
                <w:caps w:val="0"/>
                <w:color w:val="000000" w:themeColor="text1"/>
                <w:sz w:val="24"/>
                <w:highlight w:val="none"/>
                <w14:textFill>
                  <w14:solidFill>
                    <w14:schemeClr w14:val="tx1"/>
                  </w14:solidFill>
                </w14:textFill>
              </w:rPr>
              <w:t>项目与</w:t>
            </w:r>
            <w:r>
              <w:rPr>
                <w:rFonts w:hint="eastAsia" w:ascii="Times New Roman" w:hAnsi="Times New Roman" w:eastAsia="宋体" w:cs="宋体"/>
                <w:b/>
                <w:bCs/>
                <w:caps w:val="0"/>
                <w:color w:val="000000" w:themeColor="text1"/>
                <w:kern w:val="0"/>
                <w:sz w:val="24"/>
                <w:szCs w:val="24"/>
                <w:highlight w:val="none"/>
                <w:lang w:val="en-US" w:eastAsia="zh-CN" w:bidi="ar"/>
                <w14:textFill>
                  <w14:solidFill>
                    <w14:schemeClr w14:val="tx1"/>
                  </w14:solidFill>
                </w14:textFill>
              </w:rPr>
              <w:t>《芜湖市生态环境分区管控生态环境准入清单</w:t>
            </w:r>
            <w:r>
              <w:rPr>
                <w:rFonts w:hint="eastAsia" w:ascii="Times New Roman" w:hAnsi="Times New Roman" w:eastAsia="宋体"/>
                <w:b/>
                <w:caps w:val="0"/>
                <w:color w:val="000000" w:themeColor="text1"/>
                <w:sz w:val="24"/>
                <w:highlight w:val="none"/>
                <w:lang w:eastAsia="zh-CN"/>
                <w14:textFill>
                  <w14:solidFill>
                    <w14:schemeClr w14:val="tx1"/>
                  </w14:solidFill>
                </w14:textFill>
              </w:rPr>
              <w:t>》</w:t>
            </w:r>
            <w:r>
              <w:rPr>
                <w:rFonts w:ascii="Times New Roman" w:hAnsi="Times New Roman" w:eastAsia="宋体"/>
                <w:b/>
                <w:caps w:val="0"/>
                <w:color w:val="000000" w:themeColor="text1"/>
                <w:sz w:val="24"/>
                <w:highlight w:val="none"/>
                <w14:textFill>
                  <w14:solidFill>
                    <w14:schemeClr w14:val="tx1"/>
                  </w14:solidFill>
                </w14:textFill>
              </w:rPr>
              <w:t>相符性分析</w:t>
            </w:r>
          </w:p>
          <w:tbl>
            <w:tblPr>
              <w:tblStyle w:val="21"/>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22"/>
              <w:gridCol w:w="1170"/>
              <w:gridCol w:w="3694"/>
              <w:gridCol w:w="2196"/>
            </w:tblGrid>
            <w:tr w14:paraId="437D07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010" w:type="pct"/>
                  <w:gridSpan w:val="2"/>
                  <w:tcBorders>
                    <w:tl2br w:val="nil"/>
                    <w:tr2bl w:val="nil"/>
                  </w:tcBorders>
                  <w:noWrap w:val="0"/>
                  <w:vAlign w:val="center"/>
                </w:tcPr>
                <w:p w14:paraId="3F8C7527">
                  <w:pPr>
                    <w:jc w:val="center"/>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内容</w:t>
                  </w:r>
                </w:p>
              </w:tc>
              <w:tc>
                <w:tcPr>
                  <w:tcW w:w="2502" w:type="pct"/>
                  <w:tcBorders>
                    <w:tl2br w:val="nil"/>
                    <w:tr2bl w:val="nil"/>
                  </w:tcBorders>
                  <w:noWrap w:val="0"/>
                  <w:vAlign w:val="center"/>
                </w:tcPr>
                <w:p w14:paraId="6B1E372D">
                  <w:pPr>
                    <w:jc w:val="center"/>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要求</w:t>
                  </w:r>
                </w:p>
              </w:tc>
              <w:tc>
                <w:tcPr>
                  <w:tcW w:w="1487" w:type="pct"/>
                  <w:tcBorders>
                    <w:tl2br w:val="nil"/>
                    <w:tr2bl w:val="nil"/>
                  </w:tcBorders>
                  <w:noWrap w:val="0"/>
                  <w:vAlign w:val="center"/>
                </w:tcPr>
                <w:p w14:paraId="1F48A3CD">
                  <w:pPr>
                    <w:jc w:val="center"/>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本项目相符性分析</w:t>
                  </w:r>
                </w:p>
              </w:tc>
            </w:tr>
            <w:tr w14:paraId="5BCAE8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18" w:type="pct"/>
                  <w:vMerge w:val="restart"/>
                  <w:tcBorders>
                    <w:tl2br w:val="nil"/>
                    <w:tr2bl w:val="nil"/>
                  </w:tcBorders>
                  <w:noWrap w:val="0"/>
                  <w:vAlign w:val="center"/>
                </w:tcPr>
                <w:p w14:paraId="60166684">
                  <w:pPr>
                    <w:jc w:val="center"/>
                    <w:rPr>
                      <w:rFonts w:ascii="Times New Roman" w:hAnsi="Times New Roman" w:eastAsia="宋体"/>
                      <w:caps w:val="0"/>
                      <w:color w:val="000000" w:themeColor="text1"/>
                      <w:spacing w:val="-4"/>
                      <w:szCs w:val="21"/>
                      <w:highlight w:val="none"/>
                      <w14:textFill>
                        <w14:solidFill>
                          <w14:schemeClr w14:val="tx1"/>
                        </w14:solidFill>
                      </w14:textFill>
                    </w:rPr>
                  </w:pPr>
                  <w:r>
                    <w:rPr>
                      <w:rFonts w:ascii="Times New Roman" w:hAnsi="Times New Roman" w:eastAsia="宋体"/>
                      <w:caps w:val="0"/>
                      <w:color w:val="000000" w:themeColor="text1"/>
                      <w:spacing w:val="-4"/>
                      <w:szCs w:val="21"/>
                      <w:highlight w:val="none"/>
                      <w14:textFill>
                        <w14:solidFill>
                          <w14:schemeClr w14:val="tx1"/>
                        </w14:solidFill>
                      </w14:textFill>
                    </w:rPr>
                    <w:t>生态环境准入清单</w:t>
                  </w:r>
                </w:p>
              </w:tc>
              <w:tc>
                <w:tcPr>
                  <w:tcW w:w="792" w:type="pct"/>
                  <w:tcBorders>
                    <w:tl2br w:val="nil"/>
                    <w:tr2bl w:val="nil"/>
                  </w:tcBorders>
                  <w:noWrap w:val="0"/>
                  <w:vAlign w:val="center"/>
                </w:tcPr>
                <w:p w14:paraId="76C08F7C">
                  <w:pPr>
                    <w:jc w:val="center"/>
                    <w:rPr>
                      <w:rFonts w:hint="default" w:ascii="Times New Roman" w:hAnsi="Times New Roman" w:eastAsia="宋体"/>
                      <w:caps w:val="0"/>
                      <w:color w:val="000000" w:themeColor="text1"/>
                      <w:spacing w:val="-4"/>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szCs w:val="21"/>
                      <w:highlight w:val="none"/>
                      <w:lang w:val="en-US" w:eastAsia="zh-CN"/>
                      <w14:textFill>
                        <w14:solidFill>
                          <w14:schemeClr w14:val="tx1"/>
                        </w14:solidFill>
                      </w14:textFill>
                    </w:rPr>
                    <w:t>产业定位</w:t>
                  </w:r>
                </w:p>
              </w:tc>
              <w:tc>
                <w:tcPr>
                  <w:tcW w:w="2502" w:type="pct"/>
                  <w:tcBorders>
                    <w:tl2br w:val="nil"/>
                    <w:tr2bl w:val="nil"/>
                  </w:tcBorders>
                  <w:noWrap w:val="0"/>
                  <w:vAlign w:val="center"/>
                </w:tcPr>
                <w:p w14:paraId="38CCF480">
                  <w:pPr>
                    <w:rPr>
                      <w:rFonts w:hint="eastAsia" w:ascii="Times New Roman" w:hAnsi="Times New Roman" w:eastAsia="宋体"/>
                      <w:caps w:val="0"/>
                      <w:color w:val="000000" w:themeColor="text1"/>
                      <w:spacing w:val="-4"/>
                      <w:szCs w:val="21"/>
                      <w:highlight w:val="none"/>
                      <w:lang w:eastAsia="zh-CN"/>
                      <w14:textFill>
                        <w14:solidFill>
                          <w14:schemeClr w14:val="tx1"/>
                        </w14:solidFill>
                      </w14:textFill>
                    </w:rPr>
                  </w:pPr>
                  <w:r>
                    <w:rPr>
                      <w:rFonts w:hint="eastAsia" w:ascii="Times New Roman" w:hAnsi="Times New Roman" w:eastAsia="宋体"/>
                      <w:caps w:val="0"/>
                      <w:color w:val="000000" w:themeColor="text1"/>
                      <w:spacing w:val="-4"/>
                      <w:szCs w:val="21"/>
                      <w:highlight w:val="none"/>
                      <w14:textFill>
                        <w14:solidFill>
                          <w14:schemeClr w14:val="tx1"/>
                        </w14:solidFill>
                      </w14:textFill>
                    </w:rPr>
                    <w:t>功能定位：作为芜湖承接产业转移集中区的重要组成部分，以发展高新技术产业为主；集科、工、贸于一体，多功能、综合性、现代化的创新型新城区</w:t>
                  </w:r>
                  <w:r>
                    <w:rPr>
                      <w:rFonts w:hint="eastAsia" w:ascii="Times New Roman" w:hAnsi="Times New Roman" w:eastAsia="宋体"/>
                      <w:caps w:val="0"/>
                      <w:color w:val="000000" w:themeColor="text1"/>
                      <w:spacing w:val="-4"/>
                      <w:szCs w:val="21"/>
                      <w:highlight w:val="none"/>
                      <w:lang w:eastAsia="zh-CN"/>
                      <w14:textFill>
                        <w14:solidFill>
                          <w14:schemeClr w14:val="tx1"/>
                        </w14:solidFill>
                      </w14:textFill>
                    </w:rPr>
                    <w:t>。</w:t>
                  </w:r>
                </w:p>
                <w:p w14:paraId="67946C8F">
                  <w:pPr>
                    <w:rPr>
                      <w:rFonts w:hint="eastAsia" w:ascii="Times New Roman" w:hAnsi="Times New Roman" w:eastAsia="宋体"/>
                      <w:caps w:val="0"/>
                      <w:color w:val="000000" w:themeColor="text1"/>
                      <w:spacing w:val="-4"/>
                      <w:szCs w:val="21"/>
                      <w:highlight w:val="none"/>
                      <w:lang w:eastAsia="zh-CN"/>
                      <w14:textFill>
                        <w14:solidFill>
                          <w14:schemeClr w14:val="tx1"/>
                        </w14:solidFill>
                      </w14:textFill>
                    </w:rPr>
                  </w:pPr>
                  <w:r>
                    <w:rPr>
                      <w:rFonts w:hint="eastAsia" w:ascii="Times New Roman" w:hAnsi="Times New Roman" w:eastAsia="宋体"/>
                      <w:caps w:val="0"/>
                      <w:color w:val="000000" w:themeColor="text1"/>
                      <w:spacing w:val="-4"/>
                      <w:szCs w:val="21"/>
                      <w:highlight w:val="none"/>
                      <w14:textFill>
                        <w14:solidFill>
                          <w14:schemeClr w14:val="tx1"/>
                        </w14:solidFill>
                      </w14:textFill>
                    </w:rPr>
                    <w:t>主导产业：汽车零部件产业、节能环保产业</w:t>
                  </w:r>
                  <w:r>
                    <w:rPr>
                      <w:rFonts w:hint="eastAsia" w:ascii="Times New Roman" w:hAnsi="Times New Roman" w:eastAsia="宋体"/>
                      <w:caps w:val="0"/>
                      <w:color w:val="000000" w:themeColor="text1"/>
                      <w:spacing w:val="-4"/>
                      <w:szCs w:val="21"/>
                      <w:highlight w:val="none"/>
                      <w:lang w:eastAsia="zh-CN"/>
                      <w14:textFill>
                        <w14:solidFill>
                          <w14:schemeClr w14:val="tx1"/>
                        </w14:solidFill>
                      </w14:textFill>
                    </w:rPr>
                    <w:t>。</w:t>
                  </w:r>
                </w:p>
              </w:tc>
              <w:tc>
                <w:tcPr>
                  <w:tcW w:w="1487" w:type="pct"/>
                  <w:tcBorders>
                    <w:tl2br w:val="nil"/>
                    <w:tr2bl w:val="nil"/>
                  </w:tcBorders>
                  <w:noWrap w:val="0"/>
                  <w:vAlign w:val="center"/>
                </w:tcPr>
                <w:p w14:paraId="47397E83">
                  <w:pPr>
                    <w:rPr>
                      <w:rFonts w:ascii="Times New Roman" w:hAnsi="Times New Roman" w:eastAsia="宋体"/>
                      <w:caps w:val="0"/>
                      <w:color w:val="000000" w:themeColor="text1"/>
                      <w:spacing w:val="-4"/>
                      <w:szCs w:val="21"/>
                      <w:highlight w:val="none"/>
                      <w14:textFill>
                        <w14:solidFill>
                          <w14:schemeClr w14:val="tx1"/>
                        </w14:solidFill>
                      </w14:textFill>
                    </w:rPr>
                  </w:pPr>
                  <w:r>
                    <w:rPr>
                      <w:rFonts w:hint="eastAsia" w:ascii="Times New Roman" w:hAnsi="Times New Roman" w:eastAsia="宋体"/>
                      <w:caps w:val="0"/>
                      <w:color w:val="000000" w:themeColor="text1"/>
                      <w:spacing w:val="-4"/>
                      <w:szCs w:val="21"/>
                      <w:highlight w:val="none"/>
                      <w14:textFill>
                        <w14:solidFill>
                          <w14:schemeClr w14:val="tx1"/>
                        </w14:solidFill>
                      </w14:textFill>
                    </w:rPr>
                    <w:t>本项目</w:t>
                  </w:r>
                  <w:r>
                    <w:rPr>
                      <w:rFonts w:hint="eastAsia"/>
                      <w:caps w:val="0"/>
                      <w:color w:val="000000" w:themeColor="text1"/>
                      <w:spacing w:val="-4"/>
                      <w:szCs w:val="21"/>
                      <w:highlight w:val="none"/>
                      <w:lang w:val="en-US" w:eastAsia="zh-CN"/>
                      <w14:textFill>
                        <w14:solidFill>
                          <w14:schemeClr w14:val="tx1"/>
                        </w14:solidFill>
                      </w14:textFill>
                    </w:rPr>
                    <w:t>属于汽车零部件及配件制造、</w:t>
                  </w:r>
                  <w:r>
                    <w:rPr>
                      <w:rFonts w:hint="eastAsia"/>
                      <w:caps w:val="0"/>
                      <w:color w:val="000000" w:themeColor="text1"/>
                      <w:szCs w:val="21"/>
                      <w:highlight w:val="none"/>
                      <w:lang w:val="en-US" w:eastAsia="zh-CN"/>
                      <w14:textFill>
                        <w14:solidFill>
                          <w14:schemeClr w14:val="tx1"/>
                        </w14:solidFill>
                      </w14:textFill>
                    </w:rPr>
                    <w:t>塑料零件及其他塑料制品制造</w:t>
                  </w:r>
                  <w:r>
                    <w:rPr>
                      <w:rFonts w:hint="eastAsia" w:ascii="Times New Roman" w:hAnsi="Times New Roman" w:eastAsia="宋体"/>
                      <w:caps w:val="0"/>
                      <w:color w:val="000000" w:themeColor="text1"/>
                      <w:spacing w:val="-4"/>
                      <w:szCs w:val="21"/>
                      <w:highlight w:val="none"/>
                      <w14:textFill>
                        <w14:solidFill>
                          <w14:schemeClr w14:val="tx1"/>
                        </w14:solidFill>
                      </w14:textFill>
                    </w:rPr>
                    <w:t>，</w:t>
                  </w:r>
                  <w:r>
                    <w:rPr>
                      <w:rFonts w:hint="eastAsia" w:ascii="Times New Roman" w:hAnsi="Times New Roman" w:eastAsia="宋体"/>
                      <w:caps w:val="0"/>
                      <w:color w:val="000000" w:themeColor="text1"/>
                      <w:szCs w:val="21"/>
                      <w:highlight w:val="none"/>
                      <w14:textFill>
                        <w14:solidFill>
                          <w14:schemeClr w14:val="tx1"/>
                        </w14:solidFill>
                      </w14:textFill>
                    </w:rPr>
                    <w:t>符合开发区产业定位。</w:t>
                  </w:r>
                </w:p>
              </w:tc>
            </w:tr>
            <w:tr w14:paraId="5A718F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18" w:type="pct"/>
                  <w:vMerge w:val="continue"/>
                  <w:tcBorders>
                    <w:tl2br w:val="nil"/>
                    <w:tr2bl w:val="nil"/>
                  </w:tcBorders>
                  <w:noWrap w:val="0"/>
                  <w:vAlign w:val="center"/>
                </w:tcPr>
                <w:p w14:paraId="6D6FD619">
                  <w:pPr>
                    <w:jc w:val="center"/>
                    <w:rPr>
                      <w:rFonts w:ascii="Times New Roman" w:hAnsi="Times New Roman" w:eastAsia="宋体"/>
                      <w:caps w:val="0"/>
                      <w:color w:val="000000" w:themeColor="text1"/>
                      <w:spacing w:val="-4"/>
                      <w:szCs w:val="21"/>
                      <w:highlight w:val="none"/>
                      <w14:textFill>
                        <w14:solidFill>
                          <w14:schemeClr w14:val="tx1"/>
                        </w14:solidFill>
                      </w14:textFill>
                    </w:rPr>
                  </w:pPr>
                </w:p>
              </w:tc>
              <w:tc>
                <w:tcPr>
                  <w:tcW w:w="792" w:type="pct"/>
                  <w:tcBorders>
                    <w:tl2br w:val="nil"/>
                    <w:tr2bl w:val="nil"/>
                  </w:tcBorders>
                  <w:noWrap w:val="0"/>
                  <w:vAlign w:val="center"/>
                </w:tcPr>
                <w:p w14:paraId="6FF8CE05">
                  <w:pPr>
                    <w:jc w:val="center"/>
                    <w:rPr>
                      <w:rFonts w:ascii="Times New Roman" w:hAnsi="Times New Roman" w:eastAsia="宋体"/>
                      <w:caps w:val="0"/>
                      <w:color w:val="000000" w:themeColor="text1"/>
                      <w:spacing w:val="-4"/>
                      <w:szCs w:val="21"/>
                      <w:highlight w:val="none"/>
                      <w14:textFill>
                        <w14:solidFill>
                          <w14:schemeClr w14:val="tx1"/>
                        </w14:solidFill>
                      </w14:textFill>
                    </w:rPr>
                  </w:pPr>
                  <w:r>
                    <w:rPr>
                      <w:rFonts w:ascii="Times New Roman" w:hAnsi="Times New Roman" w:eastAsia="宋体"/>
                      <w:caps w:val="0"/>
                      <w:color w:val="000000" w:themeColor="text1"/>
                      <w:spacing w:val="-4"/>
                      <w:szCs w:val="21"/>
                      <w:highlight w:val="none"/>
                      <w14:textFill>
                        <w14:solidFill>
                          <w14:schemeClr w14:val="tx1"/>
                        </w14:solidFill>
                      </w14:textFill>
                    </w:rPr>
                    <w:t>环境风险防控</w:t>
                  </w:r>
                </w:p>
              </w:tc>
              <w:tc>
                <w:tcPr>
                  <w:tcW w:w="2502" w:type="pct"/>
                  <w:tcBorders>
                    <w:tl2br w:val="nil"/>
                    <w:tr2bl w:val="nil"/>
                  </w:tcBorders>
                  <w:noWrap w:val="0"/>
                  <w:vAlign w:val="center"/>
                </w:tcPr>
                <w:p w14:paraId="3B7F3C65">
                  <w:pPr>
                    <w:rPr>
                      <w:rFonts w:ascii="Times New Roman" w:hAnsi="Times New Roman" w:eastAsia="宋体"/>
                      <w:caps w:val="0"/>
                      <w:color w:val="000000" w:themeColor="text1"/>
                      <w:spacing w:val="-4"/>
                      <w:szCs w:val="21"/>
                      <w:highlight w:val="none"/>
                      <w14:textFill>
                        <w14:solidFill>
                          <w14:schemeClr w14:val="tx1"/>
                        </w14:solidFill>
                      </w14:textFill>
                    </w:rPr>
                  </w:pPr>
                  <w:r>
                    <w:rPr>
                      <w:rFonts w:hint="eastAsia" w:ascii="Times New Roman" w:hAnsi="Times New Roman" w:eastAsia="宋体"/>
                      <w:caps w:val="0"/>
                      <w:color w:val="000000" w:themeColor="text1"/>
                      <w:spacing w:val="-4"/>
                      <w:szCs w:val="21"/>
                      <w:highlight w:val="none"/>
                      <w14:textFill>
                        <w14:solidFill>
                          <w14:schemeClr w14:val="tx1"/>
                        </w14:solidFill>
                      </w14:textFill>
                    </w:rPr>
                    <w:t>控制区域企业生产区、污水处理站等易发生渗漏场所的地面均须进行防渗处理并按要求设置集排水设施、事故应急池；对固体废物临时堆放场所和运输途径严格管理，并做好控制区域总体的绿化工作；控制区域开发建设规划用地布局上应将工业企业集中，并与居住区分开布置，在居住区和工业企业间设置绿化隔离带。</w:t>
                  </w:r>
                </w:p>
              </w:tc>
              <w:tc>
                <w:tcPr>
                  <w:tcW w:w="1487" w:type="pct"/>
                  <w:tcBorders>
                    <w:tl2br w:val="nil"/>
                    <w:tr2bl w:val="nil"/>
                  </w:tcBorders>
                  <w:noWrap w:val="0"/>
                  <w:vAlign w:val="center"/>
                </w:tcPr>
                <w:p w14:paraId="0AE8C9CC">
                  <w:pPr>
                    <w:rPr>
                      <w:rFonts w:ascii="Times New Roman" w:hAnsi="Times New Roman" w:eastAsia="宋体"/>
                      <w:caps w:val="0"/>
                      <w:color w:val="000000" w:themeColor="text1"/>
                      <w:spacing w:val="-4"/>
                      <w:szCs w:val="21"/>
                      <w:highlight w:val="none"/>
                      <w14:textFill>
                        <w14:solidFill>
                          <w14:schemeClr w14:val="tx1"/>
                        </w14:solidFill>
                      </w14:textFill>
                    </w:rPr>
                  </w:pPr>
                  <w:r>
                    <w:rPr>
                      <w:rFonts w:ascii="Times New Roman" w:hAnsi="Times New Roman" w:eastAsia="宋体"/>
                      <w:caps w:val="0"/>
                      <w:color w:val="000000" w:themeColor="text1"/>
                      <w:spacing w:val="-4"/>
                      <w:szCs w:val="21"/>
                      <w:highlight w:val="none"/>
                      <w14:textFill>
                        <w14:solidFill>
                          <w14:schemeClr w14:val="tx1"/>
                        </w14:solidFill>
                      </w14:textFill>
                    </w:rPr>
                    <w:t>本项目无重大危险源，厂区</w:t>
                  </w:r>
                  <w:r>
                    <w:rPr>
                      <w:rFonts w:hint="eastAsia" w:ascii="Times New Roman" w:hAnsi="Times New Roman" w:eastAsia="宋体"/>
                      <w:caps w:val="0"/>
                      <w:color w:val="000000" w:themeColor="text1"/>
                      <w:spacing w:val="-4"/>
                      <w:szCs w:val="21"/>
                      <w:highlight w:val="none"/>
                      <w14:textFill>
                        <w14:solidFill>
                          <w14:schemeClr w14:val="tx1"/>
                        </w14:solidFill>
                      </w14:textFill>
                    </w:rPr>
                    <w:t>后期建设中严格</w:t>
                  </w:r>
                  <w:r>
                    <w:rPr>
                      <w:rFonts w:ascii="Times New Roman" w:hAnsi="Times New Roman" w:eastAsia="宋体"/>
                      <w:caps w:val="0"/>
                      <w:color w:val="000000" w:themeColor="text1"/>
                      <w:spacing w:val="-4"/>
                      <w:szCs w:val="21"/>
                      <w:highlight w:val="none"/>
                      <w14:textFill>
                        <w14:solidFill>
                          <w14:schemeClr w14:val="tx1"/>
                        </w14:solidFill>
                      </w14:textFill>
                    </w:rPr>
                    <w:t>按照相关要求进行分区防渗，规划了布局，加强了自身的安全设计、安全管理等防范措施。</w:t>
                  </w:r>
                </w:p>
              </w:tc>
            </w:tr>
            <w:tr w14:paraId="37D768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18" w:type="pct"/>
                  <w:vMerge w:val="continue"/>
                  <w:tcBorders>
                    <w:tl2br w:val="nil"/>
                    <w:tr2bl w:val="nil"/>
                  </w:tcBorders>
                  <w:noWrap w:val="0"/>
                  <w:vAlign w:val="center"/>
                </w:tcPr>
                <w:p w14:paraId="37202B3A">
                  <w:pPr>
                    <w:jc w:val="center"/>
                    <w:rPr>
                      <w:rFonts w:ascii="Times New Roman" w:hAnsi="Times New Roman" w:eastAsia="宋体"/>
                      <w:caps w:val="0"/>
                      <w:color w:val="000000" w:themeColor="text1"/>
                      <w:spacing w:val="-4"/>
                      <w:szCs w:val="21"/>
                      <w:highlight w:val="none"/>
                      <w14:textFill>
                        <w14:solidFill>
                          <w14:schemeClr w14:val="tx1"/>
                        </w14:solidFill>
                      </w14:textFill>
                    </w:rPr>
                  </w:pPr>
                </w:p>
              </w:tc>
              <w:tc>
                <w:tcPr>
                  <w:tcW w:w="792" w:type="pct"/>
                  <w:tcBorders>
                    <w:tl2br w:val="nil"/>
                    <w:tr2bl w:val="nil"/>
                  </w:tcBorders>
                  <w:noWrap w:val="0"/>
                  <w:vAlign w:val="center"/>
                </w:tcPr>
                <w:p w14:paraId="74C7AA49">
                  <w:pPr>
                    <w:jc w:val="center"/>
                    <w:rPr>
                      <w:rFonts w:ascii="Times New Roman" w:hAnsi="Times New Roman" w:eastAsia="宋体"/>
                      <w:caps w:val="0"/>
                      <w:color w:val="000000" w:themeColor="text1"/>
                      <w:spacing w:val="-4"/>
                      <w:szCs w:val="21"/>
                      <w:highlight w:val="none"/>
                      <w14:textFill>
                        <w14:solidFill>
                          <w14:schemeClr w14:val="tx1"/>
                        </w14:solidFill>
                      </w14:textFill>
                    </w:rPr>
                  </w:pPr>
                  <w:r>
                    <w:rPr>
                      <w:rFonts w:ascii="Times New Roman" w:hAnsi="Times New Roman" w:eastAsia="宋体"/>
                      <w:caps w:val="0"/>
                      <w:color w:val="000000" w:themeColor="text1"/>
                      <w:spacing w:val="-4"/>
                      <w:szCs w:val="21"/>
                      <w:highlight w:val="none"/>
                      <w14:textFill>
                        <w14:solidFill>
                          <w14:schemeClr w14:val="tx1"/>
                        </w14:solidFill>
                      </w14:textFill>
                    </w:rPr>
                    <w:t>资源开发利用效率要求</w:t>
                  </w:r>
                </w:p>
              </w:tc>
              <w:tc>
                <w:tcPr>
                  <w:tcW w:w="2502" w:type="pct"/>
                  <w:tcBorders>
                    <w:tl2br w:val="nil"/>
                    <w:tr2bl w:val="nil"/>
                  </w:tcBorders>
                  <w:noWrap w:val="0"/>
                  <w:vAlign w:val="center"/>
                </w:tcPr>
                <w:p w14:paraId="7651B839">
                  <w:pPr>
                    <w:rPr>
                      <w:rFonts w:ascii="Times New Roman" w:hAnsi="Times New Roman" w:eastAsia="宋体"/>
                      <w:caps w:val="0"/>
                      <w:color w:val="000000" w:themeColor="text1"/>
                      <w:spacing w:val="-4"/>
                      <w:szCs w:val="21"/>
                      <w:highlight w:val="none"/>
                      <w14:textFill>
                        <w14:solidFill>
                          <w14:schemeClr w14:val="tx1"/>
                        </w14:solidFill>
                      </w14:textFill>
                    </w:rPr>
                  </w:pPr>
                  <w:r>
                    <w:rPr>
                      <w:rFonts w:hint="eastAsia" w:ascii="Times New Roman" w:hAnsi="Times New Roman" w:eastAsia="宋体"/>
                      <w:caps w:val="0"/>
                      <w:color w:val="000000" w:themeColor="text1"/>
                      <w:spacing w:val="-4"/>
                      <w:szCs w:val="21"/>
                      <w:highlight w:val="none"/>
                      <w14:textFill>
                        <w14:solidFill>
                          <w14:schemeClr w14:val="tx1"/>
                        </w14:solidFill>
                      </w14:textFill>
                    </w:rPr>
                    <w:t>单位工业增加值新鲜水耗≤8m³/万元</w:t>
                  </w:r>
                </w:p>
              </w:tc>
              <w:tc>
                <w:tcPr>
                  <w:tcW w:w="1487" w:type="pct"/>
                  <w:tcBorders>
                    <w:tl2br w:val="nil"/>
                    <w:tr2bl w:val="nil"/>
                  </w:tcBorders>
                  <w:noWrap w:val="0"/>
                  <w:vAlign w:val="center"/>
                </w:tcPr>
                <w:p w14:paraId="3410CB96">
                  <w:pPr>
                    <w:rPr>
                      <w:rFonts w:hint="default" w:ascii="Times New Roman" w:hAnsi="Times New Roman" w:eastAsia="宋体"/>
                      <w:caps w:val="0"/>
                      <w:color w:val="000000" w:themeColor="text1"/>
                      <w:spacing w:val="-4"/>
                      <w:szCs w:val="21"/>
                      <w:highlight w:val="none"/>
                      <w:lang w:val="en-US" w:eastAsia="zh-CN"/>
                      <w14:textFill>
                        <w14:solidFill>
                          <w14:schemeClr w14:val="tx1"/>
                        </w14:solidFill>
                      </w14:textFill>
                    </w:rPr>
                  </w:pPr>
                  <w:r>
                    <w:rPr>
                      <w:rFonts w:hint="eastAsia" w:ascii="Times New Roman" w:hAnsi="Times New Roman" w:eastAsia="宋体"/>
                      <w:caps w:val="0"/>
                      <w:color w:val="auto"/>
                      <w:spacing w:val="-4"/>
                      <w:szCs w:val="21"/>
                      <w:highlight w:val="none"/>
                    </w:rPr>
                    <w:t>单位工业增加值新鲜水耗</w:t>
                  </w:r>
                  <w:r>
                    <w:rPr>
                      <w:rFonts w:hint="eastAsia" w:ascii="Times New Roman" w:hAnsi="Times New Roman" w:eastAsia="宋体"/>
                      <w:caps w:val="0"/>
                      <w:color w:val="auto"/>
                      <w:spacing w:val="-4"/>
                      <w:szCs w:val="21"/>
                      <w:highlight w:val="none"/>
                      <w:lang w:val="en-US" w:eastAsia="zh-CN"/>
                    </w:rPr>
                    <w:t>为</w:t>
                  </w:r>
                  <w:r>
                    <w:rPr>
                      <w:rFonts w:hint="eastAsia"/>
                      <w:caps w:val="0"/>
                      <w:color w:val="auto"/>
                      <w:spacing w:val="-4"/>
                      <w:szCs w:val="21"/>
                      <w:highlight w:val="none"/>
                      <w:lang w:val="en-US" w:eastAsia="zh-CN"/>
                    </w:rPr>
                    <w:t>0.7</w:t>
                  </w:r>
                  <w:r>
                    <w:rPr>
                      <w:rFonts w:hint="eastAsia" w:ascii="Times New Roman" w:hAnsi="Times New Roman" w:eastAsia="宋体"/>
                      <w:caps w:val="0"/>
                      <w:color w:val="auto"/>
                      <w:spacing w:val="-4"/>
                      <w:szCs w:val="21"/>
                      <w:highlight w:val="none"/>
                      <w:lang w:val="en-US" w:eastAsia="zh-CN"/>
                    </w:rPr>
                    <w:t>m</w:t>
                  </w:r>
                  <w:r>
                    <w:rPr>
                      <w:rFonts w:hint="eastAsia" w:ascii="Times New Roman" w:hAnsi="Times New Roman" w:eastAsia="宋体"/>
                      <w:caps w:val="0"/>
                      <w:color w:val="auto"/>
                      <w:spacing w:val="-4"/>
                      <w:szCs w:val="21"/>
                      <w:highlight w:val="none"/>
                      <w:vertAlign w:val="superscript"/>
                      <w:lang w:val="en-US" w:eastAsia="zh-CN"/>
                    </w:rPr>
                    <w:t>3</w:t>
                  </w:r>
                  <w:r>
                    <w:rPr>
                      <w:rFonts w:hint="eastAsia" w:ascii="Times New Roman" w:hAnsi="Times New Roman" w:eastAsia="宋体"/>
                      <w:caps w:val="0"/>
                      <w:color w:val="auto"/>
                      <w:spacing w:val="-4"/>
                      <w:szCs w:val="21"/>
                      <w:highlight w:val="none"/>
                      <w:lang w:val="en-US" w:eastAsia="zh-CN"/>
                    </w:rPr>
                    <w:t>/万元</w:t>
                  </w:r>
                  <w:r>
                    <w:rPr>
                      <w:rFonts w:hint="eastAsia" w:ascii="Times New Roman" w:hAnsi="Times New Roman" w:eastAsia="宋体"/>
                      <w:caps w:val="0"/>
                      <w:color w:val="auto"/>
                      <w:spacing w:val="-4"/>
                      <w:szCs w:val="21"/>
                      <w:highlight w:val="none"/>
                    </w:rPr>
                    <w:t>≤8</w:t>
                  </w:r>
                  <w:r>
                    <w:rPr>
                      <w:rFonts w:hint="eastAsia" w:ascii="Times New Roman" w:hAnsi="Times New Roman" w:eastAsia="宋体"/>
                      <w:caps w:val="0"/>
                      <w:color w:val="auto"/>
                      <w:spacing w:val="-4"/>
                      <w:szCs w:val="21"/>
                      <w:highlight w:val="none"/>
                      <w:lang w:val="en-US" w:eastAsia="zh-CN"/>
                    </w:rPr>
                    <w:t>m</w:t>
                  </w:r>
                  <w:r>
                    <w:rPr>
                      <w:rFonts w:hint="eastAsia" w:ascii="Times New Roman" w:hAnsi="Times New Roman" w:eastAsia="宋体"/>
                      <w:caps w:val="0"/>
                      <w:color w:val="auto"/>
                      <w:spacing w:val="-4"/>
                      <w:szCs w:val="21"/>
                      <w:highlight w:val="none"/>
                      <w:vertAlign w:val="superscript"/>
                      <w:lang w:val="en-US" w:eastAsia="zh-CN"/>
                    </w:rPr>
                    <w:t>3</w:t>
                  </w:r>
                  <w:r>
                    <w:rPr>
                      <w:rFonts w:hint="eastAsia" w:ascii="Times New Roman" w:hAnsi="Times New Roman" w:eastAsia="宋体"/>
                      <w:caps w:val="0"/>
                      <w:color w:val="auto"/>
                      <w:spacing w:val="-4"/>
                      <w:szCs w:val="21"/>
                      <w:highlight w:val="none"/>
                    </w:rPr>
                    <w:t>/万元</w:t>
                  </w:r>
                </w:p>
              </w:tc>
            </w:tr>
            <w:tr w14:paraId="058F4B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18" w:type="pct"/>
                  <w:vMerge w:val="continue"/>
                  <w:tcBorders>
                    <w:tl2br w:val="nil"/>
                    <w:tr2bl w:val="nil"/>
                  </w:tcBorders>
                  <w:noWrap w:val="0"/>
                  <w:vAlign w:val="center"/>
                </w:tcPr>
                <w:p w14:paraId="64BFD5D6">
                  <w:pPr>
                    <w:jc w:val="center"/>
                    <w:rPr>
                      <w:rFonts w:ascii="Times New Roman" w:hAnsi="Times New Roman" w:eastAsia="宋体"/>
                      <w:caps w:val="0"/>
                      <w:color w:val="000000" w:themeColor="text1"/>
                      <w:spacing w:val="-4"/>
                      <w:szCs w:val="21"/>
                      <w:highlight w:val="none"/>
                      <w14:textFill>
                        <w14:solidFill>
                          <w14:schemeClr w14:val="tx1"/>
                        </w14:solidFill>
                      </w14:textFill>
                    </w:rPr>
                  </w:pPr>
                </w:p>
              </w:tc>
              <w:tc>
                <w:tcPr>
                  <w:tcW w:w="792" w:type="pct"/>
                  <w:tcBorders>
                    <w:tl2br w:val="nil"/>
                    <w:tr2bl w:val="nil"/>
                  </w:tcBorders>
                  <w:noWrap w:val="0"/>
                  <w:vAlign w:val="center"/>
                </w:tcPr>
                <w:p w14:paraId="1EAE392C">
                  <w:pPr>
                    <w:jc w:val="center"/>
                    <w:rPr>
                      <w:rFonts w:ascii="Times New Roman" w:hAnsi="Times New Roman" w:eastAsia="宋体"/>
                      <w:caps w:val="0"/>
                      <w:color w:val="000000" w:themeColor="text1"/>
                      <w:spacing w:val="-4"/>
                      <w:szCs w:val="21"/>
                      <w:highlight w:val="none"/>
                      <w14:textFill>
                        <w14:solidFill>
                          <w14:schemeClr w14:val="tx1"/>
                        </w14:solidFill>
                      </w14:textFill>
                    </w:rPr>
                  </w:pPr>
                  <w:r>
                    <w:rPr>
                      <w:rFonts w:ascii="Times New Roman" w:hAnsi="Times New Roman" w:eastAsia="宋体"/>
                      <w:caps w:val="0"/>
                      <w:color w:val="000000" w:themeColor="text1"/>
                      <w:spacing w:val="-4"/>
                      <w:szCs w:val="21"/>
                      <w:highlight w:val="none"/>
                      <w14:textFill>
                        <w14:solidFill>
                          <w14:schemeClr w14:val="tx1"/>
                        </w14:solidFill>
                      </w14:textFill>
                    </w:rPr>
                    <w:t>产业</w:t>
                  </w:r>
                  <w:r>
                    <w:rPr>
                      <w:rFonts w:hint="eastAsia" w:ascii="Times New Roman" w:hAnsi="Times New Roman" w:eastAsia="宋体"/>
                      <w:caps w:val="0"/>
                      <w:color w:val="000000" w:themeColor="text1"/>
                      <w:spacing w:val="-4"/>
                      <w:szCs w:val="21"/>
                      <w:highlight w:val="none"/>
                      <w:lang w:val="en-US" w:eastAsia="zh-CN"/>
                      <w14:textFill>
                        <w14:solidFill>
                          <w14:schemeClr w14:val="tx1"/>
                        </w14:solidFill>
                      </w14:textFill>
                    </w:rPr>
                    <w:t>准入</w:t>
                  </w:r>
                  <w:r>
                    <w:rPr>
                      <w:rFonts w:ascii="Times New Roman" w:hAnsi="Times New Roman" w:eastAsia="宋体"/>
                      <w:caps w:val="0"/>
                      <w:color w:val="000000" w:themeColor="text1"/>
                      <w:spacing w:val="-4"/>
                      <w:szCs w:val="21"/>
                      <w:highlight w:val="none"/>
                      <w14:textFill>
                        <w14:solidFill>
                          <w14:schemeClr w14:val="tx1"/>
                        </w14:solidFill>
                      </w14:textFill>
                    </w:rPr>
                    <w:t>要求</w:t>
                  </w:r>
                </w:p>
              </w:tc>
              <w:tc>
                <w:tcPr>
                  <w:tcW w:w="2502" w:type="pct"/>
                  <w:tcBorders>
                    <w:tl2br w:val="nil"/>
                    <w:tr2bl w:val="nil"/>
                  </w:tcBorders>
                  <w:noWrap w:val="0"/>
                  <w:vAlign w:val="center"/>
                </w:tcPr>
                <w:p w14:paraId="4BF1DAAB">
                  <w:pPr>
                    <w:rPr>
                      <w:rFonts w:hint="eastAsia" w:ascii="Times New Roman" w:hAnsi="Times New Roman" w:eastAsia="宋体"/>
                      <w:b/>
                      <w:bCs/>
                      <w:caps w:val="0"/>
                      <w:color w:val="000000" w:themeColor="text1"/>
                      <w:spacing w:val="-4"/>
                      <w:szCs w:val="21"/>
                      <w:highlight w:val="none"/>
                      <w14:textFill>
                        <w14:solidFill>
                          <w14:schemeClr w14:val="tx1"/>
                        </w14:solidFill>
                      </w14:textFill>
                    </w:rPr>
                  </w:pPr>
                  <w:r>
                    <w:rPr>
                      <w:rFonts w:hint="eastAsia" w:ascii="Times New Roman" w:hAnsi="Times New Roman" w:eastAsia="宋体"/>
                      <w:b/>
                      <w:bCs/>
                      <w:caps w:val="0"/>
                      <w:color w:val="000000" w:themeColor="text1"/>
                      <w:spacing w:val="-4"/>
                      <w:szCs w:val="21"/>
                      <w:highlight w:val="none"/>
                      <w14:textFill>
                        <w14:solidFill>
                          <w14:schemeClr w14:val="tx1"/>
                        </w14:solidFill>
                      </w14:textFill>
                    </w:rPr>
                    <w:t>优先鼓励项目</w:t>
                  </w:r>
                </w:p>
                <w:p w14:paraId="206A7601">
                  <w:pPr>
                    <w:rPr>
                      <w:rFonts w:hint="eastAsia" w:ascii="Times New Roman" w:hAnsi="Times New Roman" w:eastAsia="宋体"/>
                      <w:caps w:val="0"/>
                      <w:color w:val="000000" w:themeColor="text1"/>
                      <w:spacing w:val="-4"/>
                      <w:szCs w:val="21"/>
                      <w:highlight w:val="none"/>
                      <w:lang w:eastAsia="zh-CN"/>
                      <w14:textFill>
                        <w14:solidFill>
                          <w14:schemeClr w14:val="tx1"/>
                        </w14:solidFill>
                      </w14:textFill>
                    </w:rPr>
                  </w:pPr>
                  <w:r>
                    <w:rPr>
                      <w:rFonts w:hint="eastAsia" w:ascii="Times New Roman" w:hAnsi="Times New Roman" w:eastAsia="宋体"/>
                      <w:caps w:val="0"/>
                      <w:color w:val="000000" w:themeColor="text1"/>
                      <w:spacing w:val="-4"/>
                      <w:szCs w:val="21"/>
                      <w:highlight w:val="none"/>
                      <w14:textFill>
                        <w14:solidFill>
                          <w14:schemeClr w14:val="tx1"/>
                        </w14:solidFill>
                      </w14:textFill>
                    </w:rPr>
                    <w:t>符合主导产业发展方向，与相关产业政策和规划的要求相符合</w:t>
                  </w:r>
                  <w:r>
                    <w:rPr>
                      <w:rFonts w:hint="eastAsia" w:ascii="Times New Roman" w:hAnsi="Times New Roman" w:eastAsia="宋体"/>
                      <w:caps w:val="0"/>
                      <w:color w:val="000000" w:themeColor="text1"/>
                      <w:spacing w:val="-4"/>
                      <w:szCs w:val="21"/>
                      <w:highlight w:val="none"/>
                      <w:lang w:eastAsia="zh-CN"/>
                      <w14:textFill>
                        <w14:solidFill>
                          <w14:schemeClr w14:val="tx1"/>
                        </w14:solidFill>
                      </w14:textFill>
                    </w:rPr>
                    <w:t>。</w:t>
                  </w:r>
                </w:p>
                <w:p w14:paraId="0382EEED">
                  <w:pPr>
                    <w:rPr>
                      <w:rFonts w:hint="eastAsia" w:ascii="Times New Roman" w:hAnsi="Times New Roman" w:eastAsia="宋体"/>
                      <w:b/>
                      <w:bCs/>
                      <w:caps w:val="0"/>
                      <w:color w:val="000000" w:themeColor="text1"/>
                      <w:spacing w:val="-4"/>
                      <w:szCs w:val="21"/>
                      <w:highlight w:val="none"/>
                      <w14:textFill>
                        <w14:solidFill>
                          <w14:schemeClr w14:val="tx1"/>
                        </w14:solidFill>
                      </w14:textFill>
                    </w:rPr>
                  </w:pPr>
                  <w:r>
                    <w:rPr>
                      <w:rFonts w:hint="eastAsia" w:ascii="Times New Roman" w:hAnsi="Times New Roman" w:eastAsia="宋体"/>
                      <w:b/>
                      <w:bCs/>
                      <w:caps w:val="0"/>
                      <w:color w:val="000000" w:themeColor="text1"/>
                      <w:spacing w:val="-4"/>
                      <w:szCs w:val="21"/>
                      <w:highlight w:val="none"/>
                      <w14:textFill>
                        <w14:solidFill>
                          <w14:schemeClr w14:val="tx1"/>
                        </w14:solidFill>
                      </w14:textFill>
                    </w:rPr>
                    <w:t>限制发展项目</w:t>
                  </w:r>
                </w:p>
                <w:p w14:paraId="6D6CDC21">
                  <w:pPr>
                    <w:rPr>
                      <w:rFonts w:hint="eastAsia" w:ascii="Times New Roman" w:hAnsi="Times New Roman" w:eastAsia="宋体"/>
                      <w:caps w:val="0"/>
                      <w:color w:val="000000" w:themeColor="text1"/>
                      <w:spacing w:val="-4"/>
                      <w:szCs w:val="21"/>
                      <w:highlight w:val="none"/>
                      <w14:textFill>
                        <w14:solidFill>
                          <w14:schemeClr w14:val="tx1"/>
                        </w14:solidFill>
                      </w14:textFill>
                    </w:rPr>
                  </w:pPr>
                  <w:r>
                    <w:rPr>
                      <w:rFonts w:hint="eastAsia" w:ascii="Times New Roman" w:hAnsi="Times New Roman" w:eastAsia="宋体"/>
                      <w:caps w:val="0"/>
                      <w:color w:val="000000" w:themeColor="text1"/>
                      <w:spacing w:val="-4"/>
                      <w:szCs w:val="21"/>
                      <w:highlight w:val="none"/>
                      <w14:textFill>
                        <w14:solidFill>
                          <w14:schemeClr w14:val="tx1"/>
                        </w14:solidFill>
                      </w14:textFill>
                    </w:rPr>
                    <w:t>限制生产和使用高风险化学品，依法淘汰高毒、难降解的化学品</w:t>
                  </w:r>
                </w:p>
                <w:p w14:paraId="2A19F8E8">
                  <w:pPr>
                    <w:rPr>
                      <w:rFonts w:hint="eastAsia" w:ascii="Times New Roman" w:hAnsi="Times New Roman" w:eastAsia="宋体"/>
                      <w:b/>
                      <w:bCs/>
                      <w:caps w:val="0"/>
                      <w:color w:val="000000" w:themeColor="text1"/>
                      <w:spacing w:val="-4"/>
                      <w:szCs w:val="21"/>
                      <w:highlight w:val="none"/>
                      <w14:textFill>
                        <w14:solidFill>
                          <w14:schemeClr w14:val="tx1"/>
                        </w14:solidFill>
                      </w14:textFill>
                    </w:rPr>
                  </w:pPr>
                  <w:r>
                    <w:rPr>
                      <w:rFonts w:hint="eastAsia" w:ascii="Times New Roman" w:hAnsi="Times New Roman" w:eastAsia="宋体"/>
                      <w:b/>
                      <w:bCs/>
                      <w:caps w:val="0"/>
                      <w:color w:val="000000" w:themeColor="text1"/>
                      <w:spacing w:val="-4"/>
                      <w:szCs w:val="21"/>
                      <w:highlight w:val="none"/>
                      <w14:textFill>
                        <w14:solidFill>
                          <w14:schemeClr w14:val="tx1"/>
                        </w14:solidFill>
                      </w14:textFill>
                    </w:rPr>
                    <w:t>禁止发展项目</w:t>
                  </w:r>
                </w:p>
                <w:p w14:paraId="66886853">
                  <w:pPr>
                    <w:rPr>
                      <w:rFonts w:ascii="Times New Roman" w:hAnsi="Times New Roman" w:eastAsia="宋体"/>
                      <w:caps w:val="0"/>
                      <w:color w:val="000000" w:themeColor="text1"/>
                      <w:spacing w:val="-4"/>
                      <w:szCs w:val="21"/>
                      <w:highlight w:val="none"/>
                      <w14:textFill>
                        <w14:solidFill>
                          <w14:schemeClr w14:val="tx1"/>
                        </w14:solidFill>
                      </w14:textFill>
                    </w:rPr>
                  </w:pPr>
                  <w:r>
                    <w:rPr>
                      <w:rFonts w:hint="eastAsia" w:ascii="Times New Roman" w:hAnsi="Times New Roman" w:eastAsia="宋体"/>
                      <w:caps w:val="0"/>
                      <w:color w:val="000000" w:themeColor="text1"/>
                      <w:spacing w:val="-4"/>
                      <w:szCs w:val="21"/>
                      <w:highlight w:val="none"/>
                      <w14:textFill>
                        <w14:solidFill>
                          <w14:schemeClr w14:val="tx1"/>
                        </w14:solidFill>
                      </w14:textFill>
                    </w:rPr>
                    <w:t>漳河右岸1km范围除必须实施的防洪护岸、河道治理、供水、航道整治、港口码头及集疏运通道、道路及跨江桥隧、公共管理、生态环境治理、国家重要基础设施等事关公共安全及公众利益的建设项目，以及长江岸线规划确定的城市建设区内非工业项目外，不得新批建设项目，不得新建、扩建化工园区和化工项目，禁止新建、扩建大气污染严重的建设项目，在城市建成区禁止新建VOCs高污染企业</w:t>
                  </w:r>
                </w:p>
              </w:tc>
              <w:tc>
                <w:tcPr>
                  <w:tcW w:w="1487" w:type="pct"/>
                  <w:tcBorders>
                    <w:tl2br w:val="nil"/>
                    <w:tr2bl w:val="nil"/>
                  </w:tcBorders>
                  <w:noWrap w:val="0"/>
                  <w:vAlign w:val="center"/>
                </w:tcPr>
                <w:p w14:paraId="0DC08461">
                  <w:pPr>
                    <w:rPr>
                      <w:rFonts w:ascii="Times New Roman" w:hAnsi="Times New Roman" w:eastAsia="宋体"/>
                      <w:caps w:val="0"/>
                      <w:color w:val="000000" w:themeColor="text1"/>
                      <w:spacing w:val="-4"/>
                      <w:szCs w:val="21"/>
                      <w:highlight w:val="none"/>
                      <w14:textFill>
                        <w14:solidFill>
                          <w14:schemeClr w14:val="tx1"/>
                        </w14:solidFill>
                      </w14:textFill>
                    </w:rPr>
                  </w:pPr>
                  <w:r>
                    <w:rPr>
                      <w:rFonts w:hint="eastAsia" w:ascii="Times New Roman" w:hAnsi="Times New Roman" w:eastAsia="宋体"/>
                      <w:caps w:val="0"/>
                      <w:color w:val="000000" w:themeColor="text1"/>
                      <w:spacing w:val="-4"/>
                      <w:szCs w:val="21"/>
                      <w:highlight w:val="none"/>
                      <w14:textFill>
                        <w14:solidFill>
                          <w14:schemeClr w14:val="tx1"/>
                        </w14:solidFill>
                      </w14:textFill>
                    </w:rPr>
                    <w:t>本项目属于汽车零部件及配件制造</w:t>
                  </w:r>
                  <w:r>
                    <w:rPr>
                      <w:rFonts w:hint="eastAsia"/>
                      <w:caps w:val="0"/>
                      <w:color w:val="000000" w:themeColor="text1"/>
                      <w:spacing w:val="-4"/>
                      <w:szCs w:val="21"/>
                      <w:highlight w:val="none"/>
                      <w:lang w:val="en-US" w:eastAsia="zh-CN"/>
                      <w14:textFill>
                        <w14:solidFill>
                          <w14:schemeClr w14:val="tx1"/>
                        </w14:solidFill>
                      </w14:textFill>
                    </w:rPr>
                    <w:t>、</w:t>
                  </w:r>
                  <w:r>
                    <w:rPr>
                      <w:rFonts w:hint="eastAsia"/>
                      <w:caps w:val="0"/>
                      <w:color w:val="000000" w:themeColor="text1"/>
                      <w:szCs w:val="21"/>
                      <w:highlight w:val="none"/>
                      <w:lang w:val="en-US" w:eastAsia="zh-CN"/>
                      <w14:textFill>
                        <w14:solidFill>
                          <w14:schemeClr w14:val="tx1"/>
                        </w14:solidFill>
                      </w14:textFill>
                    </w:rPr>
                    <w:t>塑料零件及其他塑料制品制造</w:t>
                  </w:r>
                  <w:r>
                    <w:rPr>
                      <w:rFonts w:hint="eastAsia" w:ascii="Times New Roman" w:hAnsi="Times New Roman" w:eastAsia="宋体"/>
                      <w:color w:val="000000" w:themeColor="text1"/>
                      <w:highlight w:val="none"/>
                      <w:lang w:eastAsia="zh-CN"/>
                      <w14:textFill>
                        <w14:solidFill>
                          <w14:schemeClr w14:val="tx1"/>
                        </w14:solidFill>
                      </w14:textFill>
                    </w:rPr>
                    <w:t>，</w:t>
                  </w:r>
                  <w:r>
                    <w:rPr>
                      <w:rFonts w:hint="eastAsia" w:ascii="Times New Roman" w:hAnsi="Times New Roman" w:eastAsia="宋体"/>
                      <w:caps w:val="0"/>
                      <w:color w:val="000000" w:themeColor="text1"/>
                      <w:spacing w:val="-4"/>
                      <w:szCs w:val="21"/>
                      <w:highlight w:val="none"/>
                      <w14:textFill>
                        <w14:solidFill>
                          <w14:schemeClr w14:val="tx1"/>
                        </w14:solidFill>
                      </w14:textFill>
                    </w:rPr>
                    <w:t>不</w:t>
                  </w:r>
                  <w:r>
                    <w:rPr>
                      <w:rFonts w:ascii="Times New Roman" w:hAnsi="Times New Roman" w:eastAsia="宋体"/>
                      <w:caps w:val="0"/>
                      <w:color w:val="000000" w:themeColor="text1"/>
                      <w:spacing w:val="-4"/>
                      <w:szCs w:val="21"/>
                      <w:highlight w:val="none"/>
                      <w14:textFill>
                        <w14:solidFill>
                          <w14:schemeClr w14:val="tx1"/>
                        </w14:solidFill>
                      </w14:textFill>
                    </w:rPr>
                    <w:t>属于《产业结构调整指导目录（20</w:t>
                  </w:r>
                  <w:r>
                    <w:rPr>
                      <w:rFonts w:hint="eastAsia" w:ascii="Times New Roman" w:hAnsi="Times New Roman" w:eastAsia="宋体"/>
                      <w:caps w:val="0"/>
                      <w:color w:val="000000" w:themeColor="text1"/>
                      <w:spacing w:val="-4"/>
                      <w:szCs w:val="21"/>
                      <w:highlight w:val="none"/>
                      <w:lang w:val="en-US" w:eastAsia="zh-CN"/>
                      <w14:textFill>
                        <w14:solidFill>
                          <w14:schemeClr w14:val="tx1"/>
                        </w14:solidFill>
                      </w14:textFill>
                    </w:rPr>
                    <w:t>24</w:t>
                  </w:r>
                  <w:r>
                    <w:rPr>
                      <w:rFonts w:ascii="Times New Roman" w:hAnsi="Times New Roman" w:eastAsia="宋体"/>
                      <w:caps w:val="0"/>
                      <w:color w:val="000000" w:themeColor="text1"/>
                      <w:spacing w:val="-4"/>
                      <w:szCs w:val="21"/>
                      <w:highlight w:val="none"/>
                      <w14:textFill>
                        <w14:solidFill>
                          <w14:schemeClr w14:val="tx1"/>
                        </w14:solidFill>
                      </w14:textFill>
                    </w:rPr>
                    <w:t>年本）》中的</w:t>
                  </w:r>
                  <w:r>
                    <w:rPr>
                      <w:rFonts w:hint="eastAsia" w:ascii="Times New Roman" w:hAnsi="Times New Roman" w:eastAsia="宋体"/>
                      <w:caps w:val="0"/>
                      <w:color w:val="000000" w:themeColor="text1"/>
                      <w:spacing w:val="-4"/>
                      <w:szCs w:val="21"/>
                      <w:highlight w:val="none"/>
                      <w14:textFill>
                        <w14:solidFill>
                          <w14:schemeClr w14:val="tx1"/>
                        </w14:solidFill>
                      </w14:textFill>
                    </w:rPr>
                    <w:t>鼓励类及限制类</w:t>
                  </w:r>
                  <w:r>
                    <w:rPr>
                      <w:rFonts w:ascii="Times New Roman" w:hAnsi="Times New Roman" w:eastAsia="宋体"/>
                      <w:caps w:val="0"/>
                      <w:color w:val="000000" w:themeColor="text1"/>
                      <w:spacing w:val="-4"/>
                      <w:szCs w:val="21"/>
                      <w:highlight w:val="none"/>
                      <w14:textFill>
                        <w14:solidFill>
                          <w14:schemeClr w14:val="tx1"/>
                        </w14:solidFill>
                      </w14:textFill>
                    </w:rPr>
                    <w:t>项目，</w:t>
                  </w:r>
                  <w:r>
                    <w:rPr>
                      <w:rFonts w:hint="eastAsia" w:ascii="Times New Roman" w:hAnsi="Times New Roman" w:eastAsia="宋体"/>
                      <w:caps w:val="0"/>
                      <w:color w:val="000000" w:themeColor="text1"/>
                      <w:spacing w:val="-4"/>
                      <w:szCs w:val="21"/>
                      <w:highlight w:val="none"/>
                      <w14:textFill>
                        <w14:solidFill>
                          <w14:schemeClr w14:val="tx1"/>
                        </w14:solidFill>
                      </w14:textFill>
                    </w:rPr>
                    <w:t>视为允许类项目；</w:t>
                  </w:r>
                  <w:r>
                    <w:rPr>
                      <w:rFonts w:ascii="Times New Roman" w:hAnsi="Times New Roman" w:eastAsia="宋体"/>
                      <w:caps w:val="0"/>
                      <w:color w:val="000000" w:themeColor="text1"/>
                      <w:spacing w:val="-4"/>
                      <w:szCs w:val="21"/>
                      <w:highlight w:val="none"/>
                      <w14:textFill>
                        <w14:solidFill>
                          <w14:schemeClr w14:val="tx1"/>
                        </w14:solidFill>
                      </w14:textFill>
                    </w:rPr>
                    <w:t>不属于《市场准入负面清单（2022年版</w:t>
                  </w:r>
                  <w:r>
                    <w:rPr>
                      <w:rFonts w:hint="eastAsia" w:ascii="Times New Roman" w:hAnsi="Times New Roman" w:eastAsia="宋体"/>
                      <w:caps w:val="0"/>
                      <w:color w:val="000000" w:themeColor="text1"/>
                      <w:spacing w:val="-4"/>
                      <w:szCs w:val="21"/>
                      <w:highlight w:val="none"/>
                      <w14:textFill>
                        <w14:solidFill>
                          <w14:schemeClr w14:val="tx1"/>
                        </w14:solidFill>
                      </w14:textFill>
                    </w:rPr>
                    <w:t>，试行</w:t>
                  </w:r>
                  <w:r>
                    <w:rPr>
                      <w:rFonts w:ascii="Times New Roman" w:hAnsi="Times New Roman" w:eastAsia="宋体"/>
                      <w:caps w:val="0"/>
                      <w:color w:val="000000" w:themeColor="text1"/>
                      <w:spacing w:val="-4"/>
                      <w:szCs w:val="21"/>
                      <w:highlight w:val="none"/>
                      <w14:textFill>
                        <w14:solidFill>
                          <w14:schemeClr w14:val="tx1"/>
                        </w14:solidFill>
                      </w14:textFill>
                    </w:rPr>
                    <w:t>）》和《长江经济带发展负面清单指南》（试行）中的项目。</w:t>
                  </w:r>
                </w:p>
              </w:tc>
            </w:tr>
          </w:tbl>
          <w:p w14:paraId="39BF3054">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综上，本项目符合《关于以改善环境质量为核心加强环境影响评价管理的通知》</w:t>
            </w: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环环评[2016]150号</w:t>
            </w: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及《</w:t>
            </w:r>
            <w:r>
              <w:rPr>
                <w:rFonts w:hint="eastAsia" w:ascii="Times New Roman" w:hAnsi="Times New Roman" w:eastAsia="宋体"/>
                <w:caps w:val="0"/>
                <w:color w:val="000000" w:themeColor="text1"/>
                <w:kern w:val="24"/>
                <w:sz w:val="24"/>
                <w:szCs w:val="20"/>
                <w:highlight w:val="none"/>
                <w:lang w:val="en-US" w:eastAsia="zh-CN"/>
                <w14:textFill>
                  <w14:solidFill>
                    <w14:schemeClr w14:val="tx1"/>
                  </w14:solidFill>
                </w14:textFill>
              </w:rPr>
              <w:t>芜湖市生态环境分区管控文本（成果）</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w:t>
            </w: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2023年8月</w:t>
            </w:r>
            <w:r>
              <w:rPr>
                <w:rFonts w:hint="eastAsia"/>
                <w:caps w:val="0"/>
                <w:color w:val="000000" w:themeColor="text1"/>
                <w:kern w:val="24"/>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24"/>
                <w:sz w:val="24"/>
                <w:highlight w:val="none"/>
                <w:lang w:val="en-US" w:eastAsia="zh-CN"/>
                <w14:textFill>
                  <w14:solidFill>
                    <w14:schemeClr w14:val="tx1"/>
                  </w14:solidFill>
                </w14:textFill>
              </w:rPr>
              <w:t>中“三线一单”相关要求。</w:t>
            </w:r>
          </w:p>
          <w:p w14:paraId="2F369F5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b/>
                <w:bCs w:val="0"/>
                <w:caps w:val="0"/>
                <w:color w:val="000000" w:themeColor="text1"/>
                <w:sz w:val="24"/>
                <w:highlight w:val="none"/>
                <w:lang w:val="en-US" w:eastAsia="zh-CN"/>
                <w14:textFill>
                  <w14:solidFill>
                    <w14:schemeClr w14:val="tx1"/>
                  </w14:solidFill>
                </w14:textFill>
              </w:rPr>
            </w:pPr>
            <w:r>
              <w:rPr>
                <w:rFonts w:hint="eastAsia"/>
                <w:b/>
                <w:bCs w:val="0"/>
                <w:caps w:val="0"/>
                <w:color w:val="000000" w:themeColor="text1"/>
                <w:sz w:val="24"/>
                <w:highlight w:val="none"/>
                <w:lang w:val="en-US" w:eastAsia="zh-CN"/>
                <w14:textFill>
                  <w14:solidFill>
                    <w14:schemeClr w14:val="tx1"/>
                  </w14:solidFill>
                </w14:textFill>
              </w:rPr>
              <w:t>3</w:t>
            </w:r>
            <w:r>
              <w:rPr>
                <w:rFonts w:hint="eastAsia" w:ascii="Times New Roman" w:hAnsi="Times New Roman" w:eastAsia="宋体"/>
                <w:b/>
                <w:bCs w:val="0"/>
                <w:caps w:val="0"/>
                <w:color w:val="000000" w:themeColor="text1"/>
                <w:sz w:val="24"/>
                <w:highlight w:val="none"/>
                <w:lang w:val="en-US" w:eastAsia="zh-CN"/>
                <w14:textFill>
                  <w14:solidFill>
                    <w14:schemeClr w14:val="tx1"/>
                  </w14:solidFill>
                </w14:textFill>
              </w:rPr>
              <w:t>、与“三区三线”符合性分析</w:t>
            </w:r>
          </w:p>
          <w:p w14:paraId="351868D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b/>
                <w:caps w:val="0"/>
                <w:color w:val="000000" w:themeColor="text1"/>
                <w:sz w:val="24"/>
                <w:highlight w:val="none"/>
                <w14:textFill>
                  <w14:solidFill>
                    <w14:schemeClr w14:val="tx1"/>
                  </w14:solidFill>
                </w14:textFill>
              </w:rPr>
            </w:pPr>
            <w:r>
              <w:rPr>
                <w:rFonts w:hint="eastAsia" w:ascii="Times New Roman" w:hAnsi="Times New Roman" w:eastAsia="宋体" w:cs="Times New Roman"/>
                <w:bCs/>
                <w:caps w:val="0"/>
                <w:color w:val="000000" w:themeColor="text1"/>
                <w:sz w:val="24"/>
                <w:highlight w:val="none"/>
                <w:lang w:val="en-US" w:eastAsia="zh-CN"/>
                <w14:textFill>
                  <w14:solidFill>
                    <w14:schemeClr w14:val="tx1"/>
                  </w14:solidFill>
                </w14:textFill>
              </w:rPr>
              <w:t>根据《中共中央国务院关于建立国土空间规划体系并监督实施的若干意见》（中发【2019】18号）、自然资源部关于在全国开展“三区三线”划定工作的函（自然资函【2022】47号），“三区”是指城镇空间、农业空间和生态空间，“三线”是指生态保护红线、永久基本农田保护红线和城镇开发边界。本项目位于芜湖市弋江区高新技术开发区漳河路28号，</w:t>
            </w:r>
            <w:r>
              <w:rPr>
                <w:rFonts w:ascii="Times New Roman" w:hAnsi="Times New Roman" w:eastAsia="宋体"/>
                <w:caps w:val="0"/>
                <w:color w:val="000000" w:themeColor="text1"/>
                <w:sz w:val="24"/>
                <w:highlight w:val="none"/>
                <w14:textFill>
                  <w14:solidFill>
                    <w14:schemeClr w14:val="tx1"/>
                  </w14:solidFill>
                </w14:textFill>
              </w:rPr>
              <w:t>根据</w:t>
            </w:r>
            <w:r>
              <w:rPr>
                <w:rFonts w:ascii="Times New Roman" w:hAnsi="Times New Roman" w:eastAsia="宋体" w:cs="宋体"/>
                <w:caps w:val="0"/>
                <w:color w:val="000000" w:themeColor="text1"/>
                <w:kern w:val="0"/>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芜湖高新技术产业开发区总体规划（2010-2030年）</w:t>
            </w:r>
            <w:r>
              <w:rPr>
                <w:rFonts w:ascii="Times New Roman" w:hAnsi="Times New Roman" w:eastAsia="宋体" w:cs="宋体"/>
                <w:caps w:val="0"/>
                <w:color w:val="000000" w:themeColor="text1"/>
                <w:kern w:val="0"/>
                <w:sz w:val="24"/>
                <w:highlight w:val="none"/>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，项目用地为工业用地</w:t>
            </w:r>
            <w:r>
              <w:rPr>
                <w:rFonts w:hint="eastAsia" w:ascii="Times New Roman" w:hAnsi="Times New Roman" w:eastAsia="宋体" w:cs="Times New Roman"/>
                <w:bCs/>
                <w:caps w:val="0"/>
                <w:color w:val="000000" w:themeColor="text1"/>
                <w:sz w:val="24"/>
                <w:highlight w:val="none"/>
                <w:lang w:val="en-US" w:eastAsia="zh-CN"/>
                <w14:textFill>
                  <w14:solidFill>
                    <w14:schemeClr w14:val="tx1"/>
                  </w14:solidFill>
                </w14:textFill>
              </w:rPr>
              <w:t>，根据现状调查，本项目用地不属于永久基本农田保护红线，不在生态保护红线范围内，项目选址位于芜湖高新技术产业开发区划定的城镇开发边界以内，因此，本项目符合“三区三线”的要求。</w:t>
            </w:r>
          </w:p>
          <w:p w14:paraId="099365F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b/>
                <w:caps w:val="0"/>
                <w:color w:val="000000" w:themeColor="text1"/>
                <w:sz w:val="24"/>
                <w:highlight w:val="none"/>
                <w14:textFill>
                  <w14:solidFill>
                    <w14:schemeClr w14:val="tx1"/>
                  </w14:solidFill>
                </w14:textFill>
              </w:rPr>
            </w:pPr>
            <w:r>
              <w:rPr>
                <w:rFonts w:hint="eastAsia"/>
                <w:b/>
                <w:caps w:val="0"/>
                <w:color w:val="000000" w:themeColor="text1"/>
                <w:sz w:val="24"/>
                <w:highlight w:val="none"/>
                <w:lang w:val="en-US" w:eastAsia="zh-CN"/>
                <w14:textFill>
                  <w14:solidFill>
                    <w14:schemeClr w14:val="tx1"/>
                  </w14:solidFill>
                </w14:textFill>
              </w:rPr>
              <w:t>4</w:t>
            </w:r>
            <w:r>
              <w:rPr>
                <w:rFonts w:hint="eastAsia" w:ascii="Times New Roman" w:hAnsi="Times New Roman" w:eastAsia="宋体"/>
                <w:b/>
                <w:caps w:val="0"/>
                <w:color w:val="000000" w:themeColor="text1"/>
                <w:sz w:val="24"/>
                <w:highlight w:val="none"/>
                <w14:textFill>
                  <w14:solidFill>
                    <w14:schemeClr w14:val="tx1"/>
                  </w14:solidFill>
                </w14:textFill>
              </w:rPr>
              <w:t>、</w:t>
            </w: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与</w:t>
            </w:r>
            <w:r>
              <w:rPr>
                <w:rFonts w:hint="eastAsia" w:ascii="Times New Roman" w:hAnsi="Times New Roman" w:eastAsia="宋体"/>
                <w:b/>
                <w:bCs/>
                <w:caps w:val="0"/>
                <w:color w:val="000000" w:themeColor="text1"/>
                <w:sz w:val="24"/>
                <w:highlight w:val="none"/>
                <w14:textFill>
                  <w14:solidFill>
                    <w14:schemeClr w14:val="tx1"/>
                  </w14:solidFill>
                </w14:textFill>
              </w:rPr>
              <w:t>《</w:t>
            </w:r>
            <w:r>
              <w:rPr>
                <w:rFonts w:ascii="Times New Roman" w:hAnsi="Times New Roman" w:eastAsia="宋体"/>
                <w:b/>
                <w:caps w:val="0"/>
                <w:color w:val="000000" w:themeColor="text1"/>
                <w:sz w:val="24"/>
                <w:highlight w:val="none"/>
                <w14:textFill>
                  <w14:solidFill>
                    <w14:schemeClr w14:val="tx1"/>
                  </w14:solidFill>
                </w14:textFill>
              </w:rPr>
              <w:t>关于全面打造水清岸绿产业优美丽长江（</w:t>
            </w:r>
            <w:r>
              <w:rPr>
                <w:rFonts w:hint="eastAsia" w:ascii="Times New Roman" w:hAnsi="Times New Roman" w:eastAsia="宋体"/>
                <w:b/>
                <w:caps w:val="0"/>
                <w:color w:val="000000" w:themeColor="text1"/>
                <w:sz w:val="24"/>
                <w:highlight w:val="none"/>
                <w14:textFill>
                  <w14:solidFill>
                    <w14:schemeClr w14:val="tx1"/>
                  </w14:solidFill>
                </w14:textFill>
              </w:rPr>
              <w:t>芜湖</w:t>
            </w:r>
            <w:r>
              <w:rPr>
                <w:rFonts w:ascii="Times New Roman" w:hAnsi="Times New Roman" w:eastAsia="宋体"/>
                <w:b/>
                <w:caps w:val="0"/>
                <w:color w:val="000000" w:themeColor="text1"/>
                <w:sz w:val="24"/>
                <w:highlight w:val="none"/>
                <w14:textFill>
                  <w14:solidFill>
                    <w14:schemeClr w14:val="tx1"/>
                  </w14:solidFill>
                </w14:textFill>
              </w:rPr>
              <w:t>）经济带的实施</w:t>
            </w:r>
            <w:r>
              <w:rPr>
                <w:rFonts w:hint="eastAsia" w:ascii="Times New Roman" w:hAnsi="Times New Roman" w:eastAsia="宋体"/>
                <w:b/>
                <w:caps w:val="0"/>
                <w:color w:val="000000" w:themeColor="text1"/>
                <w:sz w:val="24"/>
                <w:highlight w:val="none"/>
                <w14:textFill>
                  <w14:solidFill>
                    <w14:schemeClr w14:val="tx1"/>
                  </w14:solidFill>
                </w14:textFill>
              </w:rPr>
              <w:t>方案（升级版）</w:t>
            </w:r>
            <w:r>
              <w:rPr>
                <w:rFonts w:hint="eastAsia" w:ascii="Times New Roman" w:hAnsi="Times New Roman" w:eastAsia="宋体"/>
                <w:b/>
                <w:bCs/>
                <w:caps w:val="0"/>
                <w:color w:val="000000" w:themeColor="text1"/>
                <w:sz w:val="24"/>
                <w:highlight w:val="none"/>
                <w14:textFill>
                  <w14:solidFill>
                    <w14:schemeClr w14:val="tx1"/>
                  </w14:solidFill>
                </w14:textFill>
              </w:rPr>
              <w:t>》（芜市办[2021]28号）</w:t>
            </w:r>
            <w:r>
              <w:rPr>
                <w:rFonts w:ascii="Times New Roman" w:hAnsi="Times New Roman" w:eastAsia="宋体"/>
                <w:b/>
                <w:caps w:val="0"/>
                <w:color w:val="000000" w:themeColor="text1"/>
                <w:sz w:val="24"/>
                <w:highlight w:val="none"/>
                <w14:textFill>
                  <w14:solidFill>
                    <w14:schemeClr w14:val="tx1"/>
                  </w14:solidFill>
                </w14:textFill>
              </w:rPr>
              <w:t>相符性</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分析</w:t>
            </w:r>
          </w:p>
          <w:p w14:paraId="589FBD42">
            <w:pPr>
              <w:pStyle w:val="56"/>
              <w:spacing w:beforeLines="0" w:afterLines="0" w:line="240" w:lineRule="auto"/>
              <w:ind w:left="643" w:hanging="643" w:hangingChars="267"/>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表</w:t>
            </w:r>
            <w:r>
              <w:rPr>
                <w:rFonts w:ascii="Times New Roman" w:hAnsi="Times New Roman" w:eastAsia="宋体"/>
                <w:caps w:val="0"/>
                <w:color w:val="000000" w:themeColor="text1"/>
                <w:highlight w:val="none"/>
                <w14:textFill>
                  <w14:solidFill>
                    <w14:schemeClr w14:val="tx1"/>
                  </w14:solidFill>
                </w14:textFill>
              </w:rPr>
              <w:t>1-</w:t>
            </w:r>
            <w:r>
              <w:rPr>
                <w:rFonts w:hint="eastAsia"/>
                <w:caps w:val="0"/>
                <w:color w:val="000000" w:themeColor="text1"/>
                <w:highlight w:val="none"/>
                <w:lang w:val="en-US" w:eastAsia="zh-CN"/>
                <w14:textFill>
                  <w14:solidFill>
                    <w14:schemeClr w14:val="tx1"/>
                  </w14:solidFill>
                </w14:textFill>
              </w:rPr>
              <w:t>4</w:t>
            </w:r>
            <w:r>
              <w:rPr>
                <w:rFonts w:hint="eastAsia" w:ascii="Times New Roman" w:hAnsi="Times New Roman" w:eastAsia="宋体"/>
                <w:caps w:val="0"/>
                <w:color w:val="000000" w:themeColor="text1"/>
                <w:highlight w:val="none"/>
                <w:lang w:val="en-US" w:eastAsia="zh-CN"/>
                <w14:textFill>
                  <w14:solidFill>
                    <w14:schemeClr w14:val="tx1"/>
                  </w14:solidFill>
                </w14:textFill>
              </w:rPr>
              <w:t xml:space="preserve">  </w:t>
            </w:r>
            <w:r>
              <w:rPr>
                <w:rFonts w:ascii="Times New Roman" w:hAnsi="Times New Roman" w:eastAsia="宋体"/>
                <w:b/>
                <w:bCs/>
                <w:caps w:val="0"/>
                <w:color w:val="000000" w:themeColor="text1"/>
                <w:sz w:val="24"/>
                <w:highlight w:val="none"/>
                <w14:textFill>
                  <w14:solidFill>
                    <w14:schemeClr w14:val="tx1"/>
                  </w14:solidFill>
                </w14:textFill>
              </w:rPr>
              <w:t>项目与</w:t>
            </w:r>
            <w:r>
              <w:rPr>
                <w:rFonts w:hint="eastAsia" w:ascii="Times New Roman" w:hAnsi="Times New Roman" w:eastAsia="宋体"/>
                <w:b/>
                <w:bCs/>
                <w:caps w:val="0"/>
                <w:color w:val="000000" w:themeColor="text1"/>
                <w:sz w:val="24"/>
                <w:highlight w:val="none"/>
                <w14:textFill>
                  <w14:solidFill>
                    <w14:schemeClr w14:val="tx1"/>
                  </w14:solidFill>
                </w14:textFill>
              </w:rPr>
              <w:t>“芜市办[2021]28号”</w:t>
            </w:r>
            <w:r>
              <w:rPr>
                <w:rFonts w:ascii="Times New Roman" w:hAnsi="Times New Roman" w:eastAsia="宋体"/>
                <w:b/>
                <w:bCs/>
                <w:caps w:val="0"/>
                <w:color w:val="000000" w:themeColor="text1"/>
                <w:sz w:val="24"/>
                <w:highlight w:val="none"/>
                <w14:textFill>
                  <w14:solidFill>
                    <w14:schemeClr w14:val="tx1"/>
                  </w14:solidFill>
                </w14:textFill>
              </w:rPr>
              <w:t>文件相符性</w:t>
            </w:r>
          </w:p>
          <w:tbl>
            <w:tblPr>
              <w:tblStyle w:val="21"/>
              <w:tblW w:w="745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8"/>
              <w:gridCol w:w="4180"/>
              <w:gridCol w:w="2355"/>
            </w:tblGrid>
            <w:tr w14:paraId="7FBB86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15" w:type="pct"/>
                  <w:tcBorders>
                    <w:tl2br w:val="nil"/>
                    <w:tr2bl w:val="nil"/>
                  </w:tcBorders>
                  <w:shd w:val="clear" w:color="auto" w:fill="auto"/>
                  <w:vAlign w:val="center"/>
                </w:tcPr>
                <w:p w14:paraId="0BB2DFBB">
                  <w:pPr>
                    <w:pStyle w:val="58"/>
                    <w:spacing w:line="240" w:lineRule="auto"/>
                    <w:ind w:firstLine="0" w:firstLineChars="0"/>
                    <w:jc w:val="center"/>
                    <w:rPr>
                      <w:rFonts w:ascii="Times New Roman" w:hAnsi="Times New Roman" w:eastAsia="宋体" w:cs="Times New Roman"/>
                      <w:b/>
                      <w:caps w:val="0"/>
                      <w:color w:val="000000" w:themeColor="text1"/>
                      <w:sz w:val="21"/>
                      <w:szCs w:val="21"/>
                      <w:highlight w:val="none"/>
                      <w14:textFill>
                        <w14:solidFill>
                          <w14:schemeClr w14:val="tx1"/>
                        </w14:solidFill>
                      </w14:textFill>
                    </w:rPr>
                  </w:pPr>
                  <w:r>
                    <w:rPr>
                      <w:rFonts w:ascii="Times New Roman" w:hAnsi="Times New Roman" w:eastAsia="宋体" w:cs="Times New Roman"/>
                      <w:b/>
                      <w:caps w:val="0"/>
                      <w:color w:val="000000" w:themeColor="text1"/>
                      <w:sz w:val="21"/>
                      <w:szCs w:val="21"/>
                      <w:highlight w:val="none"/>
                      <w14:textFill>
                        <w14:solidFill>
                          <w14:schemeClr w14:val="tx1"/>
                        </w14:solidFill>
                      </w14:textFill>
                    </w:rPr>
                    <w:t>文件内容</w:t>
                  </w:r>
                </w:p>
              </w:tc>
              <w:tc>
                <w:tcPr>
                  <w:tcW w:w="2804" w:type="pct"/>
                  <w:tcBorders>
                    <w:tl2br w:val="nil"/>
                    <w:tr2bl w:val="nil"/>
                  </w:tcBorders>
                  <w:shd w:val="clear" w:color="auto" w:fill="auto"/>
                  <w:vAlign w:val="center"/>
                </w:tcPr>
                <w:p w14:paraId="13B0599D">
                  <w:pPr>
                    <w:pStyle w:val="58"/>
                    <w:spacing w:line="240" w:lineRule="auto"/>
                    <w:ind w:firstLine="0" w:firstLineChars="0"/>
                    <w:jc w:val="center"/>
                    <w:rPr>
                      <w:rFonts w:ascii="Times New Roman" w:hAnsi="Times New Roman" w:eastAsia="宋体" w:cs="Times New Roman"/>
                      <w:b/>
                      <w:caps w:val="0"/>
                      <w:color w:val="000000" w:themeColor="text1"/>
                      <w:sz w:val="21"/>
                      <w:szCs w:val="21"/>
                      <w:highlight w:val="none"/>
                      <w14:textFill>
                        <w14:solidFill>
                          <w14:schemeClr w14:val="tx1"/>
                        </w14:solidFill>
                      </w14:textFill>
                    </w:rPr>
                  </w:pPr>
                  <w:r>
                    <w:rPr>
                      <w:rFonts w:ascii="Times New Roman" w:hAnsi="Times New Roman" w:eastAsia="宋体" w:cs="Times New Roman"/>
                      <w:b/>
                      <w:caps w:val="0"/>
                      <w:color w:val="000000" w:themeColor="text1"/>
                      <w:sz w:val="21"/>
                      <w:szCs w:val="21"/>
                      <w:highlight w:val="none"/>
                      <w14:textFill>
                        <w14:solidFill>
                          <w14:schemeClr w14:val="tx1"/>
                        </w14:solidFill>
                      </w14:textFill>
                    </w:rPr>
                    <w:t>具体要求</w:t>
                  </w:r>
                </w:p>
              </w:tc>
              <w:tc>
                <w:tcPr>
                  <w:tcW w:w="1579" w:type="pct"/>
                  <w:tcBorders>
                    <w:tl2br w:val="nil"/>
                    <w:tr2bl w:val="nil"/>
                  </w:tcBorders>
                  <w:shd w:val="clear" w:color="auto" w:fill="auto"/>
                  <w:vAlign w:val="center"/>
                </w:tcPr>
                <w:p w14:paraId="4F6E51C3">
                  <w:pPr>
                    <w:pStyle w:val="58"/>
                    <w:spacing w:line="240" w:lineRule="auto"/>
                    <w:ind w:firstLine="0" w:firstLineChars="0"/>
                    <w:jc w:val="center"/>
                    <w:rPr>
                      <w:rFonts w:ascii="Times New Roman" w:hAnsi="Times New Roman" w:eastAsia="宋体" w:cs="Times New Roman"/>
                      <w:b/>
                      <w:caps w:val="0"/>
                      <w:color w:val="000000" w:themeColor="text1"/>
                      <w:sz w:val="21"/>
                      <w:szCs w:val="21"/>
                      <w:highlight w:val="none"/>
                      <w14:textFill>
                        <w14:solidFill>
                          <w14:schemeClr w14:val="tx1"/>
                        </w14:solidFill>
                      </w14:textFill>
                    </w:rPr>
                  </w:pPr>
                  <w:r>
                    <w:rPr>
                      <w:rFonts w:ascii="Times New Roman" w:hAnsi="Times New Roman" w:eastAsia="宋体" w:cs="Times New Roman"/>
                      <w:b/>
                      <w:caps w:val="0"/>
                      <w:color w:val="000000" w:themeColor="text1"/>
                      <w:sz w:val="21"/>
                      <w:szCs w:val="21"/>
                      <w:highlight w:val="none"/>
                      <w14:textFill>
                        <w14:solidFill>
                          <w14:schemeClr w14:val="tx1"/>
                        </w14:solidFill>
                      </w14:textFill>
                    </w:rPr>
                    <w:t>本项目符合性分析</w:t>
                  </w:r>
                </w:p>
              </w:tc>
            </w:tr>
            <w:tr w14:paraId="26103D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5" w:type="pct"/>
                  <w:tcBorders>
                    <w:tl2br w:val="nil"/>
                    <w:tr2bl w:val="nil"/>
                  </w:tcBorders>
                  <w:shd w:val="clear" w:color="auto" w:fill="auto"/>
                  <w:vAlign w:val="center"/>
                </w:tcPr>
                <w:p w14:paraId="3214C6DC">
                  <w:pPr>
                    <w:pStyle w:val="58"/>
                    <w:spacing w:line="240" w:lineRule="auto"/>
                    <w:ind w:firstLine="0" w:firstLineChars="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严禁</w:t>
                  </w:r>
                  <w:r>
                    <w:rPr>
                      <w:rFonts w:ascii="Times New Roman" w:hAnsi="Times New Roman" w:eastAsia="宋体"/>
                      <w:caps w:val="0"/>
                      <w:color w:val="000000" w:themeColor="text1"/>
                      <w:kern w:val="0"/>
                      <w:sz w:val="21"/>
                      <w:szCs w:val="21"/>
                      <w:highlight w:val="none"/>
                      <w14:textFill>
                        <w14:solidFill>
                          <w14:schemeClr w14:val="tx1"/>
                        </w14:solidFill>
                      </w14:textFill>
                    </w:rPr>
                    <w:t>1</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公里范围内新建化工项目</w:t>
                  </w:r>
                </w:p>
              </w:tc>
              <w:tc>
                <w:tcPr>
                  <w:tcW w:w="2804" w:type="pct"/>
                  <w:tcBorders>
                    <w:tl2br w:val="nil"/>
                    <w:tr2bl w:val="nil"/>
                  </w:tcBorders>
                  <w:shd w:val="clear" w:color="auto" w:fill="auto"/>
                  <w:vAlign w:val="center"/>
                </w:tcPr>
                <w:p w14:paraId="7AFF4352">
                  <w:pPr>
                    <w:pStyle w:val="58"/>
                    <w:spacing w:line="240" w:lineRule="auto"/>
                    <w:ind w:firstLine="0" w:firstLineChars="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长江干支流岸线</w:t>
                  </w:r>
                  <w:r>
                    <w:rPr>
                      <w:rFonts w:ascii="Times New Roman" w:hAnsi="Times New Roman" w:eastAsia="宋体"/>
                      <w:caps w:val="0"/>
                      <w:color w:val="000000" w:themeColor="text1"/>
                      <w:kern w:val="0"/>
                      <w:sz w:val="21"/>
                      <w:szCs w:val="21"/>
                      <w:highlight w:val="none"/>
                      <w14:textFill>
                        <w14:solidFill>
                          <w14:schemeClr w14:val="tx1"/>
                        </w14:solidFill>
                      </w14:textFill>
                    </w:rPr>
                    <w:t>1</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公里范围内，严禁新建、扩建化工园区和化工项目。已批未开工的项目，依法停止建设，支持重新选址。已经开工建设的项目，严格进行检查评估，不符合岸线规划和环保、安全要求的，全部依法依规停建搬迁</w:t>
                  </w:r>
                </w:p>
              </w:tc>
              <w:tc>
                <w:tcPr>
                  <w:tcW w:w="1579" w:type="pct"/>
                  <w:tcBorders>
                    <w:tl2br w:val="nil"/>
                    <w:tr2bl w:val="nil"/>
                  </w:tcBorders>
                  <w:shd w:val="clear" w:color="auto" w:fill="auto"/>
                  <w:vAlign w:val="center"/>
                </w:tcPr>
                <w:p w14:paraId="2F038976">
                  <w:pPr>
                    <w:pStyle w:val="9"/>
                    <w:jc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本项目距离长江干流岸线4.7km，距离青弋江7km，距离漳河0.8km，</w:t>
                  </w:r>
                  <w:r>
                    <w:rPr>
                      <w:rFonts w:hint="eastAsia" w:ascii="Times New Roman" w:hAnsi="Times New Roman" w:eastAsia="宋体"/>
                      <w:caps w:val="0"/>
                      <w:color w:val="000000" w:themeColor="text1"/>
                      <w:highlight w:val="none"/>
                      <w:lang w:val="en-US" w:eastAsia="zh-CN"/>
                      <w14:textFill>
                        <w14:solidFill>
                          <w14:schemeClr w14:val="tx1"/>
                        </w14:solidFill>
                      </w14:textFill>
                    </w:rPr>
                    <w:t>在</w:t>
                  </w:r>
                  <w:r>
                    <w:rPr>
                      <w:rFonts w:hint="eastAsia" w:ascii="Times New Roman" w:hAnsi="Times New Roman" w:eastAsia="宋体"/>
                      <w:caps w:val="0"/>
                      <w:color w:val="000000" w:themeColor="text1"/>
                      <w:highlight w:val="none"/>
                      <w14:textFill>
                        <w14:solidFill>
                          <w14:schemeClr w14:val="tx1"/>
                        </w14:solidFill>
                      </w14:textFill>
                    </w:rPr>
                    <w:t>长江干支流岸线1公里范围内</w:t>
                  </w:r>
                  <w:r>
                    <w:rPr>
                      <w:rFonts w:hint="eastAsia" w:ascii="Times New Roman" w:hAnsi="Times New Roman" w:eastAsia="宋体"/>
                      <w:caps w:val="0"/>
                      <w:color w:val="000000" w:themeColor="text1"/>
                      <w:highlight w:val="none"/>
                      <w:lang w:eastAsia="zh-CN"/>
                      <w14:textFill>
                        <w14:solidFill>
                          <w14:schemeClr w14:val="tx1"/>
                        </w14:solidFill>
                      </w14:textFill>
                    </w:rPr>
                    <w:t>，</w:t>
                  </w:r>
                  <w:r>
                    <w:rPr>
                      <w:rFonts w:hint="eastAsia" w:ascii="Times New Roman" w:hAnsi="Times New Roman" w:eastAsia="宋体"/>
                      <w:caps w:val="0"/>
                      <w:color w:val="000000" w:themeColor="text1"/>
                      <w:highlight w:val="none"/>
                      <w:lang w:val="en-US" w:eastAsia="zh-CN"/>
                      <w14:textFill>
                        <w14:solidFill>
                          <w14:schemeClr w14:val="tx1"/>
                        </w14:solidFill>
                      </w14:textFill>
                    </w:rPr>
                    <w:t>本项目不属于</w:t>
                  </w:r>
                  <w:r>
                    <w:rPr>
                      <w:rFonts w:hint="eastAsia" w:ascii="Times New Roman" w:hAnsi="Times New Roman" w:eastAsia="宋体"/>
                      <w:caps w:val="0"/>
                      <w:color w:val="000000" w:themeColor="text1"/>
                      <w:kern w:val="0"/>
                      <w:sz w:val="21"/>
                      <w:szCs w:val="21"/>
                      <w:highlight w:val="none"/>
                      <w14:textFill>
                        <w14:solidFill>
                          <w14:schemeClr w14:val="tx1"/>
                        </w14:solidFill>
                      </w14:textFill>
                    </w:rPr>
                    <w:t>新建、扩建化工园区和化工项目</w:t>
                  </w:r>
                </w:p>
              </w:tc>
            </w:tr>
            <w:tr w14:paraId="0F330D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5" w:type="pct"/>
                  <w:tcBorders>
                    <w:tl2br w:val="nil"/>
                    <w:tr2bl w:val="nil"/>
                  </w:tcBorders>
                  <w:shd w:val="clear" w:color="auto" w:fill="auto"/>
                  <w:vAlign w:val="center"/>
                </w:tcPr>
                <w:p w14:paraId="2E4F6263">
                  <w:pPr>
                    <w:pStyle w:val="58"/>
                    <w:spacing w:line="240" w:lineRule="auto"/>
                    <w:ind w:firstLine="0" w:firstLineChars="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严控</w:t>
                  </w:r>
                  <w:r>
                    <w:rPr>
                      <w:rFonts w:ascii="Times New Roman" w:hAnsi="Times New Roman" w:eastAsia="宋体"/>
                      <w:caps w:val="0"/>
                      <w:color w:val="000000" w:themeColor="text1"/>
                      <w:kern w:val="0"/>
                      <w:sz w:val="21"/>
                      <w:szCs w:val="21"/>
                      <w:highlight w:val="none"/>
                      <w14:textFill>
                        <w14:solidFill>
                          <w14:schemeClr w14:val="tx1"/>
                        </w14:solidFill>
                      </w14:textFill>
                    </w:rPr>
                    <w:t>5</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公里范围内新建重化工重污染项目</w:t>
                  </w:r>
                </w:p>
              </w:tc>
              <w:tc>
                <w:tcPr>
                  <w:tcW w:w="2804" w:type="pct"/>
                  <w:tcBorders>
                    <w:tl2br w:val="nil"/>
                    <w:tr2bl w:val="nil"/>
                  </w:tcBorders>
                  <w:shd w:val="clear" w:color="auto" w:fill="auto"/>
                  <w:vAlign w:val="center"/>
                </w:tcPr>
                <w:p w14:paraId="7E2E6D55">
                  <w:pPr>
                    <w:pStyle w:val="58"/>
                    <w:spacing w:line="240" w:lineRule="auto"/>
                    <w:ind w:firstLine="0" w:firstLineChars="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长江干流岸线</w:t>
                  </w:r>
                  <w:r>
                    <w:rPr>
                      <w:rFonts w:ascii="Times New Roman" w:hAnsi="Times New Roman" w:eastAsia="宋体"/>
                      <w:caps w:val="0"/>
                      <w:color w:val="000000" w:themeColor="text1"/>
                      <w:kern w:val="0"/>
                      <w:sz w:val="21"/>
                      <w:szCs w:val="21"/>
                      <w:highlight w:val="none"/>
                      <w14:textFill>
                        <w14:solidFill>
                          <w14:schemeClr w14:val="tx1"/>
                        </w14:solidFill>
                      </w14:textFill>
                    </w:rPr>
                    <w:t>5</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1579" w:type="pct"/>
                  <w:tcBorders>
                    <w:tl2br w:val="nil"/>
                    <w:tr2bl w:val="nil"/>
                  </w:tcBorders>
                  <w:shd w:val="clear" w:color="auto" w:fill="auto"/>
                  <w:vAlign w:val="center"/>
                </w:tcPr>
                <w:p w14:paraId="08FAF94A">
                  <w:pPr>
                    <w:pStyle w:val="9"/>
                    <w:jc w:val="center"/>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kern w:val="24"/>
                      <w:sz w:val="21"/>
                      <w:szCs w:val="21"/>
                      <w:highlight w:val="none"/>
                      <w:vertAlign w:val="baseline"/>
                      <w14:textFill>
                        <w14:solidFill>
                          <w14:schemeClr w14:val="tx1"/>
                        </w14:solidFill>
                      </w14:textFill>
                    </w:rPr>
                    <w:t>本项目距离长江干流岸线</w:t>
                  </w:r>
                  <w:r>
                    <w:rPr>
                      <w:rFonts w:hint="default" w:ascii="Times New Roman" w:hAnsi="Times New Roman" w:cs="Times New Roman"/>
                      <w:caps w:val="0"/>
                      <w:color w:val="000000" w:themeColor="text1"/>
                      <w:kern w:val="24"/>
                      <w:sz w:val="21"/>
                      <w:szCs w:val="21"/>
                      <w:highlight w:val="none"/>
                      <w:vertAlign w:val="baseline"/>
                      <w:lang w:val="en-US" w:eastAsia="zh-CN"/>
                      <w14:textFill>
                        <w14:solidFill>
                          <w14:schemeClr w14:val="tx1"/>
                        </w14:solidFill>
                      </w14:textFill>
                    </w:rPr>
                    <w:t>4.7</w:t>
                  </w:r>
                  <w:r>
                    <w:rPr>
                      <w:rFonts w:hint="default" w:ascii="Times New Roman" w:hAnsi="Times New Roman" w:eastAsia="宋体" w:cs="Times New Roman"/>
                      <w:caps w:val="0"/>
                      <w:color w:val="000000" w:themeColor="text1"/>
                      <w:kern w:val="24"/>
                      <w:sz w:val="21"/>
                      <w:szCs w:val="21"/>
                      <w:highlight w:val="none"/>
                      <w:vertAlign w:val="baseline"/>
                      <w14:textFill>
                        <w14:solidFill>
                          <w14:schemeClr w14:val="tx1"/>
                        </w14:solidFill>
                      </w14:textFill>
                    </w:rPr>
                    <w:t>km，距离青弋江</w:t>
                  </w:r>
                  <w:r>
                    <w:rPr>
                      <w:rFonts w:hint="default" w:ascii="Times New Roman" w:hAnsi="Times New Roman" w:cs="Times New Roman"/>
                      <w:caps w:val="0"/>
                      <w:color w:val="000000" w:themeColor="text1"/>
                      <w:kern w:val="24"/>
                      <w:sz w:val="21"/>
                      <w:szCs w:val="21"/>
                      <w:highlight w:val="none"/>
                      <w:vertAlign w:val="baseline"/>
                      <w:lang w:val="en-US" w:eastAsia="zh-CN"/>
                      <w14:textFill>
                        <w14:solidFill>
                          <w14:schemeClr w14:val="tx1"/>
                        </w14:solidFill>
                      </w14:textFill>
                    </w:rPr>
                    <w:t>7</w:t>
                  </w:r>
                  <w:r>
                    <w:rPr>
                      <w:rFonts w:hint="default" w:ascii="Times New Roman" w:hAnsi="Times New Roman" w:eastAsia="宋体" w:cs="Times New Roman"/>
                      <w:caps w:val="0"/>
                      <w:color w:val="000000" w:themeColor="text1"/>
                      <w:kern w:val="24"/>
                      <w:sz w:val="21"/>
                      <w:szCs w:val="21"/>
                      <w:highlight w:val="none"/>
                      <w:vertAlign w:val="baseline"/>
                      <w14:textFill>
                        <w14:solidFill>
                          <w14:schemeClr w14:val="tx1"/>
                        </w14:solidFill>
                      </w14:textFill>
                    </w:rPr>
                    <w:t>km，距离漳河</w:t>
                  </w:r>
                  <w:r>
                    <w:rPr>
                      <w:rFonts w:hint="default" w:ascii="Times New Roman" w:hAnsi="Times New Roman" w:cs="Times New Roman"/>
                      <w:caps w:val="0"/>
                      <w:color w:val="000000" w:themeColor="text1"/>
                      <w:kern w:val="24"/>
                      <w:sz w:val="21"/>
                      <w:szCs w:val="21"/>
                      <w:highlight w:val="none"/>
                      <w:vertAlign w:val="baseline"/>
                      <w:lang w:val="en-US" w:eastAsia="zh-CN"/>
                      <w14:textFill>
                        <w14:solidFill>
                          <w14:schemeClr w14:val="tx1"/>
                        </w14:solidFill>
                      </w14:textFill>
                    </w:rPr>
                    <w:t>0.8</w:t>
                  </w:r>
                  <w:r>
                    <w:rPr>
                      <w:rFonts w:hint="default" w:ascii="Times New Roman" w:hAnsi="Times New Roman" w:eastAsia="宋体" w:cs="Times New Roman"/>
                      <w:caps w:val="0"/>
                      <w:color w:val="000000" w:themeColor="text1"/>
                      <w:kern w:val="24"/>
                      <w:sz w:val="21"/>
                      <w:szCs w:val="21"/>
                      <w:highlight w:val="none"/>
                      <w:vertAlign w:val="baseline"/>
                      <w14:textFill>
                        <w14:solidFill>
                          <w14:schemeClr w14:val="tx1"/>
                        </w14:solidFill>
                      </w14:textFill>
                    </w:rPr>
                    <w:t>km</w:t>
                  </w:r>
                  <w:r>
                    <w:rPr>
                      <w:rFonts w:hint="default" w:ascii="Times New Roman" w:hAnsi="Times New Roman" w:eastAsia="宋体" w:cs="Times New Roman"/>
                      <w:caps w:val="0"/>
                      <w:color w:val="000000" w:themeColor="text1"/>
                      <w:highlight w:val="none"/>
                      <w14:textFill>
                        <w14:solidFill>
                          <w14:schemeClr w14:val="tx1"/>
                        </w14:solidFill>
                      </w14:textFill>
                    </w:rPr>
                    <w:t>，在</w:t>
                  </w:r>
                  <w:r>
                    <w:rPr>
                      <w:rFonts w:hint="default" w:ascii="Times New Roman" w:hAnsi="Times New Roman" w:eastAsia="宋体" w:cs="Times New Roman"/>
                      <w:caps w:val="0"/>
                      <w:color w:val="000000" w:themeColor="text1"/>
                      <w:kern w:val="0"/>
                      <w:highlight w:val="none"/>
                      <w14:textFill>
                        <w14:solidFill>
                          <w14:schemeClr w14:val="tx1"/>
                        </w14:solidFill>
                      </w14:textFill>
                    </w:rPr>
                    <w:t>长江干流岸线5公里范围内，</w:t>
                  </w:r>
                  <w:r>
                    <w:rPr>
                      <w:rFonts w:hint="default" w:ascii="Times New Roman" w:hAnsi="Times New Roman" w:eastAsia="宋体" w:cs="Times New Roman"/>
                      <w:caps w:val="0"/>
                      <w:color w:val="000000" w:themeColor="text1"/>
                      <w:spacing w:val="-4"/>
                      <w:highlight w:val="none"/>
                      <w14:textFill>
                        <w14:solidFill>
                          <w14:schemeClr w14:val="tx1"/>
                        </w14:solidFill>
                      </w14:textFill>
                    </w:rPr>
                    <w:t>本项目属于汽车零部件及配件制造，</w:t>
                  </w:r>
                  <w:r>
                    <w:rPr>
                      <w:rFonts w:hint="default" w:ascii="Times New Roman" w:hAnsi="Times New Roman" w:eastAsia="宋体" w:cs="Times New Roman"/>
                      <w:caps w:val="0"/>
                      <w:color w:val="000000" w:themeColor="text1"/>
                      <w:highlight w:val="none"/>
                      <w14:textFill>
                        <w14:solidFill>
                          <w14:schemeClr w14:val="tx1"/>
                        </w14:solidFill>
                      </w14:textFill>
                    </w:rPr>
                    <w:t>不属于</w:t>
                  </w:r>
                  <w:r>
                    <w:rPr>
                      <w:rFonts w:hint="default" w:ascii="Times New Roman" w:hAnsi="Times New Roman" w:eastAsia="宋体" w:cs="Times New Roman"/>
                      <w:caps w:val="0"/>
                      <w:color w:val="000000" w:themeColor="text1"/>
                      <w:kern w:val="0"/>
                      <w:highlight w:val="none"/>
                      <w14:textFill>
                        <w14:solidFill>
                          <w14:schemeClr w14:val="tx1"/>
                        </w14:solidFill>
                      </w14:textFill>
                    </w:rPr>
                    <w:t>石油化工和煤化工等重化工、重污染项目，</w:t>
                  </w:r>
                  <w:r>
                    <w:rPr>
                      <w:rFonts w:hint="default" w:ascii="Times New Roman" w:hAnsi="Times New Roman" w:eastAsia="宋体" w:cs="Times New Roman"/>
                      <w:caps w:val="0"/>
                      <w:color w:val="000000" w:themeColor="text1"/>
                      <w:highlight w:val="none"/>
                      <w14:textFill>
                        <w14:solidFill>
                          <w14:schemeClr w14:val="tx1"/>
                        </w14:solidFill>
                      </w14:textFill>
                    </w:rPr>
                    <w:t>不属于严控5公里范围内新建项目</w:t>
                  </w:r>
                </w:p>
              </w:tc>
            </w:tr>
            <w:tr w14:paraId="22F052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5" w:type="pct"/>
                  <w:tcBorders>
                    <w:tl2br w:val="nil"/>
                    <w:tr2bl w:val="nil"/>
                  </w:tcBorders>
                  <w:shd w:val="clear" w:color="auto" w:fill="auto"/>
                  <w:vAlign w:val="center"/>
                </w:tcPr>
                <w:p w14:paraId="3EC52C97">
                  <w:pPr>
                    <w:pStyle w:val="58"/>
                    <w:spacing w:line="240" w:lineRule="auto"/>
                    <w:ind w:firstLine="0" w:firstLineChars="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严管</w:t>
                  </w:r>
                  <w:r>
                    <w:rPr>
                      <w:rFonts w:ascii="Times New Roman" w:hAnsi="Times New Roman" w:eastAsia="宋体"/>
                      <w:caps w:val="0"/>
                      <w:color w:val="000000" w:themeColor="text1"/>
                      <w:kern w:val="0"/>
                      <w:sz w:val="21"/>
                      <w:szCs w:val="21"/>
                      <w:highlight w:val="none"/>
                      <w14:textFill>
                        <w14:solidFill>
                          <w14:schemeClr w14:val="tx1"/>
                        </w14:solidFill>
                      </w14:textFill>
                    </w:rPr>
                    <w:t>15</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公里范围内新建项目</w:t>
                  </w:r>
                </w:p>
              </w:tc>
              <w:tc>
                <w:tcPr>
                  <w:tcW w:w="2804" w:type="pct"/>
                  <w:tcBorders>
                    <w:tl2br w:val="nil"/>
                    <w:tr2bl w:val="nil"/>
                  </w:tcBorders>
                  <w:shd w:val="clear" w:color="auto" w:fill="auto"/>
                  <w:vAlign w:val="center"/>
                </w:tcPr>
                <w:p w14:paraId="25963C28">
                  <w:pPr>
                    <w:pStyle w:val="58"/>
                    <w:spacing w:line="240" w:lineRule="auto"/>
                    <w:ind w:firstLine="0" w:firstLineChars="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长江干流岸线</w:t>
                  </w:r>
                  <w:r>
                    <w:rPr>
                      <w:rFonts w:ascii="Times New Roman" w:hAnsi="Times New Roman" w:eastAsia="宋体"/>
                      <w:caps w:val="0"/>
                      <w:color w:val="000000" w:themeColor="text1"/>
                      <w:kern w:val="0"/>
                      <w:sz w:val="21"/>
                      <w:szCs w:val="21"/>
                      <w:highlight w:val="none"/>
                      <w14:textFill>
                        <w14:solidFill>
                          <w14:schemeClr w14:val="tx1"/>
                        </w14:solidFill>
                      </w14:textFill>
                    </w:rPr>
                    <w:t>15</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公里范围内，严把各类项目准入门槛，严格执行环境保护标准，把主要污染物和重点重金属排放总量控制目标作为新</w:t>
                  </w:r>
                  <w:r>
                    <w:rPr>
                      <w:rFonts w:hint="eastAsia"/>
                      <w:caps w:val="0"/>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14:textFill>
                        <w14:solidFill>
                          <w14:schemeClr w14:val="tx1"/>
                        </w14:solidFill>
                      </w14:textFill>
                    </w:rPr>
                    <w:t>改、扩</w:t>
                  </w:r>
                  <w:r>
                    <w:rPr>
                      <w:rFonts w:hint="eastAsia"/>
                      <w:caps w:val="0"/>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建项目环评审批的前置条件，禁止建设没有环境容量和减排总量项目。在岸线开发、河段利用、区域活动和产业发展等方面，严格执行《长江经济带发展负面清单指南</w:t>
                  </w:r>
                  <w:r>
                    <w:rPr>
                      <w:rFonts w:hint="eastAsia"/>
                      <w:caps w:val="0"/>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14:textFill>
                        <w14:solidFill>
                          <w14:schemeClr w14:val="tx1"/>
                        </w14:solidFill>
                      </w14:textFill>
                    </w:rPr>
                    <w:t>试行</w:t>
                  </w:r>
                  <w:r>
                    <w:rPr>
                      <w:rFonts w:hint="eastAsia"/>
                      <w:caps w:val="0"/>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》《安徽省长江经济带发展负面清单实施细则</w:t>
                  </w:r>
                  <w:r>
                    <w:rPr>
                      <w:rFonts w:hint="eastAsia"/>
                      <w:caps w:val="0"/>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14:textFill>
                        <w14:solidFill>
                          <w14:schemeClr w14:val="tx1"/>
                        </w14:solidFill>
                      </w14:textFill>
                    </w:rPr>
                    <w:t>试行</w:t>
                  </w:r>
                  <w:r>
                    <w:rPr>
                      <w:rFonts w:hint="eastAsia"/>
                      <w:caps w:val="0"/>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》。实施备案、环评、安评、能评等并联审批，未落实生态环保、安全生产、能源节约要求的，一律不得开工建设</w:t>
                  </w:r>
                </w:p>
              </w:tc>
              <w:tc>
                <w:tcPr>
                  <w:tcW w:w="1579" w:type="pct"/>
                  <w:tcBorders>
                    <w:tl2br w:val="nil"/>
                    <w:tr2bl w:val="nil"/>
                  </w:tcBorders>
                  <w:shd w:val="clear" w:color="auto" w:fill="auto"/>
                  <w:vAlign w:val="center"/>
                </w:tcPr>
                <w:p w14:paraId="3BC665FD">
                  <w:pPr>
                    <w:pStyle w:val="9"/>
                    <w:jc w:val="center"/>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本项目距离长江干流岸线</w:t>
                  </w:r>
                  <w:r>
                    <w:rPr>
                      <w:rFonts w:hint="eastAsia" w:ascii="Times New Roman" w:hAnsi="Times New Roman"/>
                      <w:caps w:val="0"/>
                      <w:color w:val="000000" w:themeColor="text1"/>
                      <w:highlight w:val="none"/>
                      <w:lang w:val="en-US" w:eastAsia="zh-CN"/>
                      <w14:textFill>
                        <w14:solidFill>
                          <w14:schemeClr w14:val="tx1"/>
                        </w14:solidFill>
                      </w14:textFill>
                    </w:rPr>
                    <w:t>4.7</w:t>
                  </w:r>
                  <w:r>
                    <w:rPr>
                      <w:rFonts w:ascii="Times New Roman" w:hAnsi="Times New Roman" w:eastAsia="宋体"/>
                      <w:caps w:val="0"/>
                      <w:color w:val="000000" w:themeColor="text1"/>
                      <w:highlight w:val="none"/>
                      <w14:textFill>
                        <w14:solidFill>
                          <w14:schemeClr w14:val="tx1"/>
                        </w14:solidFill>
                      </w14:textFill>
                    </w:rPr>
                    <w:t>km</w:t>
                  </w:r>
                  <w:r>
                    <w:rPr>
                      <w:rFonts w:hint="eastAsia" w:ascii="Times New Roman" w:hAnsi="Times New Roman" w:eastAsia="宋体"/>
                      <w:caps w:val="0"/>
                      <w:color w:val="000000" w:themeColor="text1"/>
                      <w:highlight w:val="none"/>
                      <w14:textFill>
                        <w14:solidFill>
                          <w14:schemeClr w14:val="tx1"/>
                        </w14:solidFill>
                      </w14:textFill>
                    </w:rPr>
                    <w:t>，在长江干流岸线15公里范围内，项目严格执行环境保护标准，主要污染物实行总量控制。本项目不在国家长江经济带市场准入禁止限制目录。项目实施备案、环评、安评、能评等关联审批，取得合法手续后方可开工建设。</w:t>
                  </w:r>
                </w:p>
              </w:tc>
            </w:tr>
          </w:tbl>
          <w:p w14:paraId="41AB273F">
            <w:pPr>
              <w:spacing w:line="360" w:lineRule="auto"/>
              <w:ind w:firstLine="42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根据表1-</w:t>
            </w:r>
            <w:r>
              <w:rPr>
                <w:rFonts w:hint="eastAsia"/>
                <w:caps w:val="0"/>
                <w:color w:val="000000" w:themeColor="text1"/>
                <w:sz w:val="24"/>
                <w:highlight w:val="none"/>
                <w:lang w:val="en-US" w:eastAsia="zh-CN"/>
                <w14:textFill>
                  <w14:solidFill>
                    <w14:schemeClr w14:val="tx1"/>
                  </w14:solidFill>
                </w14:textFill>
              </w:rPr>
              <w:t>4</w:t>
            </w:r>
            <w:r>
              <w:rPr>
                <w:rFonts w:ascii="Times New Roman" w:hAnsi="Times New Roman" w:eastAsia="宋体"/>
                <w:caps w:val="0"/>
                <w:color w:val="000000" w:themeColor="text1"/>
                <w:sz w:val="24"/>
                <w:highlight w:val="none"/>
                <w14:textFill>
                  <w14:solidFill>
                    <w14:schemeClr w14:val="tx1"/>
                  </w14:solidFill>
                </w14:textFill>
              </w:rPr>
              <w:t>分析，本项目建设符合</w:t>
            </w:r>
            <w:r>
              <w:rPr>
                <w:rFonts w:hint="eastAsia" w:ascii="Times New Roman" w:hAnsi="Times New Roman" w:eastAsia="宋体"/>
                <w:caps w:val="0"/>
                <w:color w:val="000000" w:themeColor="text1"/>
                <w:sz w:val="24"/>
                <w:highlight w:val="none"/>
                <w14:textFill>
                  <w14:solidFill>
                    <w14:schemeClr w14:val="tx1"/>
                  </w14:solidFill>
                </w14:textFill>
              </w:rPr>
              <w:t>“芜市办[2021]28 号”文件的相关要求</w:t>
            </w:r>
            <w:r>
              <w:rPr>
                <w:rFonts w:ascii="Times New Roman" w:hAnsi="Times New Roman" w:eastAsia="宋体"/>
                <w:caps w:val="0"/>
                <w:color w:val="000000" w:themeColor="text1"/>
                <w:sz w:val="24"/>
                <w:highlight w:val="none"/>
                <w14:textFill>
                  <w14:solidFill>
                    <w14:schemeClr w14:val="tx1"/>
                  </w14:solidFill>
                </w14:textFill>
              </w:rPr>
              <w:t>。</w:t>
            </w:r>
          </w:p>
          <w:p w14:paraId="685EE9F5">
            <w:pPr>
              <w:spacing w:line="360" w:lineRule="auto"/>
              <w:ind w:firstLine="420"/>
              <w:rPr>
                <w:rFonts w:ascii="Times New Roman" w:hAnsi="Times New Roman" w:eastAsia="宋体"/>
                <w:caps w:val="0"/>
                <w:color w:val="000000" w:themeColor="text1"/>
                <w:sz w:val="24"/>
                <w:highlight w:val="none"/>
                <w14:textFill>
                  <w14:solidFill>
                    <w14:schemeClr w14:val="tx1"/>
                  </w14:solidFill>
                </w14:textFill>
              </w:rPr>
            </w:pPr>
            <w:r>
              <w:rPr>
                <w:rFonts w:hint="eastAsia"/>
                <w:b/>
                <w:caps w:val="0"/>
                <w:color w:val="000000" w:themeColor="text1"/>
                <w:sz w:val="24"/>
                <w:highlight w:val="none"/>
                <w:lang w:val="en-US" w:eastAsia="zh-CN"/>
                <w14:textFill>
                  <w14:solidFill>
                    <w14:schemeClr w14:val="tx1"/>
                  </w14:solidFill>
                </w14:textFill>
              </w:rPr>
              <w:t>5</w:t>
            </w:r>
            <w:r>
              <w:rPr>
                <w:rFonts w:hint="eastAsia" w:ascii="Times New Roman" w:hAnsi="Times New Roman" w:eastAsia="宋体"/>
                <w:b/>
                <w:caps w:val="0"/>
                <w:color w:val="000000" w:themeColor="text1"/>
                <w:sz w:val="24"/>
                <w:highlight w:val="none"/>
                <w14:textFill>
                  <w14:solidFill>
                    <w14:schemeClr w14:val="tx1"/>
                  </w14:solidFill>
                </w14:textFill>
              </w:rPr>
              <w:t>、与《安徽省2022年大气污染防治工作要点》（安环委办[2022]37号文）相符性分析</w:t>
            </w:r>
          </w:p>
          <w:p w14:paraId="0199912F">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根据安徽省生态环境保护委员会办公室关于印发《安徽省2022年大气污染防治工作要点》的通知（安环委办〔2022〕37号），本项目建设符合文件相关要求，见下表。</w:t>
            </w:r>
          </w:p>
          <w:p w14:paraId="76D19AFC">
            <w:pPr>
              <w:adjustRightInd w:val="0"/>
              <w:snapToGrid w:val="0"/>
              <w:ind w:firstLine="482" w:firstLineChars="200"/>
              <w:jc w:val="center"/>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表1-</w:t>
            </w:r>
            <w:r>
              <w:rPr>
                <w:rFonts w:hint="eastAsia"/>
                <w:b/>
                <w:bCs/>
                <w:caps w:val="0"/>
                <w:color w:val="000000" w:themeColor="text1"/>
                <w:sz w:val="24"/>
                <w:highlight w:val="none"/>
                <w:lang w:val="en-US" w:eastAsia="zh-CN"/>
                <w14:textFill>
                  <w14:solidFill>
                    <w14:schemeClr w14:val="tx1"/>
                  </w14:solidFill>
                </w14:textFill>
              </w:rPr>
              <w:t>5</w:t>
            </w:r>
            <w:r>
              <w:rPr>
                <w:rFonts w:ascii="Times New Roman" w:hAnsi="Times New Roman" w:eastAsia="宋体"/>
                <w:b/>
                <w:bCs/>
                <w:caps w:val="0"/>
                <w:color w:val="000000" w:themeColor="text1"/>
                <w:sz w:val="24"/>
                <w:highlight w:val="none"/>
                <w14:textFill>
                  <w14:solidFill>
                    <w14:schemeClr w14:val="tx1"/>
                  </w14:solidFill>
                </w14:textFill>
              </w:rPr>
              <w:t xml:space="preserve"> 与《安徽省2022年大气污染防治工作要点》相符性分析</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8"/>
              <w:gridCol w:w="3727"/>
              <w:gridCol w:w="1865"/>
              <w:gridCol w:w="919"/>
            </w:tblGrid>
            <w:tr w14:paraId="369667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tcBorders>
                    <w:tl2br w:val="nil"/>
                    <w:tr2bl w:val="nil"/>
                  </w:tcBorders>
                  <w:shd w:val="clear" w:color="auto" w:fill="auto"/>
                  <w:vAlign w:val="center"/>
                </w:tcPr>
                <w:p w14:paraId="23955F1A">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序号</w:t>
                  </w:r>
                </w:p>
              </w:tc>
              <w:tc>
                <w:tcPr>
                  <w:tcW w:w="2524" w:type="pct"/>
                  <w:tcBorders>
                    <w:tl2br w:val="nil"/>
                    <w:tr2bl w:val="nil"/>
                  </w:tcBorders>
                  <w:shd w:val="clear" w:color="auto" w:fill="auto"/>
                  <w:vAlign w:val="center"/>
                </w:tcPr>
                <w:p w14:paraId="21885C12">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文件要求</w:t>
                  </w:r>
                </w:p>
              </w:tc>
              <w:tc>
                <w:tcPr>
                  <w:tcW w:w="1263" w:type="pct"/>
                  <w:tcBorders>
                    <w:tl2br w:val="nil"/>
                    <w:tr2bl w:val="nil"/>
                  </w:tcBorders>
                  <w:shd w:val="clear" w:color="auto" w:fill="auto"/>
                  <w:vAlign w:val="center"/>
                </w:tcPr>
                <w:p w14:paraId="0A119794">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本项目情况</w:t>
                  </w:r>
                </w:p>
              </w:tc>
              <w:tc>
                <w:tcPr>
                  <w:tcW w:w="622" w:type="pct"/>
                  <w:tcBorders>
                    <w:tl2br w:val="nil"/>
                    <w:tr2bl w:val="nil"/>
                  </w:tcBorders>
                  <w:shd w:val="clear" w:color="auto" w:fill="auto"/>
                  <w:vAlign w:val="center"/>
                </w:tcPr>
                <w:p w14:paraId="5C8E59B1">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相符性</w:t>
                  </w:r>
                </w:p>
              </w:tc>
            </w:tr>
            <w:tr w14:paraId="163E4D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588" w:type="pct"/>
                  <w:tcBorders>
                    <w:tl2br w:val="nil"/>
                    <w:tr2bl w:val="nil"/>
                  </w:tcBorders>
                  <w:shd w:val="clear" w:color="auto" w:fill="auto"/>
                  <w:vAlign w:val="center"/>
                </w:tcPr>
                <w:p w14:paraId="550B9FB0">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c>
                <w:tcPr>
                  <w:tcW w:w="2524" w:type="pct"/>
                  <w:tcBorders>
                    <w:tl2br w:val="nil"/>
                    <w:tr2bl w:val="nil"/>
                  </w:tcBorders>
                  <w:shd w:val="clear" w:color="auto" w:fill="auto"/>
                  <w:vAlign w:val="center"/>
                </w:tcPr>
                <w:p w14:paraId="53ED71C0">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积极发展清洁能源。坚持实施“增气减煤”，提升供应侧非化石能源比重，提高消费侧电力比重，增加天然气供应量、优化天然气使用，2022年底前，新增电能替代电量60亿千瓦时，天然气供气规模达76亿立方米。持续推进以煤为燃料的工业炉窑清洁燃料替代改造，提高以电代煤、以气代煤比例。推进现有机组实施清洁能源替代、功能转换，积极争取“外电入皖”。实施可再生能源替代行动，加快建设新型能源供应系统，因地制宜开发风电与光伏发电，鼓励建设风能、太阳能、生物质能等新能源项目，推进生物燃料乙醇项目改造提升。</w:t>
                  </w:r>
                </w:p>
              </w:tc>
              <w:tc>
                <w:tcPr>
                  <w:tcW w:w="1263" w:type="pct"/>
                  <w:tcBorders>
                    <w:tl2br w:val="nil"/>
                    <w:tr2bl w:val="nil"/>
                  </w:tcBorders>
                  <w:shd w:val="clear" w:color="auto" w:fill="auto"/>
                  <w:vAlign w:val="center"/>
                </w:tcPr>
                <w:p w14:paraId="33927A9D">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本项目采用电力能源，属于清洁能源。</w:t>
                  </w:r>
                </w:p>
              </w:tc>
              <w:tc>
                <w:tcPr>
                  <w:tcW w:w="622" w:type="pct"/>
                  <w:tcBorders>
                    <w:tl2br w:val="nil"/>
                    <w:tr2bl w:val="nil"/>
                  </w:tcBorders>
                  <w:shd w:val="clear" w:color="auto" w:fill="auto"/>
                  <w:vAlign w:val="center"/>
                </w:tcPr>
                <w:p w14:paraId="3D16279E">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相符</w:t>
                  </w:r>
                </w:p>
              </w:tc>
            </w:tr>
            <w:tr w14:paraId="0AEE2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tcBorders>
                    <w:tl2br w:val="nil"/>
                    <w:tr2bl w:val="nil"/>
                  </w:tcBorders>
                  <w:shd w:val="clear" w:color="auto" w:fill="auto"/>
                  <w:vAlign w:val="center"/>
                </w:tcPr>
                <w:p w14:paraId="004B5BCC">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2</w:t>
                  </w:r>
                </w:p>
              </w:tc>
              <w:tc>
                <w:tcPr>
                  <w:tcW w:w="2524" w:type="pct"/>
                  <w:tcBorders>
                    <w:tl2br w:val="nil"/>
                    <w:tr2bl w:val="nil"/>
                  </w:tcBorders>
                  <w:shd w:val="clear" w:color="auto" w:fill="auto"/>
                  <w:vAlign w:val="center"/>
                </w:tcPr>
                <w:p w14:paraId="036C2839">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加快产业结构转型升级。严格执行《产业结构调整指导目录》《产业发展与转移指导目录》，落实国家产业结构调整指导目录中碳排放控制要求。有序开展产业承接和重点行业省内调整优化，高水平打造皖北承接产业转移集聚区。全面排查“两高”项目，实施清单管理、分类处置、动态监控，对不符合规定的坚决停批停建，科学稳妥推进符合要求的拟建项目。依法依规淘汰落后产能和化解过剩产能，严禁新增钢铁、焦化、水泥熟料、平板玻璃、电解铝等产能。</w:t>
                  </w:r>
                </w:p>
              </w:tc>
              <w:tc>
                <w:tcPr>
                  <w:tcW w:w="1263" w:type="pct"/>
                  <w:tcBorders>
                    <w:tl2br w:val="nil"/>
                    <w:tr2bl w:val="nil"/>
                  </w:tcBorders>
                  <w:shd w:val="clear" w:color="auto" w:fill="auto"/>
                  <w:vAlign w:val="center"/>
                </w:tcPr>
                <w:p w14:paraId="1C6E9F96">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本项目不属于《产业结构调整指导目录（20</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24</w:t>
                  </w:r>
                  <w:r>
                    <w:rPr>
                      <w:rFonts w:hint="eastAsia" w:ascii="Times New Roman" w:hAnsi="Times New Roman" w:eastAsia="宋体"/>
                      <w:caps w:val="0"/>
                      <w:color w:val="000000" w:themeColor="text1"/>
                      <w:szCs w:val="21"/>
                      <w:highlight w:val="none"/>
                      <w14:textFill>
                        <w14:solidFill>
                          <w14:schemeClr w14:val="tx1"/>
                        </w14:solidFill>
                      </w14:textFill>
                    </w:rPr>
                    <w:t>年本）》中淘汰类或限制类项目，项目符合国家产业政策，不属于落后产能和过剩产能行业项目，本项目不属于“两高”项目，不属于钢铁、焦化、水泥熟料、平板玻璃、电解铝、氧化铝、煤化工行业。</w:t>
                  </w:r>
                </w:p>
              </w:tc>
              <w:tc>
                <w:tcPr>
                  <w:tcW w:w="622" w:type="pct"/>
                  <w:tcBorders>
                    <w:tl2br w:val="nil"/>
                    <w:tr2bl w:val="nil"/>
                  </w:tcBorders>
                  <w:shd w:val="clear" w:color="auto" w:fill="auto"/>
                  <w:vAlign w:val="center"/>
                </w:tcPr>
                <w:p w14:paraId="60C910CD">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相符</w:t>
                  </w:r>
                </w:p>
              </w:tc>
            </w:tr>
            <w:tr w14:paraId="321A48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tcBorders>
                    <w:tl2br w:val="nil"/>
                    <w:tr2bl w:val="nil"/>
                  </w:tcBorders>
                  <w:shd w:val="clear" w:color="auto" w:fill="auto"/>
                  <w:vAlign w:val="center"/>
                </w:tcPr>
                <w:p w14:paraId="591BF9A7">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3</w:t>
                  </w:r>
                </w:p>
              </w:tc>
              <w:tc>
                <w:tcPr>
                  <w:tcW w:w="2524" w:type="pct"/>
                  <w:tcBorders>
                    <w:tl2br w:val="nil"/>
                    <w:tr2bl w:val="nil"/>
                  </w:tcBorders>
                  <w:shd w:val="clear" w:color="auto" w:fill="auto"/>
                  <w:vAlign w:val="center"/>
                </w:tcPr>
                <w:p w14:paraId="25CCDCED">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开展臭氧污染防治攻坚。以石化、化工、涂装、医药、包装印刷、油品储运销等行业领域为重点，开展2022年度挥发性有机物综合治理，完成挥发性有机物突出问题排查治理。挥发性有机物年排放量1吨及以上企业编制实施“一厂一策”。严格执行涂料、油墨、胶粘剂、清洗剂VOCs含量限值标准，开展年度含VOCs原辅材料达标情况联合检查。推进实施重点行业低VOCs含量原辅材料源头替代。开展企业升级改造和区域环境综合整治，建立家具制造、木材加工等涉气产业集群排查治理清单，重点涉VOCs工业园区及产业集群编制执行VOCs综合治理“一园一案”。实施工业锅炉和炉窑提标改造和清洁能源替代，推动焦化、玻璃等行业深度治理。加快推进马钢等钢铁企业超低排放改造，力争2022年底前基本完成。全面摸排现有工业燃煤锅炉，明确超低排放改造时间表。</w:t>
                  </w:r>
                </w:p>
              </w:tc>
              <w:tc>
                <w:tcPr>
                  <w:tcW w:w="1263" w:type="pct"/>
                  <w:tcBorders>
                    <w:tl2br w:val="nil"/>
                    <w:tr2bl w:val="nil"/>
                  </w:tcBorders>
                  <w:shd w:val="clear" w:color="auto" w:fill="auto"/>
                  <w:vAlign w:val="center"/>
                </w:tcPr>
                <w:p w14:paraId="62777B80">
                  <w:pPr>
                    <w:adjustRightInd w:val="0"/>
                    <w:snapToGrid w:val="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ascii="Times New Roman" w:hAnsi="Times New Roman" w:eastAsia="宋体"/>
                      <w:caps w:val="0"/>
                      <w:color w:val="000000" w:themeColor="text1"/>
                      <w:szCs w:val="21"/>
                      <w:highlight w:val="none"/>
                      <w:lang w:bidi="ar"/>
                      <w14:textFill>
                        <w14:solidFill>
                          <w14:schemeClr w14:val="tx1"/>
                        </w14:solidFill>
                      </w14:textFill>
                    </w:rPr>
                    <w:t>本项目不属于石化、化工、涂装、医药、包装印刷、油品储运等重</w:t>
                  </w:r>
                  <w:r>
                    <w:rPr>
                      <w:rFonts w:ascii="Times New Roman" w:hAnsi="Times New Roman" w:eastAsia="宋体"/>
                      <w:caps w:val="0"/>
                      <w:color w:val="auto"/>
                      <w:szCs w:val="21"/>
                      <w:highlight w:val="none"/>
                      <w:lang w:bidi="ar"/>
                    </w:rPr>
                    <w:t>点行业，使用电能。</w:t>
                  </w:r>
                </w:p>
              </w:tc>
              <w:tc>
                <w:tcPr>
                  <w:tcW w:w="622" w:type="pct"/>
                  <w:tcBorders>
                    <w:tl2br w:val="nil"/>
                    <w:tr2bl w:val="nil"/>
                  </w:tcBorders>
                  <w:shd w:val="clear" w:color="auto" w:fill="auto"/>
                  <w:vAlign w:val="center"/>
                </w:tcPr>
                <w:p w14:paraId="0557E936">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相符</w:t>
                  </w:r>
                </w:p>
              </w:tc>
            </w:tr>
          </w:tbl>
          <w:p w14:paraId="40389358">
            <w:pPr>
              <w:spacing w:line="360" w:lineRule="auto"/>
              <w:ind w:firstLine="420"/>
              <w:rPr>
                <w:rFonts w:ascii="Times New Roman" w:hAnsi="Times New Roman" w:eastAsia="宋体"/>
                <w:b/>
                <w:bCs/>
                <w:caps w:val="0"/>
                <w:color w:val="000000" w:themeColor="text1"/>
                <w:sz w:val="24"/>
                <w:highlight w:val="none"/>
                <w14:textFill>
                  <w14:solidFill>
                    <w14:schemeClr w14:val="tx1"/>
                  </w14:solidFill>
                </w14:textFill>
              </w:rPr>
            </w:pPr>
            <w:r>
              <w:rPr>
                <w:rFonts w:hint="eastAsia"/>
                <w:b/>
                <w:bCs/>
                <w:caps w:val="0"/>
                <w:color w:val="000000" w:themeColor="text1"/>
                <w:sz w:val="24"/>
                <w:highlight w:val="none"/>
                <w:lang w:val="en-US" w:eastAsia="zh-CN"/>
                <w14:textFill>
                  <w14:solidFill>
                    <w14:schemeClr w14:val="tx1"/>
                  </w14:solidFill>
                </w14:textFill>
              </w:rPr>
              <w:t>6</w:t>
            </w:r>
            <w:r>
              <w:rPr>
                <w:rFonts w:hint="eastAsia" w:ascii="Times New Roman" w:hAnsi="Times New Roman" w:eastAsia="宋体"/>
                <w:b/>
                <w:bCs/>
                <w:caps w:val="0"/>
                <w:color w:val="000000" w:themeColor="text1"/>
                <w:sz w:val="24"/>
                <w:highlight w:val="none"/>
                <w14:textFill>
                  <w14:solidFill>
                    <w14:schemeClr w14:val="tx1"/>
                  </w14:solidFill>
                </w14:textFill>
              </w:rPr>
              <w:t>、与《挥发性有机物无组织排放控制标准》（GB 37822-2019）相符性分析</w:t>
            </w:r>
          </w:p>
          <w:p w14:paraId="7381B16B">
            <w:pPr>
              <w:adjustRightInd w:val="0"/>
              <w:snapToGrid w:val="0"/>
              <w:jc w:val="center"/>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表1-</w:t>
            </w:r>
            <w:r>
              <w:rPr>
                <w:rFonts w:hint="eastAsia"/>
                <w:b/>
                <w:bCs/>
                <w:caps w:val="0"/>
                <w:color w:val="000000" w:themeColor="text1"/>
                <w:sz w:val="24"/>
                <w:highlight w:val="none"/>
                <w:lang w:val="en-US" w:eastAsia="zh-CN"/>
                <w14:textFill>
                  <w14:solidFill>
                    <w14:schemeClr w14:val="tx1"/>
                  </w14:solidFill>
                </w14:textFill>
              </w:rPr>
              <w:t>6</w:t>
            </w:r>
            <w:r>
              <w:rPr>
                <w:rFonts w:hint="eastAsia" w:ascii="Times New Roman" w:hAnsi="Times New Roman" w:eastAsia="宋体"/>
                <w:b/>
                <w:bCs/>
                <w:caps w:val="0"/>
                <w:color w:val="000000" w:themeColor="text1"/>
                <w:sz w:val="24"/>
                <w:highlight w:val="none"/>
                <w14:textFill>
                  <w14:solidFill>
                    <w14:schemeClr w14:val="tx1"/>
                  </w14:solidFill>
                </w14:textFill>
              </w:rPr>
              <w:t>与《挥发性有机物无组织排放控制标准》（GB 37822-2019）相符性分析</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1" w:type="dxa"/>
                <w:left w:w="28" w:type="dxa"/>
                <w:bottom w:w="11" w:type="dxa"/>
                <w:right w:w="28" w:type="dxa"/>
              </w:tblCellMar>
            </w:tblPr>
            <w:tblGrid>
              <w:gridCol w:w="4519"/>
              <w:gridCol w:w="2005"/>
              <w:gridCol w:w="858"/>
            </w:tblGrid>
            <w:tr w14:paraId="5A0E9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tblHeader/>
                <w:jc w:val="center"/>
              </w:trPr>
              <w:tc>
                <w:tcPr>
                  <w:tcW w:w="3061" w:type="pct"/>
                  <w:tcBorders>
                    <w:tl2br w:val="nil"/>
                    <w:tr2bl w:val="nil"/>
                  </w:tcBorders>
                  <w:vAlign w:val="center"/>
                </w:tcPr>
                <w:p w14:paraId="06D8CD58">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文件要求</w:t>
                  </w:r>
                </w:p>
              </w:tc>
              <w:tc>
                <w:tcPr>
                  <w:tcW w:w="1358" w:type="pct"/>
                  <w:tcBorders>
                    <w:tl2br w:val="nil"/>
                    <w:tr2bl w:val="nil"/>
                  </w:tcBorders>
                  <w:vAlign w:val="center"/>
                </w:tcPr>
                <w:p w14:paraId="091E3389">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本项目情况</w:t>
                  </w:r>
                </w:p>
              </w:tc>
              <w:tc>
                <w:tcPr>
                  <w:tcW w:w="581" w:type="pct"/>
                  <w:tcBorders>
                    <w:tl2br w:val="nil"/>
                    <w:tr2bl w:val="nil"/>
                  </w:tcBorders>
                  <w:vAlign w:val="center"/>
                </w:tcPr>
                <w:p w14:paraId="506D59C5">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相符性</w:t>
                  </w:r>
                </w:p>
              </w:tc>
            </w:tr>
            <w:tr w14:paraId="65303E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061" w:type="pct"/>
                  <w:tcBorders>
                    <w:tl2br w:val="nil"/>
                    <w:tr2bl w:val="nil"/>
                  </w:tcBorders>
                  <w:vAlign w:val="center"/>
                </w:tcPr>
                <w:p w14:paraId="21206E39">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1、VOCs 物料应储存于密闭的容器、包装袋、储罐、储库、料仓中。</w:t>
                  </w:r>
                </w:p>
                <w:p w14:paraId="015D50FD">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2、盛装 VOCs 物料的容器或包装袋应存放于室内，或存放于设置有雨棚、遮阳和防渗设施的专用场地。盛装VOCs物料的容器或包装袋在非取用状态时应加盖、封口，保持密闭。</w:t>
                  </w:r>
                </w:p>
              </w:tc>
              <w:tc>
                <w:tcPr>
                  <w:tcW w:w="1358" w:type="pct"/>
                  <w:tcBorders>
                    <w:tl2br w:val="nil"/>
                    <w:tr2bl w:val="nil"/>
                  </w:tcBorders>
                  <w:vAlign w:val="center"/>
                </w:tcPr>
                <w:p w14:paraId="405455C3">
                  <w:pPr>
                    <w:pStyle w:val="7"/>
                    <w:keepNext w:val="0"/>
                    <w:keepLines w:val="0"/>
                    <w:pageBreakBefore w:val="0"/>
                    <w:widowControl/>
                    <w:kinsoku/>
                    <w:wordWrap/>
                    <w:overflowPunct/>
                    <w:topLinePunct w:val="0"/>
                    <w:autoSpaceDE/>
                    <w:autoSpaceDN/>
                    <w:bidi w:val="0"/>
                    <w:adjustRightInd w:val="0"/>
                    <w:spacing w:before="0" w:after="0" w:line="240" w:lineRule="auto"/>
                    <w:ind w:right="0" w:firstLine="0" w:firstLineChars="0"/>
                    <w:jc w:val="left"/>
                    <w:textAlignment w:val="auto"/>
                    <w:rPr>
                      <w:rFonts w:hint="default" w:ascii="Times New Roman" w:hAnsi="Times New Roman" w:eastAsia="宋体"/>
                      <w:caps w:val="0"/>
                      <w:color w:val="000000" w:themeColor="text1"/>
                      <w:sz w:val="21"/>
                      <w:szCs w:val="21"/>
                      <w:highlight w:val="none"/>
                      <w:lang w:val="en-US" w:eastAsia="zh-CN" w:bidi="ar"/>
                      <w14:textFill>
                        <w14:solidFill>
                          <w14:schemeClr w14:val="tx1"/>
                        </w14:solidFill>
                      </w14:textFill>
                    </w:rPr>
                  </w:pPr>
                  <w:r>
                    <w:rPr>
                      <w:rFonts w:hint="eastAsia" w:ascii="Times New Roman" w:hAnsi="Times New Roman" w:eastAsia="宋体"/>
                      <w:caps w:val="0"/>
                      <w:color w:val="000000" w:themeColor="text1"/>
                      <w:sz w:val="21"/>
                      <w:szCs w:val="21"/>
                      <w:highlight w:val="none"/>
                      <w:lang w:bidi="ar"/>
                      <w14:textFill>
                        <w14:solidFill>
                          <w14:schemeClr w14:val="tx1"/>
                        </w14:solidFill>
                      </w14:textFill>
                    </w:rPr>
                    <w:t>项目</w:t>
                  </w:r>
                  <w:r>
                    <w:rPr>
                      <w:rFonts w:hint="eastAsia"/>
                      <w:caps w:val="0"/>
                      <w:color w:val="000000" w:themeColor="text1"/>
                      <w:sz w:val="21"/>
                      <w:szCs w:val="21"/>
                      <w:highlight w:val="none"/>
                      <w:lang w:val="en-US" w:eastAsia="zh-CN" w:bidi="ar"/>
                      <w14:textFill>
                        <w14:solidFill>
                          <w14:schemeClr w14:val="tx1"/>
                        </w14:solidFill>
                      </w14:textFill>
                    </w:rPr>
                    <w:t>VOCs 物料储存于密闭的容器、包装袋、储罐、储库、料仓中并且存放于原料库中，封口。</w:t>
                  </w:r>
                </w:p>
              </w:tc>
              <w:tc>
                <w:tcPr>
                  <w:tcW w:w="581" w:type="pct"/>
                  <w:tcBorders>
                    <w:tl2br w:val="nil"/>
                    <w:tr2bl w:val="nil"/>
                  </w:tcBorders>
                  <w:vAlign w:val="center"/>
                </w:tcPr>
                <w:p w14:paraId="067D8496">
                  <w:pPr>
                    <w:adjustRightInd w:val="0"/>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14:textFill>
                        <w14:solidFill>
                          <w14:schemeClr w14:val="tx1"/>
                        </w14:solidFill>
                      </w14:textFill>
                    </w:rPr>
                    <w:t>相符</w:t>
                  </w:r>
                </w:p>
              </w:tc>
            </w:tr>
            <w:tr w14:paraId="6EE16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061" w:type="pct"/>
                  <w:tcBorders>
                    <w:tl2br w:val="nil"/>
                    <w:tr2bl w:val="nil"/>
                  </w:tcBorders>
                  <w:vAlign w:val="center"/>
                </w:tcPr>
                <w:p w14:paraId="6B9B42EC">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1、液态VOCs物料应采用密闭管道输送。采用非管道输送方式转移液态 VOCs物料时，应采用密闭容器、罐车。</w:t>
                  </w:r>
                </w:p>
                <w:p w14:paraId="2A0AC76E">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2、粉状、粒状VOCs物料应采用气力输送设备、管状带式输送机、螺旋输送机等密闭输送方式，或者采用密闭的包装袋、容器或罐车进行物料转移。</w:t>
                  </w:r>
                </w:p>
              </w:tc>
              <w:tc>
                <w:tcPr>
                  <w:tcW w:w="1358" w:type="pct"/>
                  <w:tcBorders>
                    <w:tl2br w:val="nil"/>
                    <w:tr2bl w:val="nil"/>
                  </w:tcBorders>
                  <w:vAlign w:val="center"/>
                </w:tcPr>
                <w:p w14:paraId="6E96DDAA">
                  <w:pPr>
                    <w:pStyle w:val="7"/>
                    <w:keepNext w:val="0"/>
                    <w:keepLines w:val="0"/>
                    <w:pageBreakBefore w:val="0"/>
                    <w:widowControl/>
                    <w:kinsoku/>
                    <w:wordWrap/>
                    <w:overflowPunct/>
                    <w:topLinePunct w:val="0"/>
                    <w:autoSpaceDE/>
                    <w:autoSpaceDN/>
                    <w:bidi w:val="0"/>
                    <w:adjustRightInd w:val="0"/>
                    <w:spacing w:before="0" w:after="0" w:line="240" w:lineRule="auto"/>
                    <w:ind w:right="0" w:firstLine="0" w:firstLineChars="0"/>
                    <w:jc w:val="left"/>
                    <w:textAlignment w:val="auto"/>
                    <w:rPr>
                      <w:rFonts w:ascii="Times New Roman" w:hAnsi="Times New Roman" w:eastAsia="宋体"/>
                      <w:caps w:val="0"/>
                      <w:color w:val="000000" w:themeColor="text1"/>
                      <w:sz w:val="21"/>
                      <w:szCs w:val="21"/>
                      <w:highlight w:val="none"/>
                      <w:lang w:bidi="ar"/>
                      <w14:textFill>
                        <w14:solidFill>
                          <w14:schemeClr w14:val="tx1"/>
                        </w14:solidFill>
                      </w14:textFill>
                    </w:rPr>
                  </w:pPr>
                  <w:r>
                    <w:rPr>
                      <w:rFonts w:hint="eastAsia" w:ascii="Times New Roman" w:hAnsi="Times New Roman" w:eastAsia="宋体"/>
                      <w:caps w:val="0"/>
                      <w:color w:val="000000" w:themeColor="text1"/>
                      <w:sz w:val="21"/>
                      <w:szCs w:val="21"/>
                      <w:highlight w:val="none"/>
                      <w:lang w:bidi="ar"/>
                      <w14:textFill>
                        <w14:solidFill>
                          <w14:schemeClr w14:val="tx1"/>
                        </w14:solidFill>
                      </w14:textFill>
                    </w:rPr>
                    <w:t>项目粒状VOCs物料采用密闭的包装袋进行物料转移。</w:t>
                  </w:r>
                  <w:r>
                    <w:rPr>
                      <w:rFonts w:hint="eastAsia" w:ascii="Times New Roman" w:hAnsi="Times New Roman" w:eastAsia="宋体"/>
                      <w:caps w:val="0"/>
                      <w:color w:val="000000" w:themeColor="text1"/>
                      <w:sz w:val="21"/>
                      <w:szCs w:val="21"/>
                      <w:highlight w:val="none"/>
                      <w:lang w:val="en-US" w:eastAsia="zh-CN" w:bidi="ar"/>
                      <w14:textFill>
                        <w14:solidFill>
                          <w14:schemeClr w14:val="tx1"/>
                        </w14:solidFill>
                      </w14:textFill>
                    </w:rPr>
                    <w:t>生产过程产生的</w:t>
                  </w:r>
                  <w:r>
                    <w:rPr>
                      <w:rFonts w:hint="eastAsia" w:ascii="Times New Roman" w:hAnsi="Times New Roman" w:eastAsia="宋体"/>
                      <w:caps w:val="0"/>
                      <w:color w:val="000000" w:themeColor="text1"/>
                      <w:sz w:val="21"/>
                      <w:szCs w:val="21"/>
                      <w:highlight w:val="none"/>
                      <w:lang w:bidi="ar"/>
                      <w14:textFill>
                        <w14:solidFill>
                          <w14:schemeClr w14:val="tx1"/>
                        </w14:solidFill>
                      </w14:textFill>
                    </w:rPr>
                    <w:t>有机废气收集后经“二级活性炭吸附”处理，尾气经15米高排气筒排放。</w:t>
                  </w:r>
                </w:p>
              </w:tc>
              <w:tc>
                <w:tcPr>
                  <w:tcW w:w="581" w:type="pct"/>
                  <w:tcBorders>
                    <w:tl2br w:val="nil"/>
                    <w:tr2bl w:val="nil"/>
                  </w:tcBorders>
                  <w:vAlign w:val="center"/>
                </w:tcPr>
                <w:p w14:paraId="69A6B6CC">
                  <w:pPr>
                    <w:adjustRightInd w:val="0"/>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14:textFill>
                        <w14:solidFill>
                          <w14:schemeClr w14:val="tx1"/>
                        </w14:solidFill>
                      </w14:textFill>
                    </w:rPr>
                    <w:t>相符</w:t>
                  </w:r>
                </w:p>
              </w:tc>
            </w:tr>
            <w:tr w14:paraId="71044B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061" w:type="pct"/>
                  <w:tcBorders>
                    <w:tl2br w:val="nil"/>
                    <w:tr2bl w:val="nil"/>
                  </w:tcBorders>
                  <w:vAlign w:val="center"/>
                </w:tcPr>
                <w:p w14:paraId="5CDBA928">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1、液态 VOCs 物料应采用密闭管道输送方式或采用高位槽（罐）、桶泵等给料方式密闭投加。无法密闭投加的，应在密闭空间内操作，或进行局部气体收集，废气应排至 VOCs废气收集处理系统。</w:t>
                  </w:r>
                </w:p>
                <w:p w14:paraId="23D8E470">
                  <w:pPr>
                    <w:keepNext w:val="0"/>
                    <w:keepLines w:val="0"/>
                    <w:pageBreakBefore w:val="0"/>
                    <w:widowControl/>
                    <w:kinsoku/>
                    <w:wordWrap/>
                    <w:overflowPunct/>
                    <w:topLinePunct w:val="0"/>
                    <w:autoSpaceDE/>
                    <w:autoSpaceDN/>
                    <w:bidi w:val="0"/>
                    <w:spacing w:line="240" w:lineRule="auto"/>
                    <w:ind w:right="0" w:firstLine="0" w:firstLineChars="0"/>
                    <w:jc w:val="left"/>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2、粉状、粒状 VOCs 物料应采用气力输送方式或采用密闭固体投料器等给料方式密闭投加。无法密闭投加的，应在密闭空间内操作，或进行局部气体收集，废气应排至除尘设施、VOCs 废气收集处理系统。</w:t>
                  </w:r>
                </w:p>
              </w:tc>
              <w:tc>
                <w:tcPr>
                  <w:tcW w:w="1358" w:type="pct"/>
                  <w:tcBorders>
                    <w:tl2br w:val="nil"/>
                    <w:tr2bl w:val="nil"/>
                  </w:tcBorders>
                  <w:vAlign w:val="center"/>
                </w:tcPr>
                <w:p w14:paraId="1552F581">
                  <w:pPr>
                    <w:pStyle w:val="7"/>
                    <w:keepNext w:val="0"/>
                    <w:keepLines w:val="0"/>
                    <w:pageBreakBefore w:val="0"/>
                    <w:widowControl/>
                    <w:kinsoku/>
                    <w:wordWrap/>
                    <w:overflowPunct/>
                    <w:topLinePunct w:val="0"/>
                    <w:autoSpaceDE/>
                    <w:autoSpaceDN/>
                    <w:bidi w:val="0"/>
                    <w:adjustRightInd w:val="0"/>
                    <w:spacing w:before="0" w:after="0" w:line="240" w:lineRule="auto"/>
                    <w:ind w:right="0" w:firstLine="0" w:firstLineChars="0"/>
                    <w:jc w:val="left"/>
                    <w:textAlignment w:val="auto"/>
                    <w:rPr>
                      <w:rFonts w:ascii="Times New Roman" w:hAnsi="Times New Roman" w:eastAsia="宋体"/>
                      <w:caps w:val="0"/>
                      <w:color w:val="000000" w:themeColor="text1"/>
                      <w:sz w:val="21"/>
                      <w:szCs w:val="21"/>
                      <w:highlight w:val="none"/>
                      <w:lang w:bidi="ar"/>
                      <w14:textFill>
                        <w14:solidFill>
                          <w14:schemeClr w14:val="tx1"/>
                        </w14:solidFill>
                      </w14:textFill>
                    </w:rPr>
                  </w:pPr>
                  <w:r>
                    <w:rPr>
                      <w:rFonts w:hint="eastAsia" w:ascii="Times New Roman" w:hAnsi="Times New Roman" w:eastAsia="宋体"/>
                      <w:caps w:val="0"/>
                      <w:color w:val="auto"/>
                      <w:sz w:val="21"/>
                      <w:szCs w:val="21"/>
                      <w:highlight w:val="none"/>
                      <w:lang w:bidi="ar"/>
                    </w:rPr>
                    <w:t>本项目有机</w:t>
                  </w:r>
                  <w:r>
                    <w:rPr>
                      <w:rFonts w:hint="eastAsia" w:ascii="Times New Roman" w:hAnsi="Times New Roman" w:eastAsia="宋体"/>
                      <w:caps w:val="0"/>
                      <w:color w:val="auto"/>
                      <w:sz w:val="21"/>
                      <w:szCs w:val="21"/>
                      <w:highlight w:val="none"/>
                    </w:rPr>
                    <w:t>废气收集后经“二级活性炭吸附”处理，尾气经15米高排气筒排放。</w:t>
                  </w:r>
                </w:p>
              </w:tc>
              <w:tc>
                <w:tcPr>
                  <w:tcW w:w="581" w:type="pct"/>
                  <w:tcBorders>
                    <w:tl2br w:val="nil"/>
                    <w:tr2bl w:val="nil"/>
                  </w:tcBorders>
                  <w:vAlign w:val="center"/>
                </w:tcPr>
                <w:p w14:paraId="23483228">
                  <w:pPr>
                    <w:adjustRightInd w:val="0"/>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14:textFill>
                        <w14:solidFill>
                          <w14:schemeClr w14:val="tx1"/>
                        </w14:solidFill>
                      </w14:textFill>
                    </w:rPr>
                    <w:t>相符</w:t>
                  </w:r>
                </w:p>
              </w:tc>
            </w:tr>
          </w:tbl>
          <w:p w14:paraId="0FC850C4">
            <w:pPr>
              <w:spacing w:line="360" w:lineRule="auto"/>
              <w:ind w:firstLine="420"/>
              <w:rPr>
                <w:rFonts w:ascii="Times New Roman" w:hAnsi="Times New Roman" w:eastAsia="宋体"/>
                <w:b/>
                <w:bCs/>
                <w:caps w:val="0"/>
                <w:color w:val="000000" w:themeColor="text1"/>
                <w:sz w:val="24"/>
                <w:highlight w:val="none"/>
                <w14:textFill>
                  <w14:solidFill>
                    <w14:schemeClr w14:val="tx1"/>
                  </w14:solidFill>
                </w14:textFill>
              </w:rPr>
            </w:pPr>
            <w:r>
              <w:rPr>
                <w:rFonts w:hint="eastAsia"/>
                <w:b/>
                <w:bCs/>
                <w:caps w:val="0"/>
                <w:color w:val="000000" w:themeColor="text1"/>
                <w:sz w:val="24"/>
                <w:highlight w:val="none"/>
                <w:lang w:val="en-US" w:eastAsia="zh-CN"/>
                <w14:textFill>
                  <w14:solidFill>
                    <w14:schemeClr w14:val="tx1"/>
                  </w14:solidFill>
                </w14:textFill>
              </w:rPr>
              <w:t>7</w:t>
            </w:r>
            <w:r>
              <w:rPr>
                <w:rFonts w:hint="eastAsia" w:ascii="Times New Roman" w:hAnsi="Times New Roman" w:eastAsia="宋体"/>
                <w:b/>
                <w:bCs/>
                <w:caps w:val="0"/>
                <w:color w:val="000000" w:themeColor="text1"/>
                <w:sz w:val="24"/>
                <w:highlight w:val="none"/>
                <w14:textFill>
                  <w14:solidFill>
                    <w14:schemeClr w14:val="tx1"/>
                  </w14:solidFill>
                </w14:textFill>
              </w:rPr>
              <w:t>、《长江经济带发展负面清单指南（试行，2022年版）》相符性</w:t>
            </w:r>
          </w:p>
          <w:p w14:paraId="62B389D6">
            <w:pPr>
              <w:spacing w:line="360" w:lineRule="auto"/>
              <w:ind w:firstLine="420"/>
              <w:rPr>
                <w:rFonts w:ascii="Times New Roman" w:hAnsi="Times New Roman" w:eastAsia="宋体"/>
                <w:b/>
                <w:bCs/>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根据《长江经济带发展负面清单指南（试行，2022年版）》，本项目与负面清单相符性分析见下表。</w:t>
            </w:r>
          </w:p>
          <w:p w14:paraId="766A3A1B">
            <w:pPr>
              <w:adjustRightInd w:val="0"/>
              <w:snapToGrid w:val="0"/>
              <w:jc w:val="center"/>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表1-</w:t>
            </w:r>
            <w:r>
              <w:rPr>
                <w:rFonts w:hint="eastAsia"/>
                <w:b/>
                <w:bCs/>
                <w:caps w:val="0"/>
                <w:color w:val="000000" w:themeColor="text1"/>
                <w:sz w:val="24"/>
                <w:highlight w:val="none"/>
                <w:lang w:val="en-US" w:eastAsia="zh-CN"/>
                <w14:textFill>
                  <w14:solidFill>
                    <w14:schemeClr w14:val="tx1"/>
                  </w14:solidFill>
                </w14:textFill>
              </w:rPr>
              <w:t>7</w:t>
            </w:r>
            <w:r>
              <w:rPr>
                <w:rFonts w:hint="eastAsia" w:ascii="Times New Roman" w:hAnsi="Times New Roman" w:eastAsia="宋体"/>
                <w:b/>
                <w:bCs/>
                <w:caps w:val="0"/>
                <w:color w:val="000000" w:themeColor="text1"/>
                <w:sz w:val="24"/>
                <w:highlight w:val="none"/>
                <w14:textFill>
                  <w14:solidFill>
                    <w14:schemeClr w14:val="tx1"/>
                  </w14:solidFill>
                </w14:textFill>
              </w:rPr>
              <w:t>本项目与长江经济带发展负面清单指南相符性分析</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1" w:type="dxa"/>
                <w:left w:w="28" w:type="dxa"/>
                <w:bottom w:w="11" w:type="dxa"/>
                <w:right w:w="28" w:type="dxa"/>
              </w:tblCellMar>
            </w:tblPr>
            <w:tblGrid>
              <w:gridCol w:w="577"/>
              <w:gridCol w:w="3016"/>
              <w:gridCol w:w="3037"/>
              <w:gridCol w:w="752"/>
            </w:tblGrid>
            <w:tr w14:paraId="76B505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blHeader/>
                <w:jc w:val="center"/>
              </w:trPr>
              <w:tc>
                <w:tcPr>
                  <w:tcW w:w="391" w:type="pct"/>
                  <w:tcBorders>
                    <w:tl2br w:val="nil"/>
                    <w:tr2bl w:val="nil"/>
                  </w:tcBorders>
                  <w:vAlign w:val="center"/>
                </w:tcPr>
                <w:p w14:paraId="779D0122">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序号</w:t>
                  </w:r>
                </w:p>
              </w:tc>
              <w:tc>
                <w:tcPr>
                  <w:tcW w:w="2043" w:type="pct"/>
                  <w:tcBorders>
                    <w:tl2br w:val="nil"/>
                    <w:tr2bl w:val="nil"/>
                  </w:tcBorders>
                  <w:vAlign w:val="center"/>
                </w:tcPr>
                <w:p w14:paraId="116B07B9">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文件要求</w:t>
                  </w:r>
                </w:p>
              </w:tc>
              <w:tc>
                <w:tcPr>
                  <w:tcW w:w="2057" w:type="pct"/>
                  <w:tcBorders>
                    <w:tl2br w:val="nil"/>
                    <w:tr2bl w:val="nil"/>
                  </w:tcBorders>
                  <w:vAlign w:val="center"/>
                </w:tcPr>
                <w:p w14:paraId="16C9FF20">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本项目情况</w:t>
                  </w:r>
                </w:p>
              </w:tc>
              <w:tc>
                <w:tcPr>
                  <w:tcW w:w="509" w:type="pct"/>
                  <w:tcBorders>
                    <w:tl2br w:val="nil"/>
                    <w:tr2bl w:val="nil"/>
                  </w:tcBorders>
                  <w:vAlign w:val="center"/>
                </w:tcPr>
                <w:p w14:paraId="54DFE682">
                  <w:pPr>
                    <w:adjustRightInd w:val="0"/>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相符性</w:t>
                  </w:r>
                </w:p>
              </w:tc>
            </w:tr>
            <w:tr w14:paraId="64096B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91" w:type="pct"/>
                  <w:tcBorders>
                    <w:tl2br w:val="nil"/>
                    <w:tr2bl w:val="nil"/>
                  </w:tcBorders>
                  <w:vAlign w:val="center"/>
                </w:tcPr>
                <w:p w14:paraId="3388EAFE">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1</w:t>
                  </w:r>
                </w:p>
              </w:tc>
              <w:tc>
                <w:tcPr>
                  <w:tcW w:w="2043" w:type="pct"/>
                  <w:tcBorders>
                    <w:tl2br w:val="nil"/>
                    <w:tr2bl w:val="nil"/>
                  </w:tcBorders>
                  <w:vAlign w:val="center"/>
                </w:tcPr>
                <w:p w14:paraId="2262C5FE">
                  <w:pPr>
                    <w:keepNext w:val="0"/>
                    <w:keepLines w:val="0"/>
                    <w:pageBreakBefore w:val="0"/>
                    <w:widowControl/>
                    <w:kinsoku/>
                    <w:wordWrap/>
                    <w:overflowPunct/>
                    <w:topLinePunct w:val="0"/>
                    <w:autoSpaceDE/>
                    <w:autoSpaceDN/>
                    <w:bidi w:val="0"/>
                    <w:ind w:firstLine="0" w:firstLineChars="0"/>
                    <w:jc w:val="left"/>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2057" w:type="pct"/>
                  <w:tcBorders>
                    <w:tl2br w:val="nil"/>
                    <w:tr2bl w:val="nil"/>
                  </w:tcBorders>
                  <w:vAlign w:val="center"/>
                </w:tcPr>
                <w:p w14:paraId="53286075">
                  <w:pPr>
                    <w:pStyle w:val="7"/>
                    <w:keepNext w:val="0"/>
                    <w:keepLines w:val="0"/>
                    <w:pageBreakBefore w:val="0"/>
                    <w:widowControl/>
                    <w:kinsoku/>
                    <w:wordWrap/>
                    <w:overflowPunct/>
                    <w:topLinePunct w:val="0"/>
                    <w:autoSpaceDE/>
                    <w:autoSpaceDN/>
                    <w:bidi w:val="0"/>
                    <w:adjustRightInd w:val="0"/>
                    <w:spacing w:line="240" w:lineRule="auto"/>
                    <w:ind w:firstLine="0" w:firstLineChars="0"/>
                    <w:jc w:val="left"/>
                    <w:textAlignment w:val="auto"/>
                    <w:rPr>
                      <w:rFonts w:ascii="Times New Roman" w:hAnsi="Times New Roman" w:eastAsia="宋体"/>
                      <w:caps w:val="0"/>
                      <w:color w:val="000000" w:themeColor="text1"/>
                      <w:sz w:val="21"/>
                      <w:szCs w:val="21"/>
                      <w:highlight w:val="none"/>
                      <w:lang w:bidi="ar"/>
                      <w14:textFill>
                        <w14:solidFill>
                          <w14:schemeClr w14:val="tx1"/>
                        </w14:solidFill>
                      </w14:textFill>
                    </w:rPr>
                  </w:pPr>
                  <w:r>
                    <w:rPr>
                      <w:rFonts w:hint="eastAsia" w:ascii="Times New Roman" w:hAnsi="Times New Roman" w:eastAsia="宋体"/>
                      <w:caps w:val="0"/>
                      <w:color w:val="000000" w:themeColor="text1"/>
                      <w:sz w:val="21"/>
                      <w:szCs w:val="21"/>
                      <w:highlight w:val="none"/>
                      <w:lang w:bidi="ar"/>
                      <w14:textFill>
                        <w14:solidFill>
                          <w14:schemeClr w14:val="tx1"/>
                        </w14:solidFill>
                      </w14:textFill>
                    </w:rPr>
                    <w:t>本项目距离长江干流岸线4.7km，距离青弋江7km，距离漳河0.8km，本项目不属于化工项目、尾矿库、冶炼渣库和磷石膏库项目。项目不属于长江干流及主要支流岸线一公里、三公里范围内禁止建设项目。</w:t>
                  </w:r>
                </w:p>
              </w:tc>
              <w:tc>
                <w:tcPr>
                  <w:tcW w:w="509" w:type="pct"/>
                  <w:tcBorders>
                    <w:tl2br w:val="nil"/>
                    <w:tr2bl w:val="nil"/>
                  </w:tcBorders>
                  <w:vAlign w:val="center"/>
                </w:tcPr>
                <w:p w14:paraId="404A4400">
                  <w:pPr>
                    <w:adjustRightInd w:val="0"/>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14:textFill>
                        <w14:solidFill>
                          <w14:schemeClr w14:val="tx1"/>
                        </w14:solidFill>
                      </w14:textFill>
                    </w:rPr>
                    <w:t>相符</w:t>
                  </w:r>
                </w:p>
              </w:tc>
            </w:tr>
            <w:tr w14:paraId="0C603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91" w:type="pct"/>
                  <w:tcBorders>
                    <w:tl2br w:val="nil"/>
                    <w:tr2bl w:val="nil"/>
                  </w:tcBorders>
                  <w:vAlign w:val="center"/>
                </w:tcPr>
                <w:p w14:paraId="1E455260">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2</w:t>
                  </w:r>
                </w:p>
              </w:tc>
              <w:tc>
                <w:tcPr>
                  <w:tcW w:w="2043" w:type="pct"/>
                  <w:tcBorders>
                    <w:tl2br w:val="nil"/>
                    <w:tr2bl w:val="nil"/>
                  </w:tcBorders>
                  <w:vAlign w:val="center"/>
                </w:tcPr>
                <w:p w14:paraId="2CAAD990">
                  <w:pPr>
                    <w:keepNext w:val="0"/>
                    <w:keepLines w:val="0"/>
                    <w:pageBreakBefore w:val="0"/>
                    <w:widowControl/>
                    <w:kinsoku/>
                    <w:wordWrap/>
                    <w:overflowPunct/>
                    <w:topLinePunct w:val="0"/>
                    <w:autoSpaceDE/>
                    <w:autoSpaceDN/>
                    <w:bidi w:val="0"/>
                    <w:ind w:firstLine="0" w:firstLineChars="0"/>
                    <w:jc w:val="left"/>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禁止在合规园区外新建、扩建钢铁、石化、化工、焦化、建材、有色、制浆造纸等高污染项目。</w:t>
                  </w:r>
                </w:p>
              </w:tc>
              <w:tc>
                <w:tcPr>
                  <w:tcW w:w="2057" w:type="pct"/>
                  <w:tcBorders>
                    <w:tl2br w:val="nil"/>
                    <w:tr2bl w:val="nil"/>
                  </w:tcBorders>
                  <w:vAlign w:val="center"/>
                </w:tcPr>
                <w:p w14:paraId="3082A083">
                  <w:pPr>
                    <w:pStyle w:val="7"/>
                    <w:keepNext w:val="0"/>
                    <w:keepLines w:val="0"/>
                    <w:pageBreakBefore w:val="0"/>
                    <w:widowControl/>
                    <w:kinsoku/>
                    <w:wordWrap/>
                    <w:overflowPunct/>
                    <w:topLinePunct w:val="0"/>
                    <w:autoSpaceDE/>
                    <w:autoSpaceDN/>
                    <w:bidi w:val="0"/>
                    <w:adjustRightInd w:val="0"/>
                    <w:ind w:firstLine="0" w:firstLineChars="0"/>
                    <w:jc w:val="left"/>
                    <w:textAlignment w:val="auto"/>
                    <w:rPr>
                      <w:rFonts w:ascii="Times New Roman" w:hAnsi="Times New Roman" w:eastAsia="宋体"/>
                      <w:caps w:val="0"/>
                      <w:color w:val="000000" w:themeColor="text1"/>
                      <w:sz w:val="21"/>
                      <w:szCs w:val="21"/>
                      <w:highlight w:val="none"/>
                      <w:lang w:bidi="ar"/>
                      <w14:textFill>
                        <w14:solidFill>
                          <w14:schemeClr w14:val="tx1"/>
                        </w14:solidFill>
                      </w14:textFill>
                    </w:rPr>
                  </w:pPr>
                  <w:r>
                    <w:rPr>
                      <w:rFonts w:hint="eastAsia" w:ascii="Times New Roman" w:hAnsi="Times New Roman" w:eastAsia="宋体"/>
                      <w:caps w:val="0"/>
                      <w:color w:val="000000" w:themeColor="text1"/>
                      <w:sz w:val="21"/>
                      <w:szCs w:val="21"/>
                      <w:highlight w:val="none"/>
                      <w:lang w:bidi="ar"/>
                      <w14:textFill>
                        <w14:solidFill>
                          <w14:schemeClr w14:val="tx1"/>
                        </w14:solidFill>
                      </w14:textFill>
                    </w:rPr>
                    <w:t>本项目位于芜湖高新技术产业开发区内，且本项目不属于钢铁、石化、化工、焦化、建材、有色、制浆造纸等高污染项目。</w:t>
                  </w:r>
                </w:p>
              </w:tc>
              <w:tc>
                <w:tcPr>
                  <w:tcW w:w="509" w:type="pct"/>
                  <w:tcBorders>
                    <w:tl2br w:val="nil"/>
                    <w:tr2bl w:val="nil"/>
                  </w:tcBorders>
                  <w:vAlign w:val="center"/>
                </w:tcPr>
                <w:p w14:paraId="53C2880F">
                  <w:pPr>
                    <w:adjustRightInd w:val="0"/>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14:textFill>
                        <w14:solidFill>
                          <w14:schemeClr w14:val="tx1"/>
                        </w14:solidFill>
                      </w14:textFill>
                    </w:rPr>
                    <w:t>相符</w:t>
                  </w:r>
                </w:p>
              </w:tc>
            </w:tr>
            <w:tr w14:paraId="7A7113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91" w:type="pct"/>
                  <w:tcBorders>
                    <w:tl2br w:val="nil"/>
                    <w:tr2bl w:val="nil"/>
                  </w:tcBorders>
                  <w:vAlign w:val="center"/>
                </w:tcPr>
                <w:p w14:paraId="7149415B">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3</w:t>
                  </w:r>
                </w:p>
              </w:tc>
              <w:tc>
                <w:tcPr>
                  <w:tcW w:w="2043" w:type="pct"/>
                  <w:tcBorders>
                    <w:tl2br w:val="nil"/>
                    <w:tr2bl w:val="nil"/>
                  </w:tcBorders>
                  <w:vAlign w:val="center"/>
                </w:tcPr>
                <w:p w14:paraId="3C62A062">
                  <w:pPr>
                    <w:keepNext w:val="0"/>
                    <w:keepLines w:val="0"/>
                    <w:pageBreakBefore w:val="0"/>
                    <w:widowControl/>
                    <w:kinsoku/>
                    <w:wordWrap/>
                    <w:overflowPunct/>
                    <w:topLinePunct w:val="0"/>
                    <w:autoSpaceDE/>
                    <w:autoSpaceDN/>
                    <w:bidi w:val="0"/>
                    <w:ind w:firstLine="0" w:firstLineChars="0"/>
                    <w:jc w:val="left"/>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禁止新建、扩建不符合国家石化、现代煤化工等产业布局规划的项目。</w:t>
                  </w:r>
                </w:p>
              </w:tc>
              <w:tc>
                <w:tcPr>
                  <w:tcW w:w="2057" w:type="pct"/>
                  <w:tcBorders>
                    <w:tl2br w:val="nil"/>
                    <w:tr2bl w:val="nil"/>
                  </w:tcBorders>
                  <w:vAlign w:val="center"/>
                </w:tcPr>
                <w:p w14:paraId="2C553045">
                  <w:pPr>
                    <w:pStyle w:val="7"/>
                    <w:keepNext w:val="0"/>
                    <w:keepLines w:val="0"/>
                    <w:pageBreakBefore w:val="0"/>
                    <w:widowControl/>
                    <w:kinsoku/>
                    <w:wordWrap/>
                    <w:overflowPunct/>
                    <w:topLinePunct w:val="0"/>
                    <w:autoSpaceDE/>
                    <w:autoSpaceDN/>
                    <w:bidi w:val="0"/>
                    <w:adjustRightInd w:val="0"/>
                    <w:ind w:firstLine="0" w:firstLineChars="0"/>
                    <w:jc w:val="left"/>
                    <w:textAlignment w:val="auto"/>
                    <w:rPr>
                      <w:rFonts w:ascii="Times New Roman" w:hAnsi="Times New Roman" w:eastAsia="宋体"/>
                      <w:caps w:val="0"/>
                      <w:color w:val="000000" w:themeColor="text1"/>
                      <w:sz w:val="21"/>
                      <w:szCs w:val="21"/>
                      <w:highlight w:val="none"/>
                      <w:lang w:bidi="ar"/>
                      <w14:textFill>
                        <w14:solidFill>
                          <w14:schemeClr w14:val="tx1"/>
                        </w14:solidFill>
                      </w14:textFill>
                    </w:rPr>
                  </w:pPr>
                  <w:r>
                    <w:rPr>
                      <w:rFonts w:hint="eastAsia" w:ascii="Times New Roman" w:hAnsi="Times New Roman" w:eastAsia="宋体"/>
                      <w:caps w:val="0"/>
                      <w:color w:val="000000" w:themeColor="text1"/>
                      <w:sz w:val="21"/>
                      <w:szCs w:val="21"/>
                      <w:highlight w:val="none"/>
                      <w:lang w:bidi="ar"/>
                      <w14:textFill>
                        <w14:solidFill>
                          <w14:schemeClr w14:val="tx1"/>
                        </w14:solidFill>
                      </w14:textFill>
                    </w:rPr>
                    <w:t>本项目不属于石化、现代煤化工等不符合国家产业布局规划的项目。</w:t>
                  </w:r>
                </w:p>
              </w:tc>
              <w:tc>
                <w:tcPr>
                  <w:tcW w:w="509" w:type="pct"/>
                  <w:tcBorders>
                    <w:tl2br w:val="nil"/>
                    <w:tr2bl w:val="nil"/>
                  </w:tcBorders>
                  <w:vAlign w:val="center"/>
                </w:tcPr>
                <w:p w14:paraId="50869A22">
                  <w:pPr>
                    <w:adjustRightInd w:val="0"/>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14:textFill>
                        <w14:solidFill>
                          <w14:schemeClr w14:val="tx1"/>
                        </w14:solidFill>
                      </w14:textFill>
                    </w:rPr>
                    <w:t>相符</w:t>
                  </w:r>
                </w:p>
              </w:tc>
            </w:tr>
            <w:tr w14:paraId="429168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1" w:type="dxa"/>
                  <w:left w:w="28" w:type="dxa"/>
                  <w:bottom w:w="11" w:type="dxa"/>
                  <w:right w:w="28" w:type="dxa"/>
                </w:tblCellMar>
              </w:tblPrEx>
              <w:trPr>
                <w:jc w:val="center"/>
              </w:trPr>
              <w:tc>
                <w:tcPr>
                  <w:tcW w:w="391" w:type="pct"/>
                  <w:tcBorders>
                    <w:tl2br w:val="nil"/>
                    <w:tr2bl w:val="nil"/>
                  </w:tcBorders>
                  <w:vAlign w:val="center"/>
                </w:tcPr>
                <w:p w14:paraId="3C73328B">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4</w:t>
                  </w:r>
                </w:p>
              </w:tc>
              <w:tc>
                <w:tcPr>
                  <w:tcW w:w="2043" w:type="pct"/>
                  <w:tcBorders>
                    <w:tl2br w:val="nil"/>
                    <w:tr2bl w:val="nil"/>
                  </w:tcBorders>
                  <w:vAlign w:val="center"/>
                </w:tcPr>
                <w:p w14:paraId="74DF3097">
                  <w:pPr>
                    <w:keepNext w:val="0"/>
                    <w:keepLines w:val="0"/>
                    <w:pageBreakBefore w:val="0"/>
                    <w:widowControl/>
                    <w:kinsoku/>
                    <w:wordWrap/>
                    <w:overflowPunct/>
                    <w:topLinePunct w:val="0"/>
                    <w:autoSpaceDE/>
                    <w:autoSpaceDN/>
                    <w:bidi w:val="0"/>
                    <w:ind w:firstLine="0" w:firstLineChars="0"/>
                    <w:jc w:val="left"/>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禁止新建、扩建法律法规和相关政策明令禁止的落 产能项目。禁止新建、扩建不符合国家产能置换要求的严重过剩产能行业的项目。禁止新建、扩建不符合要求的高耗能高排放项目。</w:t>
                  </w:r>
                </w:p>
              </w:tc>
              <w:tc>
                <w:tcPr>
                  <w:tcW w:w="2057" w:type="pct"/>
                  <w:tcBorders>
                    <w:tl2br w:val="nil"/>
                    <w:tr2bl w:val="nil"/>
                  </w:tcBorders>
                  <w:vAlign w:val="center"/>
                </w:tcPr>
                <w:p w14:paraId="10DB5724">
                  <w:pPr>
                    <w:pStyle w:val="7"/>
                    <w:keepNext w:val="0"/>
                    <w:keepLines w:val="0"/>
                    <w:pageBreakBefore w:val="0"/>
                    <w:widowControl/>
                    <w:kinsoku/>
                    <w:wordWrap/>
                    <w:overflowPunct/>
                    <w:topLinePunct w:val="0"/>
                    <w:autoSpaceDE/>
                    <w:autoSpaceDN/>
                    <w:bidi w:val="0"/>
                    <w:adjustRightInd w:val="0"/>
                    <w:ind w:firstLine="0" w:firstLineChars="0"/>
                    <w:jc w:val="left"/>
                    <w:textAlignment w:val="auto"/>
                    <w:rPr>
                      <w:rFonts w:ascii="Times New Roman" w:hAnsi="Times New Roman" w:eastAsia="宋体"/>
                      <w:caps w:val="0"/>
                      <w:color w:val="000000" w:themeColor="text1"/>
                      <w:sz w:val="21"/>
                      <w:szCs w:val="21"/>
                      <w:highlight w:val="none"/>
                      <w:lang w:bidi="ar"/>
                      <w14:textFill>
                        <w14:solidFill>
                          <w14:schemeClr w14:val="tx1"/>
                        </w14:solidFill>
                      </w14:textFill>
                    </w:rPr>
                  </w:pPr>
                  <w:r>
                    <w:rPr>
                      <w:rFonts w:hint="eastAsia" w:ascii="Times New Roman" w:hAnsi="Times New Roman" w:eastAsia="宋体"/>
                      <w:caps w:val="0"/>
                      <w:color w:val="000000" w:themeColor="text1"/>
                      <w:sz w:val="21"/>
                      <w:szCs w:val="21"/>
                      <w:highlight w:val="none"/>
                      <w:lang w:bidi="ar"/>
                      <w14:textFill>
                        <w14:solidFill>
                          <w14:schemeClr w14:val="tx1"/>
                        </w14:solidFill>
                      </w14:textFill>
                    </w:rPr>
                    <w:t>本项目不属于《产业结构调整指导目录（20</w:t>
                  </w:r>
                  <w:r>
                    <w:rPr>
                      <w:rFonts w:hint="eastAsia" w:ascii="Times New Roman" w:hAnsi="Times New Roman" w:eastAsia="宋体"/>
                      <w:caps w:val="0"/>
                      <w:color w:val="000000" w:themeColor="text1"/>
                      <w:sz w:val="21"/>
                      <w:szCs w:val="21"/>
                      <w:highlight w:val="none"/>
                      <w:lang w:val="en-US" w:eastAsia="zh-CN" w:bidi="ar"/>
                      <w14:textFill>
                        <w14:solidFill>
                          <w14:schemeClr w14:val="tx1"/>
                        </w14:solidFill>
                      </w14:textFill>
                    </w:rPr>
                    <w:t>24</w:t>
                  </w:r>
                  <w:r>
                    <w:rPr>
                      <w:rFonts w:hint="eastAsia" w:ascii="Times New Roman" w:hAnsi="Times New Roman" w:eastAsia="宋体"/>
                      <w:caps w:val="0"/>
                      <w:color w:val="000000" w:themeColor="text1"/>
                      <w:sz w:val="21"/>
                      <w:szCs w:val="21"/>
                      <w:highlight w:val="none"/>
                      <w:lang w:bidi="ar"/>
                      <w14:textFill>
                        <w14:solidFill>
                          <w14:schemeClr w14:val="tx1"/>
                        </w14:solidFill>
                      </w14:textFill>
                    </w:rPr>
                    <w:t>年本）》中淘汰类或限制类项目，项目符合国家和地方产业政策。不属于落后产能项目，不属于过剩产能行业项目，不属于高耗能高排放项目。</w:t>
                  </w:r>
                </w:p>
              </w:tc>
              <w:tc>
                <w:tcPr>
                  <w:tcW w:w="509" w:type="pct"/>
                  <w:tcBorders>
                    <w:tl2br w:val="nil"/>
                    <w:tr2bl w:val="nil"/>
                  </w:tcBorders>
                  <w:vAlign w:val="center"/>
                </w:tcPr>
                <w:p w14:paraId="38DDA15D">
                  <w:pPr>
                    <w:adjustRightInd w:val="0"/>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14:textFill>
                        <w14:solidFill>
                          <w14:schemeClr w14:val="tx1"/>
                        </w14:solidFill>
                      </w14:textFill>
                    </w:rPr>
                    <w:t>相符</w:t>
                  </w:r>
                </w:p>
              </w:tc>
            </w:tr>
          </w:tbl>
          <w:p w14:paraId="49FE4B6A">
            <w:pPr>
              <w:spacing w:line="360" w:lineRule="auto"/>
              <w:ind w:firstLine="420"/>
              <w:rPr>
                <w:rFonts w:ascii="Times New Roman" w:hAnsi="Times New Roman" w:eastAsia="宋体"/>
                <w:b/>
                <w:bCs/>
                <w:caps w:val="0"/>
                <w:color w:val="000000" w:themeColor="text1"/>
                <w:sz w:val="24"/>
                <w:highlight w:val="none"/>
                <w14:textFill>
                  <w14:solidFill>
                    <w14:schemeClr w14:val="tx1"/>
                  </w14:solidFill>
                </w14:textFill>
              </w:rPr>
            </w:pPr>
            <w:r>
              <w:rPr>
                <w:rFonts w:hint="eastAsia"/>
                <w:b/>
                <w:bCs/>
                <w:caps w:val="0"/>
                <w:color w:val="000000" w:themeColor="text1"/>
                <w:sz w:val="24"/>
                <w:highlight w:val="none"/>
                <w:lang w:val="en-US" w:eastAsia="zh-CN"/>
                <w14:textFill>
                  <w14:solidFill>
                    <w14:schemeClr w14:val="tx1"/>
                  </w14:solidFill>
                </w14:textFill>
              </w:rPr>
              <w:t>8</w:t>
            </w:r>
            <w:r>
              <w:rPr>
                <w:rFonts w:hint="eastAsia" w:ascii="Times New Roman" w:hAnsi="Times New Roman" w:eastAsia="宋体"/>
                <w:b/>
                <w:bCs/>
                <w:caps w:val="0"/>
                <w:color w:val="000000" w:themeColor="text1"/>
                <w:sz w:val="24"/>
                <w:highlight w:val="none"/>
                <w14:textFill>
                  <w14:solidFill>
                    <w14:schemeClr w14:val="tx1"/>
                  </w14:solidFill>
                </w14:textFill>
              </w:rPr>
              <w:t>、与《中华人民共和国长江保护法》相符性</w:t>
            </w:r>
          </w:p>
          <w:p w14:paraId="24681925">
            <w:pPr>
              <w:spacing w:line="360" w:lineRule="auto"/>
              <w:ind w:firstLine="42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根据《中华人民共和国长江保护法》（2020年12月26日颁布，2021年3月1日实施）：</w:t>
            </w:r>
          </w:p>
          <w:p w14:paraId="5AC676C6">
            <w:pPr>
              <w:spacing w:line="360" w:lineRule="auto"/>
              <w:ind w:firstLine="42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第二十六条、禁止在长江干流岸线一公里范围内新建、扩建化工园区和化工项目。禁止在长江干流岸线三公里范围内和重要支流一公里范围内新建、改建、扩建尾矿库；但是以提升安全、生态保护水平为目的的改建除外。</w:t>
            </w:r>
          </w:p>
          <w:p w14:paraId="0FDD52C2">
            <w:pPr>
              <w:spacing w:line="360" w:lineRule="auto"/>
              <w:ind w:firstLine="42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相符性分析：本项目距离长江干流岸线4.7km，距离青弋江7km，距离漳河0.8km；项目不属于化工项目，不属于尾矿库项目；项目建设符合《中华人民共和国长江保护法》要求。</w:t>
            </w:r>
          </w:p>
          <w:p w14:paraId="540F9E95">
            <w:pPr>
              <w:numPr>
                <w:ilvl w:val="0"/>
                <w:numId w:val="0"/>
              </w:numPr>
              <w:snapToGrid w:val="0"/>
              <w:spacing w:line="440" w:lineRule="exact"/>
              <w:ind w:firstLine="482" w:firstLineChars="200"/>
              <w:rPr>
                <w:b/>
                <w:bCs/>
                <w:sz w:val="24"/>
              </w:rPr>
            </w:pPr>
            <w:r>
              <w:rPr>
                <w:rFonts w:hint="eastAsia"/>
                <w:b/>
                <w:bCs/>
                <w:sz w:val="24"/>
                <w:lang w:val="en-US" w:eastAsia="zh-CN"/>
              </w:rPr>
              <w:t>9、</w:t>
            </w:r>
            <w:r>
              <w:rPr>
                <w:b/>
                <w:bCs/>
                <w:sz w:val="24"/>
              </w:rPr>
              <w:t>与</w:t>
            </w:r>
            <w:r>
              <w:rPr>
                <w:rFonts w:hint="eastAsia"/>
                <w:b/>
                <w:bCs/>
                <w:sz w:val="24"/>
              </w:rPr>
              <w:t>《空气质量持续改善行动计划》的通知（国发〔2023〕24号）</w:t>
            </w:r>
            <w:r>
              <w:rPr>
                <w:b/>
                <w:bCs/>
                <w:sz w:val="24"/>
              </w:rPr>
              <w:t>相符性分析</w:t>
            </w:r>
          </w:p>
          <w:p w14:paraId="445CAFF2">
            <w:pPr>
              <w:pStyle w:val="9"/>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与本项目相关的《空气质量持续改善行动计划》的通知（国发</w:t>
            </w:r>
            <w:r>
              <w:rPr>
                <w:rFonts w:hint="eastAsia" w:ascii="微软雅黑" w:hAnsi="微软雅黑" w:eastAsia="微软雅黑" w:cs="微软雅黑"/>
                <w:sz w:val="24"/>
                <w:szCs w:val="24"/>
                <w:lang w:val="en-US" w:eastAsia="zh-CN"/>
              </w:rPr>
              <w:t>〔</w:t>
            </w:r>
            <w:r>
              <w:rPr>
                <w:rFonts w:hint="default" w:ascii="Times New Roman" w:hAnsi="Times New Roman" w:cs="Times New Roman"/>
                <w:sz w:val="24"/>
                <w:szCs w:val="24"/>
              </w:rPr>
              <w:t>2023</w:t>
            </w:r>
            <w:r>
              <w:rPr>
                <w:rFonts w:hint="eastAsia" w:ascii="微软雅黑" w:hAnsi="微软雅黑" w:eastAsia="微软雅黑" w:cs="微软雅黑"/>
                <w:sz w:val="24"/>
                <w:szCs w:val="24"/>
                <w:lang w:val="en-US" w:eastAsia="zh-CN"/>
              </w:rPr>
              <w:t>〕</w:t>
            </w:r>
            <w:r>
              <w:rPr>
                <w:rFonts w:hint="default" w:ascii="Times New Roman" w:hAnsi="Times New Roman" w:cs="Times New Roman"/>
                <w:sz w:val="24"/>
                <w:szCs w:val="24"/>
              </w:rPr>
              <w:t>24号）相符性分析见下表。</w:t>
            </w:r>
          </w:p>
          <w:p w14:paraId="4D1AD3D7">
            <w:pPr>
              <w:widowControl/>
              <w:numPr>
                <w:ilvl w:val="0"/>
                <w:numId w:val="0"/>
              </w:numPr>
              <w:adjustRightInd w:val="0"/>
              <w:spacing w:line="440" w:lineRule="exact"/>
              <w:ind w:left="425" w:leftChars="0"/>
              <w:jc w:val="both"/>
              <w:rPr>
                <w:rFonts w:hint="default" w:ascii="Times New Roman" w:hAnsi="Times New Roman" w:cs="Times New Roman"/>
              </w:rPr>
            </w:pPr>
            <w:r>
              <w:rPr>
                <w:rFonts w:hint="default" w:ascii="Times New Roman" w:hAnsi="Times New Roman" w:cs="Times New Roman"/>
                <w:b/>
                <w:bCs/>
                <w:kern w:val="0"/>
                <w:sz w:val="24"/>
                <w:lang w:val="en-US" w:eastAsia="zh-CN" w:bidi="ar"/>
              </w:rPr>
              <w:t xml:space="preserve">表1-8 </w:t>
            </w:r>
            <w:r>
              <w:rPr>
                <w:rFonts w:hint="default" w:ascii="Times New Roman" w:hAnsi="Times New Roman" w:cs="Times New Roman"/>
                <w:b/>
                <w:bCs/>
                <w:kern w:val="0"/>
                <w:sz w:val="24"/>
                <w:lang w:bidi="ar"/>
              </w:rPr>
              <w:t>与</w:t>
            </w:r>
            <w:r>
              <w:rPr>
                <w:rFonts w:hint="default" w:ascii="Times New Roman" w:hAnsi="Times New Roman" w:cs="Times New Roman"/>
                <w:b/>
                <w:bCs/>
                <w:sz w:val="24"/>
              </w:rPr>
              <w:t>《空气质量持续改善行动计划》</w:t>
            </w:r>
            <w:r>
              <w:rPr>
                <w:rFonts w:hint="default" w:ascii="Times New Roman" w:hAnsi="Times New Roman" w:cs="Times New Roman"/>
                <w:b/>
                <w:bCs/>
                <w:kern w:val="0"/>
                <w:sz w:val="24"/>
                <w:lang w:bidi="ar"/>
              </w:rPr>
              <w:t>相符性分析一览表</w:t>
            </w:r>
          </w:p>
          <w:tbl>
            <w:tblPr>
              <w:tblStyle w:val="21"/>
              <w:tblW w:w="74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90"/>
              <w:gridCol w:w="4750"/>
              <w:gridCol w:w="1410"/>
              <w:gridCol w:w="668"/>
            </w:tblGrid>
            <w:tr w14:paraId="226AC8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590" w:type="dxa"/>
                  <w:noWrap w:val="0"/>
                  <w:vAlign w:val="center"/>
                </w:tcPr>
                <w:p w14:paraId="30960F81">
                  <w:pPr>
                    <w:jc w:val="center"/>
                    <w:rPr>
                      <w:rFonts w:hint="eastAsia"/>
                      <w:b/>
                      <w:bCs/>
                      <w:szCs w:val="21"/>
                    </w:rPr>
                  </w:pPr>
                  <w:r>
                    <w:rPr>
                      <w:rFonts w:hint="eastAsia"/>
                      <w:b/>
                      <w:bCs/>
                      <w:szCs w:val="21"/>
                    </w:rPr>
                    <w:t>序号</w:t>
                  </w:r>
                </w:p>
              </w:tc>
              <w:tc>
                <w:tcPr>
                  <w:tcW w:w="4750" w:type="dxa"/>
                  <w:noWrap w:val="0"/>
                  <w:vAlign w:val="center"/>
                </w:tcPr>
                <w:p w14:paraId="3BC6C239">
                  <w:pPr>
                    <w:jc w:val="center"/>
                    <w:rPr>
                      <w:b/>
                      <w:bCs/>
                      <w:szCs w:val="21"/>
                    </w:rPr>
                  </w:pPr>
                  <w:r>
                    <w:rPr>
                      <w:rFonts w:hint="eastAsia"/>
                      <w:b/>
                      <w:bCs/>
                      <w:szCs w:val="21"/>
                    </w:rPr>
                    <w:t>内容要求</w:t>
                  </w:r>
                </w:p>
              </w:tc>
              <w:tc>
                <w:tcPr>
                  <w:tcW w:w="1410" w:type="dxa"/>
                  <w:noWrap w:val="0"/>
                  <w:vAlign w:val="center"/>
                </w:tcPr>
                <w:p w14:paraId="70F8B0B7">
                  <w:pPr>
                    <w:jc w:val="center"/>
                    <w:rPr>
                      <w:b/>
                      <w:bCs/>
                      <w:szCs w:val="21"/>
                    </w:rPr>
                  </w:pPr>
                  <w:r>
                    <w:rPr>
                      <w:rFonts w:hint="eastAsia"/>
                      <w:b/>
                      <w:bCs/>
                      <w:szCs w:val="21"/>
                    </w:rPr>
                    <w:t>项目拟建设情况</w:t>
                  </w:r>
                </w:p>
              </w:tc>
              <w:tc>
                <w:tcPr>
                  <w:tcW w:w="668" w:type="dxa"/>
                  <w:noWrap w:val="0"/>
                  <w:vAlign w:val="center"/>
                </w:tcPr>
                <w:p w14:paraId="66F3C47E">
                  <w:pPr>
                    <w:jc w:val="center"/>
                    <w:rPr>
                      <w:rFonts w:hint="eastAsia"/>
                      <w:b/>
                      <w:bCs/>
                      <w:szCs w:val="21"/>
                    </w:rPr>
                  </w:pPr>
                  <w:r>
                    <w:rPr>
                      <w:rFonts w:hint="eastAsia"/>
                      <w:b/>
                      <w:bCs/>
                      <w:szCs w:val="21"/>
                    </w:rPr>
                    <w:t>相符性</w:t>
                  </w:r>
                </w:p>
              </w:tc>
            </w:tr>
            <w:tr w14:paraId="1DC062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noWrap w:val="0"/>
                  <w:vAlign w:val="center"/>
                </w:tcPr>
                <w:p w14:paraId="0B504513">
                  <w:pPr>
                    <w:jc w:val="center"/>
                    <w:rPr>
                      <w:rFonts w:hint="eastAsia"/>
                      <w:szCs w:val="21"/>
                    </w:rPr>
                  </w:pPr>
                  <w:r>
                    <w:rPr>
                      <w:rFonts w:hint="eastAsia"/>
                      <w:szCs w:val="21"/>
                    </w:rPr>
                    <w:t>1</w:t>
                  </w:r>
                </w:p>
              </w:tc>
              <w:tc>
                <w:tcPr>
                  <w:tcW w:w="4750" w:type="dxa"/>
                  <w:noWrap w:val="0"/>
                  <w:vAlign w:val="center"/>
                </w:tcPr>
                <w:p w14:paraId="29DB2192">
                  <w:pPr>
                    <w:jc w:val="center"/>
                    <w:rPr>
                      <w:rFonts w:hint="eastAsia"/>
                      <w:szCs w:val="21"/>
                    </w:rPr>
                  </w:pPr>
                  <w:r>
                    <w:rPr>
                      <w:rFonts w:hint="eastAsia"/>
                      <w:szCs w:val="21"/>
                    </w:rPr>
                    <w:t>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涉及产能置换的项目，被置换产能及其配套设施关停后，新建项目方可投产。严禁新增钢铁产能。推行钢铁、焦化、烧结一体化布局，大幅减少独立焦化、烧结、球团和热轧企业及工序，淘汰落后煤炭洗选产能;有序引导高炉—转炉长流程炼钢转型为电炉短流程炼钢。到2025年，短流程炼钢产量占比达15%。京津冀及周边地区继续实施“以钢定焦”，炼焦产能与长流程炼钢产能比控制在0.4左右。</w:t>
                  </w:r>
                </w:p>
              </w:tc>
              <w:tc>
                <w:tcPr>
                  <w:tcW w:w="1410" w:type="dxa"/>
                  <w:noWrap w:val="0"/>
                  <w:vAlign w:val="center"/>
                </w:tcPr>
                <w:p w14:paraId="6BC2420C">
                  <w:pPr>
                    <w:jc w:val="center"/>
                    <w:rPr>
                      <w:szCs w:val="21"/>
                    </w:rPr>
                  </w:pPr>
                  <w:r>
                    <w:rPr>
                      <w:rFonts w:hint="eastAsia"/>
                      <w:szCs w:val="21"/>
                    </w:rPr>
                    <w:t>本项目不属于高能耗、高排放、低水平项目，符合产业政策和规划；不涉及产能置换，不属于钢铁、焦化等产业。</w:t>
                  </w:r>
                </w:p>
              </w:tc>
              <w:tc>
                <w:tcPr>
                  <w:tcW w:w="668" w:type="dxa"/>
                  <w:noWrap w:val="0"/>
                  <w:vAlign w:val="center"/>
                </w:tcPr>
                <w:p w14:paraId="0DD055A0">
                  <w:pPr>
                    <w:jc w:val="center"/>
                    <w:rPr>
                      <w:szCs w:val="21"/>
                    </w:rPr>
                  </w:pPr>
                  <w:r>
                    <w:rPr>
                      <w:rFonts w:hint="eastAsia"/>
                      <w:szCs w:val="21"/>
                    </w:rPr>
                    <w:t>符合</w:t>
                  </w:r>
                </w:p>
              </w:tc>
            </w:tr>
            <w:tr w14:paraId="3292CC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7" w:hRule="atLeast"/>
                <w:jc w:val="center"/>
              </w:trPr>
              <w:tc>
                <w:tcPr>
                  <w:tcW w:w="590" w:type="dxa"/>
                  <w:noWrap w:val="0"/>
                  <w:vAlign w:val="center"/>
                </w:tcPr>
                <w:p w14:paraId="28C68100">
                  <w:pPr>
                    <w:jc w:val="center"/>
                    <w:rPr>
                      <w:rFonts w:hint="eastAsia"/>
                      <w:szCs w:val="21"/>
                    </w:rPr>
                  </w:pPr>
                  <w:r>
                    <w:rPr>
                      <w:rFonts w:hint="eastAsia"/>
                      <w:szCs w:val="21"/>
                    </w:rPr>
                    <w:t>2</w:t>
                  </w:r>
                </w:p>
              </w:tc>
              <w:tc>
                <w:tcPr>
                  <w:tcW w:w="4750" w:type="dxa"/>
                  <w:noWrap w:val="0"/>
                  <w:vAlign w:val="center"/>
                </w:tcPr>
                <w:p w14:paraId="5F8864C0">
                  <w:pPr>
                    <w:jc w:val="center"/>
                    <w:rPr>
                      <w:szCs w:val="21"/>
                    </w:rPr>
                  </w:pPr>
                  <w:r>
                    <w:rPr>
                      <w:rFonts w:hint="eastAsia"/>
                      <w:szCs w:val="21"/>
                    </w:rPr>
                    <w:t>加快退出重点行业落后产能。修订《产业结构调整指导目录》，研究将污染物或温室气体排放明显高出行业平均水平、能效和清洁生产水平低的工艺和装备纳入淘汰类和限制类名单。重点区域进一步提高落后产能能耗、环保、质量、安全、技术等要求，逐步退出限制类涉气行业工艺和装备；逐步淘汰步进式烧结机和球团竖炉以及半封闭式硅锰合金、镍铁、高碳铬铁、高碳锰铁电炉。引导重点区域钢铁、焦化、电解铝等产业有序调整优化。</w:t>
                  </w:r>
                </w:p>
              </w:tc>
              <w:tc>
                <w:tcPr>
                  <w:tcW w:w="1410" w:type="dxa"/>
                  <w:noWrap w:val="0"/>
                  <w:vAlign w:val="center"/>
                </w:tcPr>
                <w:p w14:paraId="7A2BE81F">
                  <w:pPr>
                    <w:jc w:val="center"/>
                    <w:rPr>
                      <w:szCs w:val="21"/>
                    </w:rPr>
                  </w:pPr>
                  <w:r>
                    <w:rPr>
                      <w:rFonts w:hint="eastAsia"/>
                      <w:szCs w:val="21"/>
                    </w:rPr>
                    <w:t>本项目不属于钢铁、焦化、电解铝等产业。</w:t>
                  </w:r>
                </w:p>
              </w:tc>
              <w:tc>
                <w:tcPr>
                  <w:tcW w:w="668" w:type="dxa"/>
                  <w:noWrap w:val="0"/>
                  <w:vAlign w:val="center"/>
                </w:tcPr>
                <w:p w14:paraId="35EB364F">
                  <w:pPr>
                    <w:jc w:val="center"/>
                    <w:rPr>
                      <w:szCs w:val="21"/>
                    </w:rPr>
                  </w:pPr>
                  <w:r>
                    <w:rPr>
                      <w:rFonts w:hint="eastAsia"/>
                      <w:szCs w:val="21"/>
                    </w:rPr>
                    <w:t>符合</w:t>
                  </w:r>
                </w:p>
              </w:tc>
            </w:tr>
            <w:tr w14:paraId="0EB921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4" w:hRule="atLeast"/>
                <w:jc w:val="center"/>
              </w:trPr>
              <w:tc>
                <w:tcPr>
                  <w:tcW w:w="590" w:type="dxa"/>
                  <w:noWrap w:val="0"/>
                  <w:vAlign w:val="center"/>
                </w:tcPr>
                <w:p w14:paraId="3A92823F">
                  <w:pPr>
                    <w:jc w:val="center"/>
                    <w:rPr>
                      <w:rFonts w:hint="eastAsia"/>
                      <w:szCs w:val="21"/>
                    </w:rPr>
                  </w:pPr>
                  <w:r>
                    <w:rPr>
                      <w:rFonts w:hint="eastAsia"/>
                      <w:szCs w:val="21"/>
                    </w:rPr>
                    <w:t>3</w:t>
                  </w:r>
                </w:p>
              </w:tc>
              <w:tc>
                <w:tcPr>
                  <w:tcW w:w="4750" w:type="dxa"/>
                  <w:noWrap w:val="0"/>
                  <w:vAlign w:val="center"/>
                </w:tcPr>
                <w:p w14:paraId="2ED04870">
                  <w:pPr>
                    <w:jc w:val="center"/>
                    <w:rPr>
                      <w:szCs w:val="21"/>
                    </w:rPr>
                  </w:pPr>
                  <w:r>
                    <w:rPr>
                      <w:rFonts w:hint="eastAsia"/>
                      <w:szCs w:val="21"/>
                    </w:rPr>
                    <w:t>全面开展传统产业集群升级改造。中小型传统制造企业集中的城市要制定涉气产业集群发展规划，严格项目审批，严防污染下乡。针对现有产业集群制定专项整治方案，依法淘汰关停一批、搬迁入园一批、就地改造一批、做优做强一批。各地要结合产业集群特点，因地制宜建设集中供热中心、集中喷涂中心、有机溶剂集中回收处置中心、活性炭集中再生中心。</w:t>
                  </w:r>
                </w:p>
              </w:tc>
              <w:tc>
                <w:tcPr>
                  <w:tcW w:w="1410" w:type="dxa"/>
                  <w:noWrap w:val="0"/>
                  <w:vAlign w:val="center"/>
                </w:tcPr>
                <w:p w14:paraId="21192ED1">
                  <w:pPr>
                    <w:jc w:val="center"/>
                    <w:rPr>
                      <w:szCs w:val="21"/>
                    </w:rPr>
                  </w:pPr>
                  <w:r>
                    <w:rPr>
                      <w:rFonts w:hint="eastAsia"/>
                      <w:szCs w:val="21"/>
                    </w:rPr>
                    <w:t>本项目不涉及喷漆等工艺。</w:t>
                  </w:r>
                </w:p>
              </w:tc>
              <w:tc>
                <w:tcPr>
                  <w:tcW w:w="668" w:type="dxa"/>
                  <w:noWrap w:val="0"/>
                  <w:vAlign w:val="center"/>
                </w:tcPr>
                <w:p w14:paraId="7C2ECF5B">
                  <w:pPr>
                    <w:jc w:val="center"/>
                    <w:rPr>
                      <w:rFonts w:hint="eastAsia"/>
                      <w:b/>
                      <w:bCs/>
                      <w:szCs w:val="21"/>
                    </w:rPr>
                  </w:pPr>
                  <w:r>
                    <w:rPr>
                      <w:rFonts w:hint="eastAsia"/>
                      <w:szCs w:val="21"/>
                    </w:rPr>
                    <w:t>符合</w:t>
                  </w:r>
                </w:p>
              </w:tc>
            </w:tr>
            <w:tr w14:paraId="6F21C6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49" w:hRule="atLeast"/>
                <w:jc w:val="center"/>
              </w:trPr>
              <w:tc>
                <w:tcPr>
                  <w:tcW w:w="590" w:type="dxa"/>
                  <w:noWrap w:val="0"/>
                  <w:vAlign w:val="center"/>
                </w:tcPr>
                <w:p w14:paraId="0B5E264B">
                  <w:pPr>
                    <w:jc w:val="center"/>
                    <w:rPr>
                      <w:rFonts w:hint="eastAsia"/>
                      <w:szCs w:val="21"/>
                    </w:rPr>
                  </w:pPr>
                  <w:r>
                    <w:rPr>
                      <w:rFonts w:hint="eastAsia"/>
                      <w:szCs w:val="21"/>
                    </w:rPr>
                    <w:t>4</w:t>
                  </w:r>
                </w:p>
              </w:tc>
              <w:tc>
                <w:tcPr>
                  <w:tcW w:w="4750" w:type="dxa"/>
                  <w:noWrap w:val="0"/>
                  <w:vAlign w:val="center"/>
                </w:tcPr>
                <w:p w14:paraId="31B2CDD0">
                  <w:pPr>
                    <w:jc w:val="center"/>
                    <w:rPr>
                      <w:szCs w:val="21"/>
                    </w:rPr>
                  </w:pPr>
                  <w:r>
                    <w:rPr>
                      <w:rFonts w:hint="eastAsia"/>
                      <w:szCs w:val="21"/>
                    </w:rPr>
                    <w:t>优化含VOCs原辅材料和产品结构。严格控制生产和使用高VOCs含量涂料、油墨、胶粘剂、清洗剂等建设项目，提高低</w:t>
                  </w:r>
                  <w:r>
                    <w:rPr>
                      <w:rFonts w:hint="eastAsia"/>
                      <w:szCs w:val="21"/>
                      <w:lang w:eastAsia="zh-CN"/>
                    </w:rPr>
                    <w:t>（</w:t>
                  </w:r>
                  <w:r>
                    <w:rPr>
                      <w:rFonts w:hint="eastAsia"/>
                      <w:szCs w:val="21"/>
                    </w:rPr>
                    <w:t>无</w:t>
                  </w:r>
                  <w:r>
                    <w:rPr>
                      <w:rFonts w:hint="eastAsia"/>
                      <w:szCs w:val="21"/>
                      <w:lang w:eastAsia="zh-CN"/>
                    </w:rPr>
                    <w:t>）</w:t>
                  </w:r>
                  <w:r>
                    <w:rPr>
                      <w:rFonts w:hint="eastAsia"/>
                      <w:szCs w:val="21"/>
                    </w:rPr>
                    <w:t>VOCs含量产品比重。实施源头替代工程，加大工业涂装、包装印刷和电子行业低</w:t>
                  </w:r>
                  <w:r>
                    <w:rPr>
                      <w:rFonts w:hint="eastAsia"/>
                      <w:szCs w:val="21"/>
                      <w:lang w:eastAsia="zh-CN"/>
                    </w:rPr>
                    <w:t>（</w:t>
                  </w:r>
                  <w:r>
                    <w:rPr>
                      <w:rFonts w:hint="eastAsia"/>
                      <w:szCs w:val="21"/>
                    </w:rPr>
                    <w:t>无</w:t>
                  </w:r>
                  <w:r>
                    <w:rPr>
                      <w:rFonts w:hint="eastAsia"/>
                      <w:szCs w:val="21"/>
                      <w:lang w:eastAsia="zh-CN"/>
                    </w:rPr>
                    <w:t>）</w:t>
                  </w:r>
                  <w:r>
                    <w:rPr>
                      <w:rFonts w:hint="eastAsia"/>
                      <w:szCs w:val="21"/>
                    </w:rPr>
                    <w:t>VOCs含量原辅材料替代力度。室外构筑物防护和城市道路交通标志推广使用低</w:t>
                  </w:r>
                  <w:r>
                    <w:rPr>
                      <w:rFonts w:hint="eastAsia"/>
                      <w:szCs w:val="21"/>
                      <w:lang w:eastAsia="zh-CN"/>
                    </w:rPr>
                    <w:t>（</w:t>
                  </w:r>
                  <w:r>
                    <w:rPr>
                      <w:rFonts w:hint="eastAsia"/>
                      <w:szCs w:val="21"/>
                    </w:rPr>
                    <w:t>无</w:t>
                  </w:r>
                  <w:r>
                    <w:rPr>
                      <w:rFonts w:hint="eastAsia"/>
                      <w:szCs w:val="21"/>
                      <w:lang w:eastAsia="zh-CN"/>
                    </w:rPr>
                    <w:t>）</w:t>
                  </w:r>
                  <w:r>
                    <w:rPr>
                      <w:rFonts w:hint="eastAsia"/>
                      <w:szCs w:val="21"/>
                    </w:rPr>
                    <w:t>VOCs含量涂料。在生产、销售、进口、使用等环节严格执行VOCs含量限值标准。</w:t>
                  </w:r>
                </w:p>
              </w:tc>
              <w:tc>
                <w:tcPr>
                  <w:tcW w:w="1410" w:type="dxa"/>
                  <w:noWrap w:val="0"/>
                  <w:vAlign w:val="center"/>
                </w:tcPr>
                <w:p w14:paraId="29C26556">
                  <w:pPr>
                    <w:jc w:val="center"/>
                    <w:rPr>
                      <w:rFonts w:hint="eastAsia"/>
                      <w:szCs w:val="21"/>
                    </w:rPr>
                  </w:pPr>
                  <w:r>
                    <w:rPr>
                      <w:rFonts w:hint="eastAsia"/>
                      <w:szCs w:val="21"/>
                    </w:rPr>
                    <w:t>本项目不属于工业涂装、包</w:t>
                  </w:r>
                  <w:r>
                    <w:rPr>
                      <w:rFonts w:hint="eastAsia"/>
                      <w:szCs w:val="21"/>
                      <w:highlight w:val="none"/>
                    </w:rPr>
                    <w:t>装印刷和电子行业等产业，</w:t>
                  </w:r>
                  <w:r>
                    <w:rPr>
                      <w:rFonts w:hint="eastAsia"/>
                      <w:szCs w:val="21"/>
                      <w:highlight w:val="none"/>
                      <w:lang w:val="en-US" w:eastAsia="zh-CN"/>
                    </w:rPr>
                    <w:t>不涉及涂料</w:t>
                  </w:r>
                  <w:r>
                    <w:rPr>
                      <w:rFonts w:hint="eastAsia"/>
                      <w:szCs w:val="21"/>
                      <w:highlight w:val="none"/>
                    </w:rPr>
                    <w:t>。</w:t>
                  </w:r>
                </w:p>
              </w:tc>
              <w:tc>
                <w:tcPr>
                  <w:tcW w:w="668" w:type="dxa"/>
                  <w:noWrap w:val="0"/>
                  <w:vAlign w:val="center"/>
                </w:tcPr>
                <w:p w14:paraId="7E551D85">
                  <w:pPr>
                    <w:jc w:val="center"/>
                    <w:rPr>
                      <w:rFonts w:hint="eastAsia"/>
                      <w:szCs w:val="21"/>
                    </w:rPr>
                  </w:pPr>
                  <w:r>
                    <w:rPr>
                      <w:rFonts w:hint="eastAsia"/>
                      <w:szCs w:val="21"/>
                    </w:rPr>
                    <w:t>符合</w:t>
                  </w:r>
                </w:p>
              </w:tc>
            </w:tr>
            <w:tr w14:paraId="2172FC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590" w:type="dxa"/>
                  <w:noWrap w:val="0"/>
                  <w:vAlign w:val="center"/>
                </w:tcPr>
                <w:p w14:paraId="458F5DF3">
                  <w:pPr>
                    <w:jc w:val="center"/>
                    <w:rPr>
                      <w:rFonts w:hint="eastAsia"/>
                      <w:szCs w:val="21"/>
                    </w:rPr>
                  </w:pPr>
                  <w:r>
                    <w:rPr>
                      <w:rFonts w:hint="eastAsia"/>
                      <w:szCs w:val="21"/>
                    </w:rPr>
                    <w:t>5</w:t>
                  </w:r>
                </w:p>
              </w:tc>
              <w:tc>
                <w:tcPr>
                  <w:tcW w:w="4750" w:type="dxa"/>
                  <w:noWrap w:val="0"/>
                  <w:vAlign w:val="center"/>
                </w:tcPr>
                <w:p w14:paraId="429A47C9">
                  <w:pPr>
                    <w:jc w:val="center"/>
                    <w:rPr>
                      <w:szCs w:val="21"/>
                    </w:rPr>
                  </w:pPr>
                  <w:r>
                    <w:rPr>
                      <w:rFonts w:hint="eastAsia"/>
                      <w:szCs w:val="21"/>
                    </w:rPr>
                    <w:t>推动绿色环保产业健康发展。加大政策支持力度，在低</w:t>
                  </w:r>
                  <w:r>
                    <w:rPr>
                      <w:rFonts w:hint="eastAsia"/>
                      <w:szCs w:val="21"/>
                      <w:lang w:eastAsia="zh-CN"/>
                    </w:rPr>
                    <w:t>（</w:t>
                  </w:r>
                  <w:r>
                    <w:rPr>
                      <w:rFonts w:hint="eastAsia"/>
                      <w:szCs w:val="21"/>
                    </w:rPr>
                    <w:t>无</w:t>
                  </w:r>
                  <w:r>
                    <w:rPr>
                      <w:rFonts w:hint="eastAsia"/>
                      <w:szCs w:val="21"/>
                      <w:lang w:eastAsia="zh-CN"/>
                    </w:rPr>
                    <w:t>）</w:t>
                  </w:r>
                  <w:r>
                    <w:rPr>
                      <w:rFonts w:hint="eastAsia"/>
                      <w:szCs w:val="21"/>
                    </w:rPr>
                    <w:t>VOCs含量原辅材料生产和使用、VOCs污染治理、超低排放、环境和大气成分监测等领域支持培育一批龙头企业。多措并举治理环保领域低价低质中标乱象，营造公平竞争环境，推动产业健康有序发展。</w:t>
                  </w:r>
                </w:p>
              </w:tc>
              <w:tc>
                <w:tcPr>
                  <w:tcW w:w="1410" w:type="dxa"/>
                  <w:noWrap w:val="0"/>
                  <w:vAlign w:val="center"/>
                </w:tcPr>
                <w:p w14:paraId="6F3FA3F0">
                  <w:pPr>
                    <w:jc w:val="center"/>
                    <w:rPr>
                      <w:rFonts w:hint="default" w:eastAsia="宋体"/>
                      <w:szCs w:val="21"/>
                      <w:lang w:val="en-US" w:eastAsia="zh-CN"/>
                    </w:rPr>
                  </w:pPr>
                  <w:r>
                    <w:rPr>
                      <w:rFonts w:hint="eastAsia"/>
                      <w:szCs w:val="21"/>
                      <w:highlight w:val="none"/>
                      <w:lang w:val="en-US" w:eastAsia="zh-CN"/>
                    </w:rPr>
                    <w:t>项目注塑过程产生的有机废气经二级活性炭吸附装置处理后通过一根15m高排气筒外排。</w:t>
                  </w:r>
                </w:p>
              </w:tc>
              <w:tc>
                <w:tcPr>
                  <w:tcW w:w="668" w:type="dxa"/>
                  <w:noWrap w:val="0"/>
                  <w:vAlign w:val="center"/>
                </w:tcPr>
                <w:p w14:paraId="46E4F66D">
                  <w:pPr>
                    <w:jc w:val="center"/>
                    <w:rPr>
                      <w:rFonts w:hint="eastAsia"/>
                      <w:szCs w:val="21"/>
                    </w:rPr>
                  </w:pPr>
                  <w:r>
                    <w:rPr>
                      <w:rFonts w:hint="eastAsia"/>
                      <w:szCs w:val="21"/>
                    </w:rPr>
                    <w:t>符合</w:t>
                  </w:r>
                </w:p>
              </w:tc>
            </w:tr>
            <w:tr w14:paraId="6E6DB4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8" w:hRule="atLeast"/>
                <w:jc w:val="center"/>
              </w:trPr>
              <w:tc>
                <w:tcPr>
                  <w:tcW w:w="590" w:type="dxa"/>
                  <w:noWrap w:val="0"/>
                  <w:vAlign w:val="center"/>
                </w:tcPr>
                <w:p w14:paraId="15488650">
                  <w:pPr>
                    <w:jc w:val="center"/>
                    <w:rPr>
                      <w:rFonts w:hint="eastAsia"/>
                      <w:szCs w:val="21"/>
                    </w:rPr>
                  </w:pPr>
                  <w:r>
                    <w:rPr>
                      <w:rFonts w:hint="eastAsia"/>
                      <w:szCs w:val="21"/>
                    </w:rPr>
                    <w:t>6</w:t>
                  </w:r>
                </w:p>
              </w:tc>
              <w:tc>
                <w:tcPr>
                  <w:tcW w:w="4750" w:type="dxa"/>
                  <w:noWrap w:val="0"/>
                  <w:vAlign w:val="center"/>
                </w:tcPr>
                <w:p w14:paraId="3BC8598F">
                  <w:pPr>
                    <w:jc w:val="center"/>
                    <w:rPr>
                      <w:szCs w:val="21"/>
                    </w:rPr>
                  </w:pPr>
                  <w:r>
                    <w:rPr>
                      <w:rFonts w:hint="eastAsia"/>
                      <w:szCs w:val="21"/>
                    </w:rPr>
                    <w:t>强化VOCs全流程、全环节综合治理。鼓励储罐使用低泄漏的呼吸阀、紧急泄压阀，定期开展密封性检测。汽车罐车推广使用密封式快速接头。污水处理场所高浓度有机废气要单独收集处理；含VOCs有机废水储罐、装置区集水井</w:t>
                  </w:r>
                  <w:r>
                    <w:rPr>
                      <w:rFonts w:hint="eastAsia"/>
                      <w:szCs w:val="21"/>
                      <w:lang w:eastAsia="zh-CN"/>
                    </w:rPr>
                    <w:t>（</w:t>
                  </w:r>
                  <w:r>
                    <w:rPr>
                      <w:rFonts w:hint="eastAsia"/>
                      <w:szCs w:val="21"/>
                    </w:rPr>
                    <w:t>池</w:t>
                  </w:r>
                  <w:r>
                    <w:rPr>
                      <w:rFonts w:hint="eastAsia"/>
                      <w:szCs w:val="21"/>
                      <w:lang w:eastAsia="zh-CN"/>
                    </w:rPr>
                    <w:t>）</w:t>
                  </w:r>
                  <w:r>
                    <w:rPr>
                      <w:rFonts w:hint="eastAsia"/>
                      <w:szCs w:val="21"/>
                    </w:rPr>
                    <w:t>有机废气要密闭收集处理。重点区域石化、化工行业集中的城市和重点工业园区，2024年年底前建立统一的泄漏检测与修复信息管理平台。企业开停工、检维修期间，及时收集处理退料、清洗、吹扫等作业产生的VOCs废气。企业不得将火炬燃烧装置作为日常大气污染处理设施。</w:t>
                  </w:r>
                </w:p>
              </w:tc>
              <w:tc>
                <w:tcPr>
                  <w:tcW w:w="1410" w:type="dxa"/>
                  <w:noWrap w:val="0"/>
                  <w:vAlign w:val="center"/>
                </w:tcPr>
                <w:p w14:paraId="41E921AF">
                  <w:pPr>
                    <w:jc w:val="center"/>
                    <w:rPr>
                      <w:rFonts w:hint="default" w:eastAsia="宋体"/>
                      <w:szCs w:val="21"/>
                      <w:lang w:val="en-US" w:eastAsia="zh-CN"/>
                    </w:rPr>
                  </w:pPr>
                  <w:r>
                    <w:rPr>
                      <w:rFonts w:hint="eastAsia" w:eastAsia="宋体"/>
                      <w:szCs w:val="21"/>
                      <w:lang w:val="en-US" w:eastAsia="zh-CN"/>
                    </w:rPr>
                    <w:t>项目注塑过程产生的有机废气经二级活性炭吸附装置处理后通过一根15m高排气筒外排。</w:t>
                  </w:r>
                </w:p>
              </w:tc>
              <w:tc>
                <w:tcPr>
                  <w:tcW w:w="668" w:type="dxa"/>
                  <w:noWrap w:val="0"/>
                  <w:vAlign w:val="center"/>
                </w:tcPr>
                <w:p w14:paraId="763F6E39">
                  <w:pPr>
                    <w:jc w:val="center"/>
                    <w:rPr>
                      <w:rFonts w:hint="eastAsia"/>
                      <w:szCs w:val="21"/>
                    </w:rPr>
                  </w:pPr>
                  <w:r>
                    <w:rPr>
                      <w:rFonts w:hint="eastAsia"/>
                      <w:szCs w:val="21"/>
                    </w:rPr>
                    <w:t>符合</w:t>
                  </w:r>
                </w:p>
              </w:tc>
            </w:tr>
          </w:tbl>
          <w:p w14:paraId="380CB0DD">
            <w:pPr>
              <w:numPr>
                <w:ilvl w:val="0"/>
                <w:numId w:val="1"/>
              </w:numPr>
              <w:tabs>
                <w:tab w:val="left" w:pos="8658"/>
              </w:tabs>
              <w:snapToGrid w:val="0"/>
              <w:spacing w:line="440" w:lineRule="exact"/>
              <w:ind w:left="0" w:leftChars="0" w:firstLine="482" w:firstLineChars="0"/>
              <w:jc w:val="left"/>
              <w:rPr>
                <w:rStyle w:val="28"/>
                <w:rFonts w:hint="eastAsia"/>
                <w:b/>
                <w:bCs/>
                <w:color w:val="auto"/>
                <w:kern w:val="0"/>
                <w:sz w:val="24"/>
                <w:highlight w:val="none"/>
              </w:rPr>
            </w:pPr>
            <w:r>
              <w:rPr>
                <w:rStyle w:val="28"/>
                <w:rFonts w:hint="eastAsia"/>
                <w:b/>
                <w:bCs/>
                <w:color w:val="auto"/>
                <w:kern w:val="0"/>
                <w:sz w:val="24"/>
                <w:highlight w:val="none"/>
              </w:rPr>
              <w:t>与《</w:t>
            </w:r>
            <w:r>
              <w:rPr>
                <w:rStyle w:val="28"/>
                <w:rFonts w:hint="eastAsia"/>
                <w:b/>
                <w:bCs/>
                <w:color w:val="auto"/>
                <w:kern w:val="0"/>
                <w:sz w:val="24"/>
                <w:highlight w:val="none"/>
                <w:lang w:val="en-US" w:eastAsia="zh-CN"/>
              </w:rPr>
              <w:t>安徽省</w:t>
            </w:r>
            <w:r>
              <w:rPr>
                <w:rStyle w:val="28"/>
                <w:rFonts w:hint="eastAsia"/>
                <w:b/>
                <w:bCs/>
                <w:color w:val="auto"/>
                <w:kern w:val="0"/>
                <w:sz w:val="24"/>
                <w:highlight w:val="none"/>
              </w:rPr>
              <w:t>空气质量持续改善行动</w:t>
            </w:r>
            <w:r>
              <w:rPr>
                <w:rStyle w:val="28"/>
                <w:rFonts w:hint="eastAsia"/>
                <w:b/>
                <w:bCs/>
                <w:color w:val="auto"/>
                <w:kern w:val="0"/>
                <w:sz w:val="24"/>
                <w:highlight w:val="none"/>
                <w:lang w:val="en-US" w:eastAsia="zh-CN"/>
              </w:rPr>
              <w:t>方案</w:t>
            </w:r>
            <w:r>
              <w:rPr>
                <w:rStyle w:val="28"/>
                <w:rFonts w:hint="eastAsia"/>
                <w:b/>
                <w:bCs/>
                <w:color w:val="auto"/>
                <w:kern w:val="0"/>
                <w:sz w:val="24"/>
                <w:highlight w:val="none"/>
              </w:rPr>
              <w:t>》（皖政〔2024〕36号）相符性分析</w:t>
            </w:r>
          </w:p>
          <w:p w14:paraId="1F4485BB">
            <w:pPr>
              <w:keepNext w:val="0"/>
              <w:keepLines w:val="0"/>
              <w:pageBreakBefore w:val="0"/>
              <w:widowControl w:val="0"/>
              <w:numPr>
                <w:ilvl w:val="0"/>
                <w:numId w:val="0"/>
              </w:numPr>
              <w:tabs>
                <w:tab w:val="left" w:pos="8658"/>
              </w:tabs>
              <w:kinsoku/>
              <w:wordWrap/>
              <w:overflowPunct/>
              <w:topLinePunct w:val="0"/>
              <w:autoSpaceDE/>
              <w:autoSpaceDN/>
              <w:bidi w:val="0"/>
              <w:adjustRightInd/>
              <w:snapToGrid w:val="0"/>
              <w:spacing w:line="360" w:lineRule="auto"/>
              <w:ind w:left="0" w:leftChars="0" w:firstLine="480" w:firstLineChars="200"/>
              <w:jc w:val="left"/>
              <w:textAlignment w:val="auto"/>
              <w:rPr>
                <w:rStyle w:val="28"/>
                <w:rFonts w:hint="eastAsia"/>
                <w:b/>
                <w:bCs/>
                <w:color w:val="auto"/>
                <w:kern w:val="0"/>
                <w:sz w:val="24"/>
                <w:highlight w:val="none"/>
              </w:rPr>
            </w:pPr>
            <w:r>
              <w:rPr>
                <w:sz w:val="24"/>
              </w:rPr>
              <w:t>与本项目相关的</w:t>
            </w:r>
            <w:r>
              <w:rPr>
                <w:rFonts w:hint="eastAsia"/>
                <w:sz w:val="24"/>
              </w:rPr>
              <w:t>《</w:t>
            </w:r>
            <w:r>
              <w:rPr>
                <w:rFonts w:hint="eastAsia" w:ascii="Times New Roman" w:eastAsia="宋体"/>
                <w:sz w:val="24"/>
                <w:lang w:val="en-US" w:eastAsia="zh-CN"/>
              </w:rPr>
              <w:t>安徽省</w:t>
            </w:r>
            <w:r>
              <w:rPr>
                <w:rFonts w:hint="eastAsia"/>
                <w:sz w:val="24"/>
              </w:rPr>
              <w:t>空气质量持续改善行动</w:t>
            </w:r>
            <w:r>
              <w:rPr>
                <w:rFonts w:hint="eastAsia" w:ascii="Times New Roman" w:eastAsia="宋体"/>
                <w:sz w:val="24"/>
                <w:lang w:val="en-US" w:eastAsia="zh-CN"/>
              </w:rPr>
              <w:t>方案</w:t>
            </w:r>
            <w:r>
              <w:rPr>
                <w:rFonts w:hint="eastAsia"/>
                <w:sz w:val="24"/>
              </w:rPr>
              <w:t>》（皖政〔2024〕36号）</w:t>
            </w:r>
            <w:r>
              <w:rPr>
                <w:sz w:val="24"/>
              </w:rPr>
              <w:t>相符性分析见下表。</w:t>
            </w:r>
          </w:p>
          <w:p w14:paraId="3E920DCD">
            <w:pPr>
              <w:keepNext w:val="0"/>
              <w:keepLines w:val="0"/>
              <w:pageBreakBefore w:val="0"/>
              <w:widowControl/>
              <w:numPr>
                <w:ilvl w:val="0"/>
                <w:numId w:val="0"/>
              </w:numPr>
              <w:kinsoku/>
              <w:wordWrap/>
              <w:overflowPunct/>
              <w:topLinePunct w:val="0"/>
              <w:autoSpaceDE/>
              <w:autoSpaceDN/>
              <w:bidi w:val="0"/>
              <w:adjustRightInd w:val="0"/>
              <w:snapToGrid/>
              <w:spacing w:line="240" w:lineRule="auto"/>
              <w:ind w:leftChars="0"/>
              <w:jc w:val="both"/>
              <w:textAlignment w:val="auto"/>
            </w:pPr>
            <w:r>
              <w:rPr>
                <w:rFonts w:hint="eastAsia" w:ascii="宋体" w:hAnsi="宋体" w:cs="宋体"/>
                <w:b/>
                <w:bCs/>
                <w:kern w:val="0"/>
                <w:sz w:val="24"/>
                <w:lang w:val="en-US" w:eastAsia="zh-CN" w:bidi="ar"/>
              </w:rPr>
              <w:t>表1-9</w:t>
            </w:r>
            <w:r>
              <w:rPr>
                <w:rFonts w:hint="eastAsia" w:ascii="宋体" w:hAnsi="宋体" w:cs="宋体"/>
                <w:b/>
                <w:bCs/>
                <w:kern w:val="0"/>
                <w:sz w:val="24"/>
                <w:lang w:bidi="ar"/>
              </w:rPr>
              <w:t>项目与《</w:t>
            </w:r>
            <w:r>
              <w:rPr>
                <w:rFonts w:hint="eastAsia" w:ascii="宋体" w:hAnsi="宋体" w:cs="宋体"/>
                <w:b/>
                <w:bCs/>
                <w:kern w:val="0"/>
                <w:sz w:val="24"/>
                <w:lang w:val="en-US" w:eastAsia="zh-CN" w:bidi="ar"/>
              </w:rPr>
              <w:t>安徽省</w:t>
            </w:r>
            <w:r>
              <w:rPr>
                <w:rFonts w:hint="eastAsia" w:ascii="宋体" w:hAnsi="宋体" w:cs="宋体"/>
                <w:b/>
                <w:bCs/>
                <w:kern w:val="0"/>
                <w:sz w:val="24"/>
                <w:lang w:bidi="ar"/>
              </w:rPr>
              <w:t>空气质量持续改善行动</w:t>
            </w:r>
            <w:r>
              <w:rPr>
                <w:rFonts w:hint="eastAsia" w:ascii="宋体" w:hAnsi="宋体" w:cs="宋体"/>
                <w:b/>
                <w:bCs/>
                <w:kern w:val="0"/>
                <w:sz w:val="24"/>
                <w:lang w:val="en-US" w:eastAsia="zh-CN" w:bidi="ar"/>
              </w:rPr>
              <w:t>方案</w:t>
            </w:r>
            <w:r>
              <w:rPr>
                <w:rFonts w:hint="eastAsia" w:ascii="宋体" w:hAnsi="宋体" w:cs="宋体"/>
                <w:b/>
                <w:bCs/>
                <w:kern w:val="0"/>
                <w:sz w:val="24"/>
                <w:lang w:bidi="ar"/>
              </w:rPr>
              <w:t>》相符性分析一览表</w:t>
            </w:r>
          </w:p>
          <w:tbl>
            <w:tblPr>
              <w:tblStyle w:val="21"/>
              <w:tblW w:w="74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95"/>
              <w:gridCol w:w="4251"/>
              <w:gridCol w:w="1469"/>
              <w:gridCol w:w="1164"/>
            </w:tblGrid>
            <w:tr w14:paraId="41996A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95" w:type="dxa"/>
                  <w:noWrap w:val="0"/>
                  <w:vAlign w:val="center"/>
                </w:tcPr>
                <w:p w14:paraId="29D124E8">
                  <w:pPr>
                    <w:jc w:val="center"/>
                    <w:rPr>
                      <w:rFonts w:hint="eastAsia"/>
                      <w:b/>
                      <w:bCs/>
                      <w:szCs w:val="21"/>
                    </w:rPr>
                  </w:pPr>
                  <w:r>
                    <w:rPr>
                      <w:rFonts w:hint="eastAsia"/>
                      <w:b/>
                      <w:bCs/>
                      <w:szCs w:val="21"/>
                    </w:rPr>
                    <w:t>序号</w:t>
                  </w:r>
                </w:p>
              </w:tc>
              <w:tc>
                <w:tcPr>
                  <w:tcW w:w="4251" w:type="dxa"/>
                  <w:noWrap w:val="0"/>
                  <w:vAlign w:val="center"/>
                </w:tcPr>
                <w:p w14:paraId="27AB670A">
                  <w:pPr>
                    <w:jc w:val="center"/>
                    <w:rPr>
                      <w:b/>
                      <w:bCs/>
                      <w:szCs w:val="21"/>
                    </w:rPr>
                  </w:pPr>
                  <w:r>
                    <w:rPr>
                      <w:rFonts w:hint="eastAsia"/>
                      <w:b/>
                      <w:bCs/>
                      <w:szCs w:val="21"/>
                    </w:rPr>
                    <w:t>内容要求</w:t>
                  </w:r>
                </w:p>
              </w:tc>
              <w:tc>
                <w:tcPr>
                  <w:tcW w:w="1469" w:type="dxa"/>
                  <w:noWrap w:val="0"/>
                  <w:vAlign w:val="center"/>
                </w:tcPr>
                <w:p w14:paraId="4485AB3B">
                  <w:pPr>
                    <w:jc w:val="center"/>
                    <w:rPr>
                      <w:b/>
                      <w:bCs/>
                      <w:szCs w:val="21"/>
                    </w:rPr>
                  </w:pPr>
                  <w:r>
                    <w:rPr>
                      <w:rFonts w:hint="eastAsia"/>
                      <w:b/>
                      <w:bCs/>
                      <w:szCs w:val="21"/>
                    </w:rPr>
                    <w:t>项目拟建设情况</w:t>
                  </w:r>
                </w:p>
              </w:tc>
              <w:tc>
                <w:tcPr>
                  <w:tcW w:w="1164" w:type="dxa"/>
                  <w:noWrap w:val="0"/>
                  <w:vAlign w:val="center"/>
                </w:tcPr>
                <w:p w14:paraId="1D579A90">
                  <w:pPr>
                    <w:jc w:val="center"/>
                    <w:rPr>
                      <w:rFonts w:hint="eastAsia"/>
                      <w:b/>
                      <w:bCs/>
                      <w:szCs w:val="21"/>
                    </w:rPr>
                  </w:pPr>
                  <w:r>
                    <w:rPr>
                      <w:rFonts w:hint="eastAsia"/>
                      <w:b/>
                      <w:bCs/>
                      <w:szCs w:val="21"/>
                    </w:rPr>
                    <w:t>相符性</w:t>
                  </w:r>
                </w:p>
              </w:tc>
            </w:tr>
            <w:tr w14:paraId="23D6A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4" w:hRule="atLeast"/>
                <w:jc w:val="center"/>
              </w:trPr>
              <w:tc>
                <w:tcPr>
                  <w:tcW w:w="595" w:type="dxa"/>
                  <w:noWrap w:val="0"/>
                  <w:vAlign w:val="center"/>
                </w:tcPr>
                <w:p w14:paraId="2324F7A2">
                  <w:pPr>
                    <w:jc w:val="center"/>
                    <w:rPr>
                      <w:rFonts w:hint="eastAsia"/>
                      <w:szCs w:val="21"/>
                    </w:rPr>
                  </w:pPr>
                  <w:r>
                    <w:rPr>
                      <w:rFonts w:hint="eastAsia"/>
                      <w:szCs w:val="21"/>
                    </w:rPr>
                    <w:t>1</w:t>
                  </w:r>
                </w:p>
              </w:tc>
              <w:tc>
                <w:tcPr>
                  <w:tcW w:w="4251" w:type="dxa"/>
                  <w:noWrap w:val="0"/>
                  <w:vAlign w:val="center"/>
                </w:tcPr>
                <w:p w14:paraId="51579F1E">
                  <w:pPr>
                    <w:jc w:val="center"/>
                    <w:rPr>
                      <w:rFonts w:hint="eastAsia"/>
                      <w:szCs w:val="21"/>
                    </w:rPr>
                  </w:pPr>
                  <w:r>
                    <w:rPr>
                      <w:rFonts w:hint="eastAsia"/>
                      <w:szCs w:val="21"/>
                    </w:rPr>
                    <w:t>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实施“高污染、高耗能”项目部门联审，源头管控低水平项目上马。制定实施安徽省加强生态环境分区管控方案。严格落实产能置换要求，不以任何名义、任何方式核准、备案产能严重过剩行业新增产能项目，被置换产能及其配套设施关停后，新建项目方可投产。</w:t>
                  </w:r>
                </w:p>
              </w:tc>
              <w:tc>
                <w:tcPr>
                  <w:tcW w:w="1469" w:type="dxa"/>
                  <w:noWrap w:val="0"/>
                  <w:vAlign w:val="center"/>
                </w:tcPr>
                <w:p w14:paraId="0A5B3DB0">
                  <w:pPr>
                    <w:jc w:val="center"/>
                    <w:rPr>
                      <w:szCs w:val="21"/>
                    </w:rPr>
                  </w:pPr>
                  <w:r>
                    <w:rPr>
                      <w:rFonts w:hint="eastAsia"/>
                      <w:szCs w:val="21"/>
                    </w:rPr>
                    <w:t>本项目不属于高能耗、高排放、低水平项目，符合产业政策和规划；不涉及产能置换，不属于钢铁、焦化等产业。</w:t>
                  </w:r>
                </w:p>
              </w:tc>
              <w:tc>
                <w:tcPr>
                  <w:tcW w:w="1164" w:type="dxa"/>
                  <w:noWrap w:val="0"/>
                  <w:vAlign w:val="center"/>
                </w:tcPr>
                <w:p w14:paraId="1A5CA986">
                  <w:pPr>
                    <w:jc w:val="center"/>
                    <w:rPr>
                      <w:szCs w:val="21"/>
                    </w:rPr>
                  </w:pPr>
                  <w:r>
                    <w:rPr>
                      <w:rFonts w:hint="eastAsia"/>
                      <w:szCs w:val="21"/>
                    </w:rPr>
                    <w:t>符合</w:t>
                  </w:r>
                </w:p>
              </w:tc>
            </w:tr>
            <w:tr w14:paraId="2EED93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92" w:hRule="atLeast"/>
                <w:jc w:val="center"/>
              </w:trPr>
              <w:tc>
                <w:tcPr>
                  <w:tcW w:w="595" w:type="dxa"/>
                  <w:noWrap w:val="0"/>
                  <w:vAlign w:val="center"/>
                </w:tcPr>
                <w:p w14:paraId="0BDDF374">
                  <w:pPr>
                    <w:jc w:val="center"/>
                    <w:rPr>
                      <w:rFonts w:hint="eastAsia"/>
                      <w:szCs w:val="21"/>
                    </w:rPr>
                  </w:pPr>
                  <w:r>
                    <w:rPr>
                      <w:rFonts w:hint="eastAsia"/>
                      <w:szCs w:val="21"/>
                    </w:rPr>
                    <w:t>2</w:t>
                  </w:r>
                </w:p>
              </w:tc>
              <w:tc>
                <w:tcPr>
                  <w:tcW w:w="4251" w:type="dxa"/>
                  <w:noWrap w:val="0"/>
                  <w:vAlign w:val="center"/>
                </w:tcPr>
                <w:p w14:paraId="0640C85D">
                  <w:pPr>
                    <w:jc w:val="center"/>
                    <w:rPr>
                      <w:szCs w:val="21"/>
                    </w:rPr>
                  </w:pPr>
                  <w:r>
                    <w:rPr>
                      <w:rFonts w:hint="eastAsia"/>
                      <w:szCs w:val="21"/>
                    </w:rPr>
                    <w:t>有序推动落后产能淘汰。严格执行《产业结构调整指导目录》。综合运用能耗、环保、质量、安全、技术等要求，依法依规推动落后产能退出，逐步退出限制类涉气行业工艺和装备。有序推动生产设施老旧、工艺水平落后、环境管理水平低下的独立焦化、烧结、球团、热轧企业和落后煤炭洗选企业退出市场。逐步淘汰步进式烧结机和球团竖炉以及半封闭式硅锰合金、镍铁、高碳铬铁、高碳锰铁电炉。严禁违规新增钢铁、水泥（熟料）、焦化、电解铝、平板玻璃（不含光伏压延玻璃）产能。鼓励钢铁行业龙头企业实施兼并重组，到2025年，短流程炼钢产量占比达15%。</w:t>
                  </w:r>
                </w:p>
              </w:tc>
              <w:tc>
                <w:tcPr>
                  <w:tcW w:w="1469" w:type="dxa"/>
                  <w:noWrap w:val="0"/>
                  <w:vAlign w:val="center"/>
                </w:tcPr>
                <w:p w14:paraId="196F3B35">
                  <w:pPr>
                    <w:jc w:val="center"/>
                    <w:rPr>
                      <w:szCs w:val="21"/>
                    </w:rPr>
                  </w:pPr>
                  <w:r>
                    <w:rPr>
                      <w:rFonts w:hint="eastAsia"/>
                      <w:szCs w:val="21"/>
                    </w:rPr>
                    <w:t>本项目不属于钢铁、</w:t>
                  </w:r>
                  <w:r>
                    <w:rPr>
                      <w:rFonts w:hint="eastAsia"/>
                      <w:szCs w:val="21"/>
                      <w:lang w:val="en-US" w:eastAsia="zh-CN"/>
                    </w:rPr>
                    <w:t>水泥、</w:t>
                  </w:r>
                  <w:r>
                    <w:rPr>
                      <w:rFonts w:hint="eastAsia"/>
                      <w:szCs w:val="21"/>
                    </w:rPr>
                    <w:t>焦化、电解铝等产业。</w:t>
                  </w:r>
                </w:p>
              </w:tc>
              <w:tc>
                <w:tcPr>
                  <w:tcW w:w="1164" w:type="dxa"/>
                  <w:noWrap w:val="0"/>
                  <w:vAlign w:val="center"/>
                </w:tcPr>
                <w:p w14:paraId="2616694A">
                  <w:pPr>
                    <w:jc w:val="center"/>
                    <w:rPr>
                      <w:szCs w:val="21"/>
                    </w:rPr>
                  </w:pPr>
                  <w:r>
                    <w:rPr>
                      <w:rFonts w:hint="eastAsia"/>
                      <w:szCs w:val="21"/>
                    </w:rPr>
                    <w:t>符合</w:t>
                  </w:r>
                </w:p>
              </w:tc>
            </w:tr>
            <w:tr w14:paraId="528E0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595" w:type="dxa"/>
                  <w:noWrap w:val="0"/>
                  <w:vAlign w:val="center"/>
                </w:tcPr>
                <w:p w14:paraId="20CA7AA5">
                  <w:pPr>
                    <w:jc w:val="center"/>
                    <w:rPr>
                      <w:rFonts w:hint="eastAsia"/>
                      <w:szCs w:val="21"/>
                    </w:rPr>
                  </w:pPr>
                  <w:r>
                    <w:rPr>
                      <w:rFonts w:hint="eastAsia"/>
                      <w:szCs w:val="21"/>
                    </w:rPr>
                    <w:t>3</w:t>
                  </w:r>
                </w:p>
              </w:tc>
              <w:tc>
                <w:tcPr>
                  <w:tcW w:w="4251" w:type="dxa"/>
                  <w:noWrap w:val="0"/>
                  <w:vAlign w:val="center"/>
                </w:tcPr>
                <w:p w14:paraId="25DDD043">
                  <w:pPr>
                    <w:jc w:val="center"/>
                    <w:rPr>
                      <w:szCs w:val="21"/>
                    </w:rPr>
                  </w:pPr>
                  <w:r>
                    <w:rPr>
                      <w:rFonts w:hint="eastAsia"/>
                      <w:szCs w:val="21"/>
                    </w:rPr>
                    <w:t>开展传统产业集群排查整治。中小型传统制造企业集中的涉气产业集群要制定发展规划。开展石灰岩、陶瓷等涉气产业集群排查及分类治理，“一群一策”制定整治提升方案，实施拉单挂账式管理，依法淘汰关停一批、搬迁入园一批、就地改造一批、做优做强一批。高水平打造皖北等承接产业转移集聚区，持续加强产业集群环境治理。结合“绿岛”项目等因地制宜建设集中供热中心、集中涂装中心、有机溶剂集中回收中心、活性炭再生中心；推进建设钣喷共享中心，配套建设适宜高效VOCs治理设施。</w:t>
                  </w:r>
                </w:p>
              </w:tc>
              <w:tc>
                <w:tcPr>
                  <w:tcW w:w="1469" w:type="dxa"/>
                  <w:noWrap w:val="0"/>
                  <w:vAlign w:val="center"/>
                </w:tcPr>
                <w:p w14:paraId="183DA795">
                  <w:pPr>
                    <w:jc w:val="center"/>
                    <w:rPr>
                      <w:szCs w:val="21"/>
                    </w:rPr>
                  </w:pPr>
                  <w:r>
                    <w:rPr>
                      <w:rFonts w:hint="eastAsia"/>
                      <w:szCs w:val="21"/>
                      <w:highlight w:val="none"/>
                    </w:rPr>
                    <w:t>本项目</w:t>
                  </w:r>
                  <w:r>
                    <w:rPr>
                      <w:rFonts w:hint="eastAsia"/>
                      <w:szCs w:val="21"/>
                      <w:highlight w:val="none"/>
                      <w:lang w:val="en-US" w:eastAsia="zh-CN"/>
                    </w:rPr>
                    <w:t>注塑工艺过程产生少量有机废气，经</w:t>
                  </w:r>
                  <w:r>
                    <w:rPr>
                      <w:rFonts w:hint="eastAsia" w:eastAsia="宋体"/>
                      <w:szCs w:val="21"/>
                      <w:lang w:val="en-US" w:eastAsia="zh-CN"/>
                    </w:rPr>
                    <w:t>二级活性炭吸附装置处理后通过一根15m高排气筒外排</w:t>
                  </w:r>
                  <w:r>
                    <w:rPr>
                      <w:rFonts w:hint="eastAsia"/>
                      <w:szCs w:val="21"/>
                      <w:highlight w:val="none"/>
                    </w:rPr>
                    <w:t>。</w:t>
                  </w:r>
                </w:p>
              </w:tc>
              <w:tc>
                <w:tcPr>
                  <w:tcW w:w="1164" w:type="dxa"/>
                  <w:noWrap w:val="0"/>
                  <w:vAlign w:val="center"/>
                </w:tcPr>
                <w:p w14:paraId="2A69A36F">
                  <w:pPr>
                    <w:jc w:val="center"/>
                    <w:rPr>
                      <w:rFonts w:hint="eastAsia"/>
                      <w:b/>
                      <w:bCs/>
                      <w:szCs w:val="21"/>
                    </w:rPr>
                  </w:pPr>
                  <w:r>
                    <w:rPr>
                      <w:rFonts w:hint="eastAsia"/>
                      <w:szCs w:val="21"/>
                    </w:rPr>
                    <w:t>符合</w:t>
                  </w:r>
                </w:p>
              </w:tc>
            </w:tr>
            <w:tr w14:paraId="2859A3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99" w:hRule="atLeast"/>
                <w:jc w:val="center"/>
              </w:trPr>
              <w:tc>
                <w:tcPr>
                  <w:tcW w:w="595" w:type="dxa"/>
                  <w:noWrap w:val="0"/>
                  <w:vAlign w:val="center"/>
                </w:tcPr>
                <w:p w14:paraId="6519B508">
                  <w:pPr>
                    <w:jc w:val="center"/>
                    <w:rPr>
                      <w:rFonts w:hint="eastAsia"/>
                      <w:szCs w:val="21"/>
                    </w:rPr>
                  </w:pPr>
                  <w:r>
                    <w:rPr>
                      <w:rFonts w:hint="eastAsia"/>
                      <w:szCs w:val="21"/>
                    </w:rPr>
                    <w:t>4</w:t>
                  </w:r>
                </w:p>
              </w:tc>
              <w:tc>
                <w:tcPr>
                  <w:tcW w:w="4251" w:type="dxa"/>
                  <w:noWrap w:val="0"/>
                  <w:vAlign w:val="center"/>
                </w:tcPr>
                <w:p w14:paraId="1FC8DEB1">
                  <w:pPr>
                    <w:jc w:val="center"/>
                    <w:rPr>
                      <w:szCs w:val="21"/>
                    </w:rPr>
                  </w:pPr>
                  <w:r>
                    <w:rPr>
                      <w:rFonts w:hint="eastAsia"/>
                      <w:szCs w:val="21"/>
                    </w:rPr>
                    <w:t>推动新能源和节能环保等产业健康发展。深化新能源和节能环保产业“双招双引”，在低（无）VOCs含量原辅材料生产和使用、VOCs污染治理、超低排放、环境和大气成分监测等领域支持培育一批技术水平高、市场竞争力强的龙头企业。加快发展新能源汽车和智能网联汽车等战略性新兴产业。开展招标投标领域优化营商环境对标提升行动，系统治理环保领域低价低质中标乱象，营造公平竞争环境，推动产业健康有序发展。</w:t>
                  </w:r>
                </w:p>
              </w:tc>
              <w:tc>
                <w:tcPr>
                  <w:tcW w:w="1469" w:type="dxa"/>
                  <w:noWrap w:val="0"/>
                  <w:vAlign w:val="center"/>
                </w:tcPr>
                <w:p w14:paraId="60E2E668">
                  <w:pPr>
                    <w:jc w:val="center"/>
                    <w:rPr>
                      <w:rFonts w:hint="eastAsia"/>
                      <w:szCs w:val="21"/>
                    </w:rPr>
                  </w:pPr>
                  <w:r>
                    <w:rPr>
                      <w:rFonts w:hint="eastAsia" w:eastAsia="宋体"/>
                      <w:szCs w:val="21"/>
                      <w:lang w:val="en-US" w:eastAsia="zh-CN"/>
                    </w:rPr>
                    <w:t>项目注塑过程产生的有机废气经二级活性炭吸附装置处理后通过一根15m高排气筒外排。</w:t>
                  </w:r>
                </w:p>
              </w:tc>
              <w:tc>
                <w:tcPr>
                  <w:tcW w:w="1164" w:type="dxa"/>
                  <w:noWrap w:val="0"/>
                  <w:vAlign w:val="center"/>
                </w:tcPr>
                <w:p w14:paraId="7BCEE2E6">
                  <w:pPr>
                    <w:jc w:val="center"/>
                    <w:rPr>
                      <w:rFonts w:hint="eastAsia"/>
                      <w:szCs w:val="21"/>
                    </w:rPr>
                  </w:pPr>
                  <w:r>
                    <w:rPr>
                      <w:rFonts w:hint="eastAsia"/>
                      <w:szCs w:val="21"/>
                    </w:rPr>
                    <w:t>符合</w:t>
                  </w:r>
                </w:p>
              </w:tc>
            </w:tr>
            <w:tr w14:paraId="543466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2" w:hRule="atLeast"/>
                <w:jc w:val="center"/>
              </w:trPr>
              <w:tc>
                <w:tcPr>
                  <w:tcW w:w="595" w:type="dxa"/>
                  <w:noWrap w:val="0"/>
                  <w:vAlign w:val="center"/>
                </w:tcPr>
                <w:p w14:paraId="2B51C548">
                  <w:pPr>
                    <w:jc w:val="center"/>
                    <w:rPr>
                      <w:rFonts w:hint="eastAsia"/>
                      <w:szCs w:val="21"/>
                    </w:rPr>
                  </w:pPr>
                  <w:r>
                    <w:rPr>
                      <w:rFonts w:hint="eastAsia"/>
                      <w:szCs w:val="21"/>
                    </w:rPr>
                    <w:t>5</w:t>
                  </w:r>
                </w:p>
              </w:tc>
              <w:tc>
                <w:tcPr>
                  <w:tcW w:w="4251" w:type="dxa"/>
                  <w:noWrap w:val="0"/>
                  <w:vAlign w:val="center"/>
                </w:tcPr>
                <w:p w14:paraId="787F2EC4">
                  <w:pPr>
                    <w:jc w:val="center"/>
                    <w:rPr>
                      <w:szCs w:val="21"/>
                    </w:rPr>
                  </w:pPr>
                  <w:r>
                    <w:rPr>
                      <w:rFonts w:hint="eastAsia"/>
                      <w:szCs w:val="21"/>
                    </w:rPr>
                    <w:t>推动工业炉窑清洁能源替代。有序推进工业领域电能替代，提高电气化水平，推动大用户直供气，降低供气成本。重点区域不再新增燃料类煤气发生炉，新改扩建加热炉、热处理炉、干燥炉、熔化炉原则上采用清洁低碳能源。燃料类煤气发生炉实施清洁能源替代，或因地制宜采取园区（集群）集中供气、分散使用方式。逐步淘汰固定床间歇式煤气发生炉，鼓励现有煤气发生炉“小改大”。安全稳妥推进使用高污染燃料的工业炉窑改用工业余热、电能、天然气等，推动石油焦、重油等高污染燃料逐步替代。</w:t>
                  </w:r>
                </w:p>
              </w:tc>
              <w:tc>
                <w:tcPr>
                  <w:tcW w:w="1469" w:type="dxa"/>
                  <w:noWrap w:val="0"/>
                  <w:vAlign w:val="center"/>
                </w:tcPr>
                <w:p w14:paraId="268DAA30">
                  <w:pPr>
                    <w:jc w:val="center"/>
                    <w:rPr>
                      <w:rFonts w:hint="default" w:eastAsia="宋体"/>
                      <w:szCs w:val="21"/>
                      <w:lang w:val="en-US" w:eastAsia="zh-CN"/>
                    </w:rPr>
                  </w:pPr>
                  <w:r>
                    <w:rPr>
                      <w:rFonts w:hint="eastAsia"/>
                      <w:szCs w:val="21"/>
                      <w:highlight w:val="none"/>
                      <w:lang w:val="en-US" w:eastAsia="zh-CN"/>
                    </w:rPr>
                    <w:t>本项目使用电为能源。</w:t>
                  </w:r>
                </w:p>
              </w:tc>
              <w:tc>
                <w:tcPr>
                  <w:tcW w:w="1164" w:type="dxa"/>
                  <w:noWrap w:val="0"/>
                  <w:vAlign w:val="center"/>
                </w:tcPr>
                <w:p w14:paraId="3E368739">
                  <w:pPr>
                    <w:jc w:val="center"/>
                    <w:rPr>
                      <w:rFonts w:hint="eastAsia"/>
                      <w:szCs w:val="21"/>
                    </w:rPr>
                  </w:pPr>
                  <w:r>
                    <w:rPr>
                      <w:rFonts w:hint="eastAsia"/>
                      <w:szCs w:val="21"/>
                    </w:rPr>
                    <w:t>符合</w:t>
                  </w:r>
                </w:p>
              </w:tc>
            </w:tr>
          </w:tbl>
          <w:p w14:paraId="0E8F9843">
            <w:pPr>
              <w:spacing w:line="440" w:lineRule="atLeast"/>
              <w:ind w:firstLine="482" w:firstLineChars="200"/>
              <w:rPr>
                <w:rStyle w:val="28"/>
                <w:rFonts w:hint="eastAsia"/>
                <w:b/>
                <w:bCs/>
                <w:color w:val="auto"/>
                <w:kern w:val="0"/>
                <w:sz w:val="24"/>
                <w:highlight w:val="none"/>
              </w:rPr>
            </w:pPr>
            <w:r>
              <w:rPr>
                <w:rFonts w:hint="eastAsia"/>
                <w:b/>
                <w:bCs/>
                <w:color w:val="auto"/>
                <w:sz w:val="24"/>
                <w:lang w:val="en-US" w:eastAsia="zh-CN"/>
              </w:rPr>
              <w:t>12、</w:t>
            </w:r>
            <w:r>
              <w:rPr>
                <w:b/>
                <w:bCs/>
                <w:color w:val="auto"/>
                <w:sz w:val="24"/>
              </w:rPr>
              <w:t>与</w:t>
            </w:r>
            <w:r>
              <w:rPr>
                <w:rFonts w:hint="eastAsia"/>
                <w:b/>
                <w:bCs/>
                <w:color w:val="auto"/>
                <w:sz w:val="24"/>
                <w:lang w:val="en-US" w:eastAsia="zh-CN"/>
              </w:rPr>
              <w:t>芜湖市</w:t>
            </w:r>
            <w:r>
              <w:rPr>
                <w:b/>
                <w:bCs/>
                <w:color w:val="auto"/>
                <w:sz w:val="24"/>
              </w:rPr>
              <w:t>生态环境保护委员会办公室关于印发</w:t>
            </w:r>
            <w:r>
              <w:rPr>
                <w:rFonts w:hint="eastAsia"/>
                <w:b/>
                <w:bCs/>
                <w:color w:val="auto"/>
                <w:sz w:val="24"/>
              </w:rPr>
              <w:t>《</w:t>
            </w:r>
            <w:r>
              <w:rPr>
                <w:rFonts w:hint="eastAsia"/>
                <w:b/>
                <w:bCs/>
                <w:color w:val="auto"/>
                <w:sz w:val="24"/>
                <w:lang w:val="en-US" w:eastAsia="zh-CN"/>
              </w:rPr>
              <w:t>芜湖市2024-2025年大气污染防治重点任务攻坚工作方案</w:t>
            </w:r>
            <w:r>
              <w:rPr>
                <w:rFonts w:hint="eastAsia"/>
                <w:b/>
                <w:bCs/>
                <w:color w:val="auto"/>
                <w:sz w:val="24"/>
              </w:rPr>
              <w:t>》的通知（</w:t>
            </w:r>
            <w:r>
              <w:rPr>
                <w:rFonts w:hint="eastAsia"/>
                <w:b/>
                <w:bCs/>
                <w:color w:val="auto"/>
                <w:sz w:val="24"/>
                <w:lang w:val="en-US" w:eastAsia="zh-CN"/>
              </w:rPr>
              <w:t>芜</w:t>
            </w:r>
            <w:r>
              <w:rPr>
                <w:rFonts w:hint="eastAsia"/>
                <w:b/>
                <w:bCs/>
                <w:color w:val="auto"/>
                <w:sz w:val="24"/>
              </w:rPr>
              <w:t>环委办〔202</w:t>
            </w:r>
            <w:r>
              <w:rPr>
                <w:rFonts w:hint="eastAsia"/>
                <w:b/>
                <w:bCs/>
                <w:color w:val="auto"/>
                <w:sz w:val="24"/>
                <w:lang w:val="en-US" w:eastAsia="zh-CN"/>
              </w:rPr>
              <w:t>4</w:t>
            </w:r>
            <w:r>
              <w:rPr>
                <w:rFonts w:hint="eastAsia"/>
                <w:b/>
                <w:bCs/>
                <w:color w:val="auto"/>
                <w:sz w:val="24"/>
              </w:rPr>
              <w:t>〕</w:t>
            </w:r>
            <w:r>
              <w:rPr>
                <w:rFonts w:hint="eastAsia"/>
                <w:b/>
                <w:bCs/>
                <w:color w:val="auto"/>
                <w:sz w:val="24"/>
                <w:lang w:val="en-US" w:eastAsia="zh-CN"/>
              </w:rPr>
              <w:t>12</w:t>
            </w:r>
            <w:r>
              <w:rPr>
                <w:rFonts w:hint="eastAsia"/>
                <w:b/>
                <w:bCs/>
                <w:color w:val="auto"/>
                <w:sz w:val="24"/>
              </w:rPr>
              <w:t>号）</w:t>
            </w:r>
            <w:r>
              <w:rPr>
                <w:b/>
                <w:bCs/>
                <w:color w:val="auto"/>
                <w:sz w:val="24"/>
              </w:rPr>
              <w:t>相符性</w:t>
            </w:r>
          </w:p>
          <w:p w14:paraId="4C877957">
            <w:pPr>
              <w:spacing w:line="360" w:lineRule="auto"/>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根据</w:t>
            </w:r>
            <w:r>
              <w:rPr>
                <w:rFonts w:hint="eastAsia" w:ascii="Times New Roman" w:hAnsi="Times New Roman" w:eastAsia="宋体" w:cs="Times New Roman"/>
                <w:color w:val="000000"/>
                <w:sz w:val="24"/>
                <w:lang w:val="en-US" w:eastAsia="zh-CN"/>
              </w:rPr>
              <w:t>芜湖市</w:t>
            </w:r>
            <w:r>
              <w:rPr>
                <w:rFonts w:ascii="Times New Roman" w:hAnsi="Times New Roman" w:eastAsia="宋体" w:cs="Times New Roman"/>
                <w:color w:val="000000"/>
                <w:sz w:val="24"/>
              </w:rPr>
              <w:t>生态环境保护委员会办公室关于印发</w:t>
            </w:r>
            <w:r>
              <w:rPr>
                <w:rFonts w:hint="eastAsia" w:ascii="Times New Roman" w:hAnsi="Times New Roman" w:eastAsia="宋体" w:cs="Times New Roman"/>
                <w:color w:val="000000"/>
                <w:sz w:val="24"/>
              </w:rPr>
              <w:t>《</w:t>
            </w:r>
            <w:r>
              <w:rPr>
                <w:rFonts w:hint="eastAsia" w:ascii="Times New Roman" w:hAnsi="Times New Roman" w:eastAsia="宋体" w:cs="Times New Roman"/>
                <w:color w:val="000000"/>
                <w:sz w:val="24"/>
                <w:lang w:val="en-US" w:eastAsia="zh-CN"/>
              </w:rPr>
              <w:t>芜湖市2024-2025年大气污染防治重点任务攻坚工作方案</w:t>
            </w:r>
            <w:r>
              <w:rPr>
                <w:rFonts w:hint="eastAsia" w:ascii="Times New Roman" w:hAnsi="Times New Roman" w:eastAsia="宋体" w:cs="Times New Roman"/>
                <w:color w:val="000000"/>
                <w:sz w:val="24"/>
              </w:rPr>
              <w:t>》的通知（</w:t>
            </w:r>
            <w:r>
              <w:rPr>
                <w:rFonts w:hint="eastAsia" w:ascii="Times New Roman" w:hAnsi="Times New Roman" w:eastAsia="宋体" w:cs="Times New Roman"/>
                <w:color w:val="000000"/>
                <w:sz w:val="24"/>
                <w:lang w:val="en-US" w:eastAsia="zh-CN"/>
              </w:rPr>
              <w:t>芜</w:t>
            </w:r>
            <w:r>
              <w:rPr>
                <w:rFonts w:hint="eastAsia" w:ascii="Times New Roman" w:hAnsi="Times New Roman" w:eastAsia="宋体" w:cs="Times New Roman"/>
                <w:color w:val="000000"/>
                <w:sz w:val="24"/>
              </w:rPr>
              <w:t>环委办〔202</w:t>
            </w:r>
            <w:r>
              <w:rPr>
                <w:rFonts w:hint="eastAsia" w:ascii="Times New Roman" w:hAnsi="Times New Roman" w:eastAsia="宋体" w:cs="Times New Roman"/>
                <w:color w:val="000000"/>
                <w:sz w:val="24"/>
                <w:lang w:val="en-US" w:eastAsia="zh-CN"/>
              </w:rPr>
              <w:t>4</w:t>
            </w:r>
            <w:r>
              <w:rPr>
                <w:rFonts w:hint="eastAsia" w:ascii="Times New Roman" w:hAnsi="Times New Roman" w:eastAsia="宋体" w:cs="Times New Roman"/>
                <w:color w:val="000000"/>
                <w:sz w:val="24"/>
              </w:rPr>
              <w:t>〕</w:t>
            </w:r>
            <w:r>
              <w:rPr>
                <w:rFonts w:hint="eastAsia" w:ascii="Times New Roman" w:hAnsi="Times New Roman" w:eastAsia="宋体" w:cs="Times New Roman"/>
                <w:color w:val="000000"/>
                <w:sz w:val="24"/>
                <w:lang w:val="en-US" w:eastAsia="zh-CN"/>
              </w:rPr>
              <w:t>12</w:t>
            </w:r>
            <w:r>
              <w:rPr>
                <w:rFonts w:hint="eastAsia" w:ascii="Times New Roman" w:hAnsi="Times New Roman" w:eastAsia="宋体" w:cs="Times New Roman"/>
                <w:color w:val="000000"/>
                <w:sz w:val="24"/>
              </w:rPr>
              <w:t>号）</w:t>
            </w:r>
            <w:r>
              <w:rPr>
                <w:rFonts w:ascii="Times New Roman" w:hAnsi="Times New Roman" w:eastAsia="宋体" w:cs="Times New Roman"/>
                <w:color w:val="000000"/>
                <w:sz w:val="24"/>
              </w:rPr>
              <w:t>，本项目建设符合文件相关要求，见下表。</w:t>
            </w:r>
          </w:p>
          <w:p w14:paraId="7B9157D1">
            <w:pPr>
              <w:widowControl/>
              <w:numPr>
                <w:ilvl w:val="0"/>
                <w:numId w:val="0"/>
              </w:numPr>
              <w:adjustRightInd w:val="0"/>
              <w:spacing w:line="440" w:lineRule="exact"/>
              <w:ind w:leftChars="0"/>
              <w:jc w:val="center"/>
              <w:rPr>
                <w:rFonts w:ascii="Times New Roman" w:hAnsi="Times New Roman" w:eastAsia="宋体" w:cs="Times New Roman"/>
                <w:b/>
                <w:bCs/>
                <w:color w:val="000000"/>
                <w:sz w:val="24"/>
                <w:highlight w:val="none"/>
              </w:rPr>
            </w:pPr>
            <w:r>
              <w:rPr>
                <w:rFonts w:hint="eastAsia"/>
                <w:b/>
                <w:bCs/>
                <w:color w:val="000000"/>
                <w:sz w:val="24"/>
                <w:highlight w:val="none"/>
                <w:lang w:val="en-US" w:eastAsia="zh-CN"/>
              </w:rPr>
              <w:t>表1-10</w:t>
            </w:r>
            <w:r>
              <w:rPr>
                <w:b/>
                <w:bCs/>
                <w:color w:val="000000"/>
                <w:sz w:val="24"/>
                <w:highlight w:val="none"/>
              </w:rPr>
              <w:t>与</w:t>
            </w:r>
            <w:r>
              <w:rPr>
                <w:rFonts w:hint="eastAsia"/>
                <w:b/>
                <w:bCs/>
                <w:color w:val="000000"/>
                <w:sz w:val="24"/>
                <w:highlight w:val="none"/>
              </w:rPr>
              <w:t>《</w:t>
            </w:r>
            <w:r>
              <w:rPr>
                <w:rFonts w:hint="eastAsia"/>
                <w:b/>
                <w:bCs/>
                <w:color w:val="000000"/>
                <w:sz w:val="24"/>
                <w:highlight w:val="none"/>
                <w:lang w:val="en-US" w:eastAsia="zh-CN"/>
              </w:rPr>
              <w:t>芜湖市2024-2025年大气污染防治重点任务攻坚工作方案</w:t>
            </w:r>
            <w:r>
              <w:rPr>
                <w:rFonts w:hint="eastAsia"/>
                <w:b/>
                <w:bCs/>
                <w:color w:val="000000"/>
                <w:sz w:val="24"/>
                <w:highlight w:val="none"/>
              </w:rPr>
              <w:t>》</w:t>
            </w:r>
            <w:r>
              <w:rPr>
                <w:b/>
                <w:bCs/>
                <w:color w:val="000000"/>
                <w:sz w:val="24"/>
                <w:highlight w:val="none"/>
              </w:rPr>
              <w:t>相符性分析</w:t>
            </w:r>
          </w:p>
          <w:tbl>
            <w:tblPr>
              <w:tblStyle w:val="99"/>
              <w:tblW w:w="7378"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57" w:type="dxa"/>
                <w:bottom w:w="0" w:type="dxa"/>
                <w:right w:w="57" w:type="dxa"/>
              </w:tblCellMar>
            </w:tblPr>
            <w:tblGrid>
              <w:gridCol w:w="595"/>
              <w:gridCol w:w="3030"/>
              <w:gridCol w:w="3041"/>
              <w:gridCol w:w="712"/>
            </w:tblGrid>
            <w:tr w14:paraId="5966CED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57" w:type="dxa"/>
                  <w:bottom w:w="0" w:type="dxa"/>
                  <w:right w:w="57" w:type="dxa"/>
                </w:tblCellMar>
              </w:tblPrEx>
              <w:trPr>
                <w:trHeight w:val="573" w:hRule="atLeast"/>
                <w:jc w:val="center"/>
              </w:trPr>
              <w:tc>
                <w:tcPr>
                  <w:tcW w:w="595" w:type="dxa"/>
                  <w:tcBorders>
                    <w:tl2br w:val="nil"/>
                    <w:tr2bl w:val="nil"/>
                  </w:tcBorders>
                  <w:noWrap w:val="0"/>
                  <w:vAlign w:val="center"/>
                </w:tcPr>
                <w:p w14:paraId="3BF7781C">
                  <w:pPr>
                    <w:widowControl w:val="0"/>
                    <w:autoSpaceDE w:val="0"/>
                    <w:autoSpaceDN w:val="0"/>
                    <w:bidi w:val="0"/>
                    <w:adjustRightInd/>
                    <w:snapToGrid w:val="0"/>
                    <w:spacing w:line="240" w:lineRule="auto"/>
                    <w:ind w:firstLine="0" w:firstLineChars="0"/>
                    <w:jc w:val="center"/>
                    <w:rPr>
                      <w:rFonts w:ascii="Times New Roman" w:hAnsi="Times New Roman" w:eastAsia="宋体" w:cs="Times New Roman"/>
                      <w:b/>
                      <w:bCs/>
                      <w:color w:val="auto"/>
                      <w:kern w:val="0"/>
                      <w:sz w:val="21"/>
                      <w:szCs w:val="20"/>
                      <w:lang w:val="en-US" w:eastAsia="zh-CN" w:bidi="ar-SA"/>
                    </w:rPr>
                  </w:pPr>
                  <w:r>
                    <w:rPr>
                      <w:rFonts w:ascii="Times New Roman" w:hAnsi="Times New Roman" w:eastAsia="宋体" w:cs="Times New Roman"/>
                      <w:b/>
                      <w:bCs/>
                      <w:color w:val="auto"/>
                      <w:kern w:val="0"/>
                      <w:sz w:val="21"/>
                      <w:szCs w:val="20"/>
                      <w:lang w:val="en-US" w:eastAsia="zh-CN" w:bidi="ar-SA"/>
                    </w:rPr>
                    <w:t>序号</w:t>
                  </w:r>
                </w:p>
              </w:tc>
              <w:tc>
                <w:tcPr>
                  <w:tcW w:w="3030" w:type="dxa"/>
                  <w:tcBorders>
                    <w:tl2br w:val="nil"/>
                    <w:tr2bl w:val="nil"/>
                  </w:tcBorders>
                  <w:noWrap w:val="0"/>
                  <w:vAlign w:val="center"/>
                </w:tcPr>
                <w:p w14:paraId="25389455">
                  <w:pPr>
                    <w:widowControl w:val="0"/>
                    <w:autoSpaceDE w:val="0"/>
                    <w:autoSpaceDN w:val="0"/>
                    <w:bidi w:val="0"/>
                    <w:adjustRightInd/>
                    <w:snapToGrid w:val="0"/>
                    <w:spacing w:line="240" w:lineRule="auto"/>
                    <w:ind w:firstLine="0" w:firstLineChars="0"/>
                    <w:jc w:val="center"/>
                    <w:rPr>
                      <w:rFonts w:ascii="Times New Roman" w:hAnsi="Times New Roman" w:eastAsia="宋体" w:cs="Times New Roman"/>
                      <w:b/>
                      <w:bCs/>
                      <w:color w:val="auto"/>
                      <w:kern w:val="0"/>
                      <w:sz w:val="21"/>
                      <w:szCs w:val="20"/>
                      <w:lang w:val="en-US" w:eastAsia="zh-CN" w:bidi="ar-SA"/>
                    </w:rPr>
                  </w:pPr>
                  <w:r>
                    <w:rPr>
                      <w:rFonts w:ascii="Times New Roman" w:hAnsi="Times New Roman" w:eastAsia="宋体" w:cs="Times New Roman"/>
                      <w:b/>
                      <w:bCs/>
                      <w:color w:val="auto"/>
                      <w:kern w:val="0"/>
                      <w:sz w:val="21"/>
                      <w:szCs w:val="20"/>
                      <w:lang w:val="en-US" w:eastAsia="zh-CN" w:bidi="ar-SA"/>
                    </w:rPr>
                    <w:t>文件内容</w:t>
                  </w:r>
                </w:p>
              </w:tc>
              <w:tc>
                <w:tcPr>
                  <w:tcW w:w="3041" w:type="dxa"/>
                  <w:tcBorders>
                    <w:tl2br w:val="nil"/>
                    <w:tr2bl w:val="nil"/>
                  </w:tcBorders>
                  <w:noWrap w:val="0"/>
                  <w:vAlign w:val="center"/>
                </w:tcPr>
                <w:p w14:paraId="4920413A">
                  <w:pPr>
                    <w:widowControl w:val="0"/>
                    <w:autoSpaceDE w:val="0"/>
                    <w:autoSpaceDN w:val="0"/>
                    <w:bidi w:val="0"/>
                    <w:adjustRightInd/>
                    <w:snapToGrid w:val="0"/>
                    <w:spacing w:line="240" w:lineRule="auto"/>
                    <w:ind w:firstLine="0" w:firstLineChars="0"/>
                    <w:jc w:val="center"/>
                    <w:rPr>
                      <w:rFonts w:ascii="Times New Roman" w:hAnsi="Times New Roman" w:eastAsia="宋体" w:cs="Times New Roman"/>
                      <w:b/>
                      <w:bCs/>
                      <w:color w:val="auto"/>
                      <w:kern w:val="0"/>
                      <w:sz w:val="21"/>
                      <w:szCs w:val="20"/>
                      <w:lang w:val="en-US" w:eastAsia="zh-CN" w:bidi="ar-SA"/>
                    </w:rPr>
                  </w:pPr>
                  <w:r>
                    <w:rPr>
                      <w:rFonts w:ascii="Times New Roman" w:hAnsi="Times New Roman" w:eastAsia="宋体" w:cs="Times New Roman"/>
                      <w:b/>
                      <w:bCs/>
                      <w:color w:val="auto"/>
                      <w:kern w:val="0"/>
                      <w:sz w:val="21"/>
                      <w:szCs w:val="20"/>
                      <w:lang w:val="en-US" w:eastAsia="zh-CN" w:bidi="ar-SA"/>
                    </w:rPr>
                    <w:t>本项目建设情况</w:t>
                  </w:r>
                </w:p>
              </w:tc>
              <w:tc>
                <w:tcPr>
                  <w:tcW w:w="712" w:type="dxa"/>
                  <w:tcBorders>
                    <w:tl2br w:val="nil"/>
                    <w:tr2bl w:val="nil"/>
                  </w:tcBorders>
                  <w:noWrap w:val="0"/>
                  <w:vAlign w:val="center"/>
                </w:tcPr>
                <w:p w14:paraId="6CC63B4A">
                  <w:pPr>
                    <w:widowControl w:val="0"/>
                    <w:autoSpaceDE w:val="0"/>
                    <w:autoSpaceDN w:val="0"/>
                    <w:bidi w:val="0"/>
                    <w:adjustRightInd/>
                    <w:snapToGrid w:val="0"/>
                    <w:spacing w:line="240" w:lineRule="auto"/>
                    <w:ind w:firstLine="0" w:firstLineChars="0"/>
                    <w:jc w:val="center"/>
                    <w:rPr>
                      <w:rFonts w:ascii="Times New Roman" w:hAnsi="Times New Roman" w:eastAsia="宋体" w:cs="Times New Roman"/>
                      <w:b/>
                      <w:bCs/>
                      <w:color w:val="auto"/>
                      <w:kern w:val="0"/>
                      <w:sz w:val="21"/>
                      <w:szCs w:val="20"/>
                      <w:lang w:val="en-US" w:eastAsia="zh-CN" w:bidi="ar-SA"/>
                    </w:rPr>
                  </w:pPr>
                  <w:r>
                    <w:rPr>
                      <w:rFonts w:ascii="Times New Roman" w:hAnsi="Times New Roman" w:eastAsia="宋体" w:cs="Times New Roman"/>
                      <w:b/>
                      <w:bCs/>
                      <w:color w:val="auto"/>
                      <w:kern w:val="0"/>
                      <w:sz w:val="21"/>
                      <w:szCs w:val="20"/>
                      <w:lang w:val="en-US" w:eastAsia="zh-CN" w:bidi="ar-SA"/>
                    </w:rPr>
                    <w:t>相符性</w:t>
                  </w:r>
                </w:p>
              </w:tc>
            </w:tr>
            <w:tr w14:paraId="5406B1C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57" w:type="dxa"/>
                  <w:bottom w:w="0" w:type="dxa"/>
                  <w:right w:w="57" w:type="dxa"/>
                </w:tblCellMar>
              </w:tblPrEx>
              <w:trPr>
                <w:trHeight w:val="293" w:hRule="atLeast"/>
                <w:jc w:val="center"/>
              </w:trPr>
              <w:tc>
                <w:tcPr>
                  <w:tcW w:w="595" w:type="dxa"/>
                  <w:tcBorders>
                    <w:tl2br w:val="nil"/>
                    <w:tr2bl w:val="nil"/>
                  </w:tcBorders>
                  <w:noWrap w:val="0"/>
                  <w:vAlign w:val="center"/>
                </w:tcPr>
                <w:p w14:paraId="2898E682">
                  <w:pPr>
                    <w:widowControl w:val="0"/>
                    <w:autoSpaceDE w:val="0"/>
                    <w:autoSpaceDN w:val="0"/>
                    <w:bidi w:val="0"/>
                    <w:adjustRightInd/>
                    <w:snapToGrid w:val="0"/>
                    <w:spacing w:line="240" w:lineRule="auto"/>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ascii="Times New Roman" w:hAnsi="Times New Roman" w:eastAsia="宋体" w:cs="Times New Roman"/>
                      <w:color w:val="auto"/>
                      <w:kern w:val="0"/>
                      <w:sz w:val="21"/>
                      <w:szCs w:val="20"/>
                      <w:lang w:val="en-US" w:eastAsia="zh-CN" w:bidi="ar-SA"/>
                    </w:rPr>
                    <w:t>1</w:t>
                  </w:r>
                </w:p>
              </w:tc>
              <w:tc>
                <w:tcPr>
                  <w:tcW w:w="3030" w:type="dxa"/>
                  <w:tcBorders>
                    <w:tl2br w:val="nil"/>
                    <w:tr2bl w:val="nil"/>
                  </w:tcBorders>
                  <w:noWrap w:val="0"/>
                  <w:vAlign w:val="center"/>
                </w:tcPr>
                <w:p w14:paraId="79977ACE">
                  <w:pPr>
                    <w:widowControl w:val="0"/>
                    <w:autoSpaceDE w:val="0"/>
                    <w:autoSpaceDN w:val="0"/>
                    <w:bidi w:val="0"/>
                    <w:adjustRightInd/>
                    <w:snapToGrid w:val="0"/>
                    <w:spacing w:line="240" w:lineRule="auto"/>
                    <w:ind w:firstLine="0" w:firstLineChars="0"/>
                    <w:jc w:val="center"/>
                    <w:rPr>
                      <w:rFonts w:ascii="Times New Roman" w:hAnsi="Times New Roman" w:eastAsia="宋体" w:cs="Times New Roman"/>
                      <w:color w:val="auto"/>
                      <w:kern w:val="0"/>
                      <w:sz w:val="21"/>
                      <w:szCs w:val="20"/>
                      <w:lang w:val="en-US" w:eastAsia="zh-CN" w:bidi="ar-SA"/>
                    </w:rPr>
                  </w:pPr>
                  <w:r>
                    <w:rPr>
                      <w:rFonts w:hint="eastAsia" w:ascii="Times New Roman" w:hAnsi="Times New Roman" w:eastAsia="宋体" w:cs="Times New Roman"/>
                      <w:color w:val="auto"/>
                      <w:kern w:val="0"/>
                      <w:sz w:val="21"/>
                      <w:szCs w:val="20"/>
                      <w:lang w:val="en-US" w:eastAsia="zh-CN" w:bidi="ar-SA"/>
                    </w:rPr>
                    <w:t>严格项目准入：新改扩建项目严格落实国家产业规划、产业政策、生态环境分区管控等相关要求，源头管控低水平项目上马。对新改扩建重点行业企业项目，原则上按照重点行业A级绩效或引领性绩效水平建设，控制非绩效先进水平企业新增数量。</w:t>
                  </w:r>
                </w:p>
              </w:tc>
              <w:tc>
                <w:tcPr>
                  <w:tcW w:w="3041" w:type="dxa"/>
                  <w:tcBorders>
                    <w:tl2br w:val="nil"/>
                    <w:tr2bl w:val="nil"/>
                  </w:tcBorders>
                  <w:noWrap w:val="0"/>
                  <w:vAlign w:val="center"/>
                </w:tcPr>
                <w:p w14:paraId="693FC3A5">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ascii="Times New Roman" w:hAnsi="Times New Roman" w:eastAsia="宋体" w:cs="Times New Roman"/>
                      <w:color w:val="auto"/>
                      <w:kern w:val="0"/>
                      <w:sz w:val="21"/>
                      <w:szCs w:val="20"/>
                      <w:lang w:val="en-US" w:eastAsia="zh-CN" w:bidi="ar-SA"/>
                    </w:rPr>
                    <w:t>本新建项目符合开发区规划、产业准入、国家产业政策及生态环境分区管控等相关要求，不属于低水平项目。项目属于C3670汽车零部件及配件制造</w:t>
                  </w:r>
                  <w:r>
                    <w:rPr>
                      <w:rFonts w:hint="eastAsia" w:cs="Times New Roman"/>
                      <w:color w:val="auto"/>
                      <w:kern w:val="0"/>
                      <w:sz w:val="21"/>
                      <w:szCs w:val="20"/>
                      <w:lang w:val="en-US" w:eastAsia="zh-CN" w:bidi="ar-SA"/>
                    </w:rPr>
                    <w:t>和C2929</w:t>
                  </w:r>
                  <w:r>
                    <w:rPr>
                      <w:rFonts w:hint="eastAsia" w:eastAsia="宋体" w:cs="Times New Roman"/>
                      <w:color w:val="auto"/>
                      <w:kern w:val="0"/>
                      <w:sz w:val="21"/>
                      <w:szCs w:val="20"/>
                      <w:lang w:val="en-US" w:eastAsia="zh-CN" w:bidi="ar-SA"/>
                    </w:rPr>
                    <w:t>塑料零件及其他塑料制品制造</w:t>
                  </w:r>
                  <w:r>
                    <w:rPr>
                      <w:rFonts w:hint="eastAsia" w:ascii="Times New Roman" w:hAnsi="Times New Roman" w:eastAsia="宋体" w:cs="Times New Roman"/>
                      <w:color w:val="auto"/>
                      <w:kern w:val="0"/>
                      <w:sz w:val="21"/>
                      <w:szCs w:val="20"/>
                      <w:lang w:val="en-US" w:eastAsia="zh-CN" w:bidi="ar-SA"/>
                    </w:rPr>
                    <w:t>，</w:t>
                  </w:r>
                  <w:r>
                    <w:rPr>
                      <w:rFonts w:hint="eastAsia" w:cs="Times New Roman"/>
                      <w:color w:val="auto"/>
                      <w:kern w:val="0"/>
                      <w:sz w:val="21"/>
                      <w:szCs w:val="20"/>
                      <w:lang w:val="en-US" w:eastAsia="zh-CN" w:bidi="ar-SA"/>
                    </w:rPr>
                    <w:t>注塑过程中产生的有机废气</w:t>
                  </w:r>
                  <w:r>
                    <w:rPr>
                      <w:rFonts w:hint="eastAsia"/>
                      <w:szCs w:val="21"/>
                      <w:highlight w:val="none"/>
                      <w:lang w:val="en-US" w:eastAsia="zh-CN"/>
                    </w:rPr>
                    <w:t>经</w:t>
                  </w:r>
                  <w:r>
                    <w:rPr>
                      <w:rFonts w:hint="eastAsia" w:eastAsia="宋体"/>
                      <w:szCs w:val="21"/>
                      <w:lang w:val="en-US" w:eastAsia="zh-CN"/>
                    </w:rPr>
                    <w:t>二级活性炭吸附装置处理后通过一根15m高排气筒外排。</w:t>
                  </w:r>
                </w:p>
              </w:tc>
              <w:tc>
                <w:tcPr>
                  <w:tcW w:w="712" w:type="dxa"/>
                  <w:tcBorders>
                    <w:tl2br w:val="nil"/>
                    <w:tr2bl w:val="nil"/>
                  </w:tcBorders>
                  <w:noWrap w:val="0"/>
                  <w:vAlign w:val="center"/>
                </w:tcPr>
                <w:p w14:paraId="3062CF2C">
                  <w:pPr>
                    <w:widowControl w:val="0"/>
                    <w:autoSpaceDE w:val="0"/>
                    <w:autoSpaceDN w:val="0"/>
                    <w:bidi w:val="0"/>
                    <w:adjustRightInd/>
                    <w:snapToGrid w:val="0"/>
                    <w:spacing w:line="240" w:lineRule="auto"/>
                    <w:ind w:firstLine="0" w:firstLineChars="0"/>
                    <w:jc w:val="center"/>
                    <w:rPr>
                      <w:rFonts w:ascii="Times New Roman" w:hAnsi="Times New Roman" w:eastAsia="宋体" w:cs="Times New Roman"/>
                      <w:color w:val="auto"/>
                      <w:kern w:val="0"/>
                      <w:sz w:val="21"/>
                      <w:szCs w:val="20"/>
                      <w:lang w:val="en-US" w:eastAsia="zh-CN" w:bidi="ar-SA"/>
                    </w:rPr>
                  </w:pPr>
                  <w:r>
                    <w:rPr>
                      <w:rFonts w:ascii="Times New Roman" w:hAnsi="Times New Roman" w:eastAsia="宋体" w:cs="Times New Roman"/>
                      <w:color w:val="auto"/>
                      <w:kern w:val="0"/>
                      <w:sz w:val="21"/>
                      <w:szCs w:val="20"/>
                      <w:lang w:val="en-US" w:eastAsia="zh-CN" w:bidi="ar-SA"/>
                    </w:rPr>
                    <w:t>符合</w:t>
                  </w:r>
                </w:p>
              </w:tc>
            </w:tr>
            <w:tr w14:paraId="4AF579E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57" w:type="dxa"/>
                  <w:bottom w:w="0" w:type="dxa"/>
                  <w:right w:w="57" w:type="dxa"/>
                </w:tblCellMar>
              </w:tblPrEx>
              <w:trPr>
                <w:trHeight w:val="1618" w:hRule="atLeast"/>
                <w:jc w:val="center"/>
              </w:trPr>
              <w:tc>
                <w:tcPr>
                  <w:tcW w:w="595" w:type="dxa"/>
                  <w:tcBorders>
                    <w:tl2br w:val="nil"/>
                    <w:tr2bl w:val="nil"/>
                  </w:tcBorders>
                  <w:noWrap w:val="0"/>
                  <w:vAlign w:val="center"/>
                </w:tcPr>
                <w:p w14:paraId="21CC648B">
                  <w:pPr>
                    <w:widowControl w:val="0"/>
                    <w:autoSpaceDE w:val="0"/>
                    <w:autoSpaceDN w:val="0"/>
                    <w:bidi w:val="0"/>
                    <w:adjustRightInd/>
                    <w:snapToGrid w:val="0"/>
                    <w:spacing w:line="240" w:lineRule="auto"/>
                    <w:ind w:firstLine="0" w:firstLineChars="0"/>
                    <w:jc w:val="center"/>
                    <w:rPr>
                      <w:rFonts w:ascii="Times New Roman" w:hAnsi="Times New Roman" w:eastAsia="宋体" w:cs="Times New Roman"/>
                      <w:color w:val="auto"/>
                      <w:kern w:val="0"/>
                      <w:sz w:val="21"/>
                      <w:szCs w:val="20"/>
                      <w:lang w:val="en-US" w:eastAsia="zh-CN" w:bidi="ar-SA"/>
                    </w:rPr>
                  </w:pPr>
                  <w:r>
                    <w:rPr>
                      <w:rFonts w:ascii="Times New Roman" w:hAnsi="Times New Roman" w:eastAsia="宋体" w:cs="Times New Roman"/>
                      <w:color w:val="auto"/>
                      <w:kern w:val="0"/>
                      <w:sz w:val="21"/>
                      <w:szCs w:val="20"/>
                      <w:lang w:val="en-US" w:eastAsia="zh-CN" w:bidi="ar-SA"/>
                    </w:rPr>
                    <w:t>2</w:t>
                  </w:r>
                </w:p>
              </w:tc>
              <w:tc>
                <w:tcPr>
                  <w:tcW w:w="3030" w:type="dxa"/>
                  <w:tcBorders>
                    <w:tl2br w:val="nil"/>
                    <w:tr2bl w:val="nil"/>
                  </w:tcBorders>
                  <w:noWrap w:val="0"/>
                  <w:vAlign w:val="center"/>
                </w:tcPr>
                <w:p w14:paraId="4F6D0E17">
                  <w:pPr>
                    <w:widowControl w:val="0"/>
                    <w:autoSpaceDE w:val="0"/>
                    <w:autoSpaceDN w:val="0"/>
                    <w:bidi w:val="0"/>
                    <w:adjustRightInd/>
                    <w:snapToGrid w:val="0"/>
                    <w:spacing w:line="240" w:lineRule="auto"/>
                    <w:ind w:firstLine="0" w:firstLineChars="0"/>
                    <w:jc w:val="center"/>
                    <w:rPr>
                      <w:rFonts w:ascii="Times New Roman" w:hAnsi="Times New Roman" w:eastAsia="宋体" w:cs="Times New Roman"/>
                      <w:color w:val="auto"/>
                      <w:kern w:val="0"/>
                      <w:sz w:val="21"/>
                      <w:szCs w:val="20"/>
                      <w:lang w:val="en-US" w:eastAsia="zh-CN" w:bidi="ar-SA"/>
                    </w:rPr>
                  </w:pPr>
                  <w:r>
                    <w:rPr>
                      <w:rFonts w:hint="eastAsia" w:ascii="Times New Roman" w:hAnsi="Times New Roman" w:eastAsia="宋体" w:cs="Times New Roman"/>
                      <w:color w:val="auto"/>
                      <w:kern w:val="0"/>
                      <w:sz w:val="21"/>
                      <w:szCs w:val="20"/>
                      <w:lang w:val="en-US" w:eastAsia="zh-CN" w:bidi="ar-SA"/>
                    </w:rPr>
                    <w:t>开展低挥发性有机物含量原辅材料源头替代：加大工业涂装行业、包装印刷行业低（无）VOCs含量原辅材料的替代工作力度。在建筑房屋和市政工程领域全面推广使用低VOCs含量涂料和胶黏剂，除特殊功能要求外的室内地坪施工、室外构筑物防护和城市道路交通标志基本使用低VOCs含量涂料。严格执行涂料、油墨、胶粘剂、清洗剂VOCs含量限值标准。</w:t>
                  </w:r>
                </w:p>
              </w:tc>
              <w:tc>
                <w:tcPr>
                  <w:tcW w:w="3041" w:type="dxa"/>
                  <w:tcBorders>
                    <w:tl2br w:val="nil"/>
                    <w:tr2bl w:val="nil"/>
                  </w:tcBorders>
                  <w:noWrap w:val="0"/>
                  <w:vAlign w:val="center"/>
                </w:tcPr>
                <w:p w14:paraId="45AE0D8C">
                  <w:pPr>
                    <w:widowControl w:val="0"/>
                    <w:autoSpaceDE w:val="0"/>
                    <w:autoSpaceDN w:val="0"/>
                    <w:bidi w:val="0"/>
                    <w:adjustRightInd/>
                    <w:snapToGrid w:val="0"/>
                    <w:spacing w:line="240" w:lineRule="auto"/>
                    <w:ind w:firstLine="0" w:firstLineChars="0"/>
                    <w:jc w:val="center"/>
                    <w:rPr>
                      <w:rFonts w:ascii="Times New Roman" w:hAnsi="Times New Roman" w:eastAsia="宋体" w:cs="Times New Roman"/>
                      <w:color w:val="auto"/>
                      <w:kern w:val="0"/>
                      <w:sz w:val="21"/>
                      <w:szCs w:val="20"/>
                      <w:lang w:val="en-US" w:eastAsia="zh-CN" w:bidi="ar-SA"/>
                    </w:rPr>
                  </w:pPr>
                  <w:r>
                    <w:rPr>
                      <w:rFonts w:hint="eastAsia" w:eastAsia="宋体"/>
                      <w:szCs w:val="21"/>
                      <w:lang w:val="en-US" w:eastAsia="zh-CN"/>
                    </w:rPr>
                    <w:t>项目</w:t>
                  </w:r>
                  <w:r>
                    <w:rPr>
                      <w:rFonts w:hint="eastAsia"/>
                      <w:szCs w:val="21"/>
                      <w:lang w:val="en-US" w:eastAsia="zh-CN"/>
                    </w:rPr>
                    <w:t>不涉及</w:t>
                  </w:r>
                  <w:r>
                    <w:rPr>
                      <w:rFonts w:hint="eastAsia" w:eastAsia="宋体"/>
                      <w:szCs w:val="21"/>
                      <w:lang w:val="en-US" w:eastAsia="zh-CN"/>
                    </w:rPr>
                    <w:t>涂料、油墨、胶粘剂、清洗剂</w:t>
                  </w:r>
                  <w:r>
                    <w:rPr>
                      <w:rFonts w:hint="eastAsia"/>
                      <w:szCs w:val="21"/>
                      <w:lang w:val="en-US" w:eastAsia="zh-CN"/>
                    </w:rPr>
                    <w:t>，</w:t>
                  </w:r>
                  <w:r>
                    <w:rPr>
                      <w:rFonts w:hint="eastAsia" w:eastAsia="宋体"/>
                      <w:szCs w:val="21"/>
                      <w:lang w:val="en-US" w:eastAsia="zh-CN"/>
                    </w:rPr>
                    <w:t>注塑过程产生的有机废气经二级活性炭吸附装置处理后通过一根15m高排气筒外排</w:t>
                  </w:r>
                  <w:r>
                    <w:rPr>
                      <w:rFonts w:hint="eastAsia"/>
                      <w:szCs w:val="21"/>
                      <w:lang w:val="en-US" w:eastAsia="zh-CN"/>
                    </w:rPr>
                    <w:t>。</w:t>
                  </w:r>
                </w:p>
              </w:tc>
              <w:tc>
                <w:tcPr>
                  <w:tcW w:w="712" w:type="dxa"/>
                  <w:tcBorders>
                    <w:tl2br w:val="nil"/>
                    <w:tr2bl w:val="nil"/>
                  </w:tcBorders>
                  <w:noWrap w:val="0"/>
                  <w:vAlign w:val="center"/>
                </w:tcPr>
                <w:p w14:paraId="32CECEA2">
                  <w:pPr>
                    <w:widowControl w:val="0"/>
                    <w:autoSpaceDE w:val="0"/>
                    <w:autoSpaceDN w:val="0"/>
                    <w:bidi w:val="0"/>
                    <w:adjustRightInd/>
                    <w:snapToGrid w:val="0"/>
                    <w:spacing w:line="240" w:lineRule="auto"/>
                    <w:ind w:firstLine="0" w:firstLineChars="0"/>
                    <w:jc w:val="center"/>
                    <w:rPr>
                      <w:rFonts w:ascii="Times New Roman" w:hAnsi="Times New Roman" w:eastAsia="宋体" w:cs="Times New Roman"/>
                      <w:color w:val="auto"/>
                      <w:kern w:val="0"/>
                      <w:sz w:val="21"/>
                      <w:szCs w:val="20"/>
                      <w:lang w:val="en-US" w:eastAsia="zh-CN" w:bidi="ar-SA"/>
                    </w:rPr>
                  </w:pPr>
                  <w:r>
                    <w:rPr>
                      <w:rFonts w:ascii="Times New Roman" w:hAnsi="Times New Roman" w:eastAsia="宋体" w:cs="Times New Roman"/>
                      <w:color w:val="auto"/>
                      <w:kern w:val="0"/>
                      <w:sz w:val="21"/>
                      <w:szCs w:val="20"/>
                      <w:lang w:val="en-US" w:eastAsia="zh-CN" w:bidi="ar-SA"/>
                    </w:rPr>
                    <w:t>符合</w:t>
                  </w:r>
                </w:p>
              </w:tc>
            </w:tr>
          </w:tbl>
          <w:p w14:paraId="31C3BA6F">
            <w:pPr>
              <w:numPr>
                <w:ilvl w:val="0"/>
                <w:numId w:val="0"/>
              </w:numPr>
              <w:spacing w:line="440" w:lineRule="atLeast"/>
              <w:ind w:firstLine="482" w:firstLineChars="200"/>
              <w:rPr>
                <w:rFonts w:hint="eastAsia"/>
                <w:b/>
                <w:color w:val="auto"/>
                <w:sz w:val="24"/>
                <w:highlight w:val="none"/>
              </w:rPr>
            </w:pPr>
            <w:r>
              <w:rPr>
                <w:rFonts w:hint="eastAsia"/>
                <w:b/>
                <w:color w:val="auto"/>
                <w:sz w:val="24"/>
                <w:highlight w:val="none"/>
                <w:lang w:val="en-US" w:eastAsia="zh-CN"/>
              </w:rPr>
              <w:t>13、</w:t>
            </w:r>
            <w:r>
              <w:rPr>
                <w:rFonts w:hint="eastAsia"/>
                <w:b/>
                <w:color w:val="auto"/>
                <w:sz w:val="24"/>
                <w:highlight w:val="none"/>
              </w:rPr>
              <w:t>与《关于加快解决当前挥发性有机物治理突出问题的通知》（</w:t>
            </w:r>
            <w:r>
              <w:rPr>
                <w:b/>
                <w:color w:val="auto"/>
                <w:sz w:val="24"/>
                <w:highlight w:val="none"/>
              </w:rPr>
              <w:t>环大气〔2021〕65号</w:t>
            </w:r>
            <w:r>
              <w:rPr>
                <w:rFonts w:hint="eastAsia"/>
                <w:b/>
                <w:color w:val="auto"/>
                <w:sz w:val="24"/>
                <w:highlight w:val="none"/>
              </w:rPr>
              <w:t>）相符性</w:t>
            </w:r>
          </w:p>
          <w:p w14:paraId="6CFF16A9">
            <w:pPr>
              <w:widowControl/>
              <w:numPr>
                <w:ilvl w:val="0"/>
                <w:numId w:val="0"/>
              </w:numPr>
              <w:adjustRightInd w:val="0"/>
              <w:spacing w:line="440" w:lineRule="exact"/>
              <w:ind w:leftChars="0"/>
              <w:jc w:val="center"/>
              <w:rPr>
                <w:b/>
                <w:color w:val="auto"/>
                <w:sz w:val="24"/>
                <w:highlight w:val="none"/>
              </w:rPr>
            </w:pPr>
            <w:r>
              <w:rPr>
                <w:rFonts w:hint="eastAsia"/>
                <w:b/>
                <w:color w:val="auto"/>
                <w:sz w:val="24"/>
                <w:highlight w:val="none"/>
                <w:lang w:val="en-US" w:eastAsia="zh-CN"/>
              </w:rPr>
              <w:t>表1-11 与</w:t>
            </w:r>
            <w:r>
              <w:rPr>
                <w:rFonts w:hint="eastAsia"/>
                <w:b/>
                <w:color w:val="auto"/>
                <w:sz w:val="24"/>
                <w:highlight w:val="none"/>
              </w:rPr>
              <w:t>“环大气〔2021〕65号”符合性分析</w:t>
            </w:r>
          </w:p>
          <w:tbl>
            <w:tblPr>
              <w:tblStyle w:val="21"/>
              <w:tblW w:w="73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91"/>
              <w:gridCol w:w="1185"/>
              <w:gridCol w:w="843"/>
            </w:tblGrid>
            <w:tr w14:paraId="1AC69F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5291" w:type="dxa"/>
                  <w:tcBorders>
                    <w:tl2br w:val="nil"/>
                    <w:tr2bl w:val="nil"/>
                  </w:tcBorders>
                  <w:vAlign w:val="center"/>
                </w:tcPr>
                <w:p w14:paraId="205D8FBE">
                  <w:pPr>
                    <w:snapToGrid w:val="0"/>
                    <w:jc w:val="center"/>
                    <w:rPr>
                      <w:rFonts w:hAnsi="宋体"/>
                      <w:b/>
                      <w:color w:val="auto"/>
                      <w:szCs w:val="21"/>
                      <w:highlight w:val="none"/>
                    </w:rPr>
                  </w:pPr>
                  <w:r>
                    <w:rPr>
                      <w:rFonts w:hint="eastAsia"/>
                      <w:b/>
                      <w:color w:val="auto"/>
                      <w:szCs w:val="21"/>
                      <w:highlight w:val="none"/>
                    </w:rPr>
                    <w:t>环大气办[2021]</w:t>
                  </w:r>
                  <w:r>
                    <w:rPr>
                      <w:b/>
                      <w:color w:val="auto"/>
                      <w:szCs w:val="21"/>
                      <w:highlight w:val="none"/>
                    </w:rPr>
                    <w:t>65</w:t>
                  </w:r>
                  <w:r>
                    <w:rPr>
                      <w:rFonts w:hint="eastAsia"/>
                      <w:b/>
                      <w:color w:val="auto"/>
                      <w:szCs w:val="21"/>
                      <w:highlight w:val="none"/>
                    </w:rPr>
                    <w:t>号</w:t>
                  </w:r>
                  <w:r>
                    <w:rPr>
                      <w:rFonts w:hint="eastAsia" w:hAnsi="宋体"/>
                      <w:b/>
                      <w:color w:val="auto"/>
                      <w:szCs w:val="21"/>
                      <w:highlight w:val="none"/>
                    </w:rPr>
                    <w:t>要求</w:t>
                  </w:r>
                </w:p>
              </w:tc>
              <w:tc>
                <w:tcPr>
                  <w:tcW w:w="1185" w:type="dxa"/>
                  <w:tcBorders>
                    <w:tl2br w:val="nil"/>
                    <w:tr2bl w:val="nil"/>
                  </w:tcBorders>
                  <w:vAlign w:val="center"/>
                </w:tcPr>
                <w:p w14:paraId="69FE94AA">
                  <w:pPr>
                    <w:snapToGrid w:val="0"/>
                    <w:jc w:val="center"/>
                    <w:rPr>
                      <w:rFonts w:hAnsi="宋体"/>
                      <w:b/>
                      <w:color w:val="auto"/>
                      <w:szCs w:val="21"/>
                      <w:highlight w:val="none"/>
                    </w:rPr>
                  </w:pPr>
                  <w:r>
                    <w:rPr>
                      <w:rFonts w:hAnsi="宋体"/>
                      <w:b/>
                      <w:color w:val="auto"/>
                      <w:szCs w:val="21"/>
                      <w:highlight w:val="none"/>
                    </w:rPr>
                    <w:t>本项目建设</w:t>
                  </w:r>
                  <w:r>
                    <w:rPr>
                      <w:rFonts w:hint="eastAsia" w:hAnsi="宋体"/>
                      <w:b/>
                      <w:color w:val="auto"/>
                      <w:szCs w:val="21"/>
                      <w:highlight w:val="none"/>
                    </w:rPr>
                    <w:t>情况</w:t>
                  </w:r>
                </w:p>
              </w:tc>
              <w:tc>
                <w:tcPr>
                  <w:tcW w:w="843" w:type="dxa"/>
                  <w:tcBorders>
                    <w:tl2br w:val="nil"/>
                    <w:tr2bl w:val="nil"/>
                  </w:tcBorders>
                  <w:vAlign w:val="center"/>
                </w:tcPr>
                <w:p w14:paraId="0D75EAA4">
                  <w:pPr>
                    <w:snapToGrid w:val="0"/>
                    <w:jc w:val="center"/>
                    <w:rPr>
                      <w:b/>
                      <w:color w:val="auto"/>
                      <w:szCs w:val="21"/>
                      <w:highlight w:val="none"/>
                    </w:rPr>
                  </w:pPr>
                  <w:r>
                    <w:rPr>
                      <w:rFonts w:hint="eastAsia"/>
                      <w:b/>
                      <w:color w:val="auto"/>
                      <w:szCs w:val="21"/>
                      <w:highlight w:val="none"/>
                    </w:rPr>
                    <w:t>相符性</w:t>
                  </w:r>
                </w:p>
              </w:tc>
            </w:tr>
            <w:tr w14:paraId="3B5FBA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5291" w:type="dxa"/>
                  <w:tcBorders>
                    <w:tl2br w:val="nil"/>
                    <w:tr2bl w:val="nil"/>
                  </w:tcBorders>
                  <w:vAlign w:val="center"/>
                </w:tcPr>
                <w:p w14:paraId="0E8A377F">
                  <w:pPr>
                    <w:snapToGrid w:val="0"/>
                    <w:jc w:val="center"/>
                    <w:rPr>
                      <w:rFonts w:hAnsi="宋体"/>
                      <w:color w:val="auto"/>
                      <w:szCs w:val="21"/>
                      <w:highlight w:val="none"/>
                    </w:rPr>
                  </w:pPr>
                  <w:r>
                    <w:rPr>
                      <w:rFonts w:hAnsi="宋体"/>
                      <w:color w:val="auto"/>
                      <w:szCs w:val="21"/>
                      <w:highlight w:val="none"/>
                    </w:rPr>
                    <w:t>产生 VOCs 的生产环节优先采用密闭设备、在密闭空间中操作或采用全密闭集气罩收集方式，并保持负压运行。无尘等级要求车间需设置成正压的，宜建设内层正压、外层微负压的双层整体密闭收集空间。对采用局部收集方式的企业，距废气收集系统排风罩开口面最远处的 VOCs 无组织排放位置控制风速不低于0.3m/s；推广以生产线或设备为单位设置隔间，收集风量应确保隔间保持微负压。当废气产生点较多、彼此距离较远时，在满足设计规范、风压平衡的基础上，适当分设多套收集系统或中继风机。废气收集系统的输送管道应密闭、无破损。焦化行业加强焦炉密封性检查，对于变形炉门、炉顶炉盖及时修复更换；加强焦炉工况监督，对焦炉墙串漏及时修缮。制药、农药、涂料、油墨、胶粘剂等间歇性生产工序较多的行业应对进出料、物料输送、搅拌、固液分离、干燥、灌装、取样等过程采取密闭化措施，提升工艺装备水平；含VOCs物料输送原则上采用重力流或泵送方式；有机液体进料鼓励采用底部、浸入管给料方式；固体物料投加逐步推进采用密闭式投料装置。工业涂装行业建设密闭喷漆房，对于大型构件（船舶、钢结构）实施分段涂装，废气进行收集治理；对于确需露天涂装的，应采用符合国家或地方标准要求的低（无）VOCs含量涂料，或使用移动式废气收集治理设施。包装印刷行业的印刷、复合、涂布工序实施密闭化改造，全面采用VOCs 质量占比小于 10%的原辅材料的除外。鼓励石油炼制企业开展冷焦水、切焦水等废气收集治理。使用VOCs质量占比大于等于10%的涂料、油墨、胶粘剂、稀释剂、清洗剂等物料存储、调配、转移、输送等环节应密闭。</w:t>
                  </w:r>
                </w:p>
              </w:tc>
              <w:tc>
                <w:tcPr>
                  <w:tcW w:w="1185" w:type="dxa"/>
                  <w:tcBorders>
                    <w:tl2br w:val="nil"/>
                    <w:tr2bl w:val="nil"/>
                  </w:tcBorders>
                  <w:vAlign w:val="center"/>
                </w:tcPr>
                <w:p w14:paraId="74BFF5BC">
                  <w:pPr>
                    <w:snapToGrid w:val="0"/>
                    <w:jc w:val="center"/>
                    <w:rPr>
                      <w:rFonts w:hAnsi="宋体"/>
                      <w:color w:val="auto"/>
                      <w:szCs w:val="21"/>
                      <w:highlight w:val="none"/>
                    </w:rPr>
                  </w:pPr>
                  <w:r>
                    <w:rPr>
                      <w:rFonts w:hint="eastAsia" w:hAnsi="宋体"/>
                      <w:color w:val="auto"/>
                      <w:szCs w:val="21"/>
                      <w:highlight w:val="none"/>
                    </w:rPr>
                    <w:t>本项目不属于焦化行业、包装印刷行业、石油炼制行业；本项目</w:t>
                  </w:r>
                  <w:r>
                    <w:rPr>
                      <w:rFonts w:hint="eastAsia" w:hAnsi="宋体"/>
                      <w:color w:val="auto"/>
                      <w:szCs w:val="21"/>
                      <w:highlight w:val="none"/>
                      <w:lang w:val="en-US" w:eastAsia="zh-CN"/>
                    </w:rPr>
                    <w:t>注塑废气经设备集气罩收集，</w:t>
                  </w:r>
                  <w:r>
                    <w:rPr>
                      <w:rFonts w:hint="eastAsia" w:hAnsi="宋体"/>
                      <w:color w:val="auto"/>
                      <w:szCs w:val="21"/>
                      <w:highlight w:val="none"/>
                    </w:rPr>
                    <w:t>项目生产过程中加强巡查、维护，保证废气收集系统密闭、无破损。</w:t>
                  </w:r>
                </w:p>
              </w:tc>
              <w:tc>
                <w:tcPr>
                  <w:tcW w:w="843" w:type="dxa"/>
                  <w:tcBorders>
                    <w:tl2br w:val="nil"/>
                    <w:tr2bl w:val="nil"/>
                  </w:tcBorders>
                  <w:vAlign w:val="center"/>
                </w:tcPr>
                <w:p w14:paraId="7FA6E4D9">
                  <w:pPr>
                    <w:snapToGrid w:val="0"/>
                    <w:jc w:val="center"/>
                    <w:rPr>
                      <w:color w:val="auto"/>
                      <w:szCs w:val="21"/>
                      <w:highlight w:val="none"/>
                    </w:rPr>
                  </w:pPr>
                  <w:r>
                    <w:rPr>
                      <w:rFonts w:hint="eastAsia"/>
                      <w:color w:val="auto"/>
                      <w:szCs w:val="21"/>
                      <w:highlight w:val="none"/>
                    </w:rPr>
                    <w:t>符合</w:t>
                  </w:r>
                </w:p>
              </w:tc>
            </w:tr>
            <w:tr w14:paraId="159F07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91" w:type="dxa"/>
                  <w:tcBorders>
                    <w:tl2br w:val="nil"/>
                    <w:tr2bl w:val="nil"/>
                  </w:tcBorders>
                  <w:vAlign w:val="center"/>
                </w:tcPr>
                <w:p w14:paraId="709CA3FC">
                  <w:pPr>
                    <w:snapToGrid w:val="0"/>
                    <w:jc w:val="center"/>
                    <w:rPr>
                      <w:rFonts w:hAnsi="宋体"/>
                      <w:color w:val="auto"/>
                      <w:szCs w:val="21"/>
                      <w:highlight w:val="none"/>
                    </w:rPr>
                  </w:pPr>
                  <w:r>
                    <w:rPr>
                      <w:rFonts w:hAnsi="宋体"/>
                      <w:color w:val="auto"/>
                      <w:szCs w:val="21"/>
                      <w:highlight w:val="none"/>
                    </w:rPr>
                    <w:t>对生产系统和治理设施旁路进行系统评估，除保障安全生产必须保留的应急类旁路外，应采取彻底拆除、切断、物理隔离等方式取缔旁路（含生产车间、生产装置建设的直排管线等）。工业涂装、包装印刷等溶剂使用类行业生产车间原则上不设置应急旁路。对于确需保留的应急类旁路，企业应向当地生态环境部门报备，在非紧急情况下保持关闭并铅封，通过安装自动监测设备、流量计等方式加强监管，并保存历史记录，开启后应及时向当地生态环境部门报告，做好台账记录；阀门腐蚀、损坏后应及时更换，鼓励选用泄漏率小于0.5%的阀门；建设有中控系统的企业，鼓励在旁路设置感应式阀门，阀门开启状态、开度等信号接入中控系统，历史记录至少保存 5 年。在保证安全的前提下，鼓励对旁路废气进行处理，防止直排。</w:t>
                  </w:r>
                </w:p>
              </w:tc>
              <w:tc>
                <w:tcPr>
                  <w:tcW w:w="1185" w:type="dxa"/>
                  <w:tcBorders>
                    <w:tl2br w:val="nil"/>
                    <w:tr2bl w:val="nil"/>
                  </w:tcBorders>
                  <w:vAlign w:val="center"/>
                </w:tcPr>
                <w:p w14:paraId="6A15AB21">
                  <w:pPr>
                    <w:snapToGrid w:val="0"/>
                    <w:jc w:val="center"/>
                    <w:rPr>
                      <w:rFonts w:hint="eastAsia" w:hAnsi="宋体" w:eastAsia="宋体"/>
                      <w:color w:val="auto"/>
                      <w:szCs w:val="21"/>
                      <w:highlight w:val="none"/>
                      <w:lang w:eastAsia="zh-CN"/>
                    </w:rPr>
                  </w:pPr>
                  <w:r>
                    <w:rPr>
                      <w:rFonts w:hint="eastAsia" w:hAnsi="宋体"/>
                      <w:color w:val="auto"/>
                      <w:szCs w:val="21"/>
                      <w:highlight w:val="none"/>
                    </w:rPr>
                    <w:t>本项目生产系统和治理设施不设置旁路系统</w:t>
                  </w:r>
                  <w:r>
                    <w:rPr>
                      <w:rFonts w:hint="eastAsia" w:hAnsi="宋体"/>
                      <w:color w:val="auto"/>
                      <w:szCs w:val="21"/>
                      <w:highlight w:val="none"/>
                      <w:lang w:eastAsia="zh-CN"/>
                    </w:rPr>
                    <w:t>。</w:t>
                  </w:r>
                </w:p>
              </w:tc>
              <w:tc>
                <w:tcPr>
                  <w:tcW w:w="843" w:type="dxa"/>
                  <w:tcBorders>
                    <w:tl2br w:val="nil"/>
                    <w:tr2bl w:val="nil"/>
                  </w:tcBorders>
                  <w:vAlign w:val="center"/>
                </w:tcPr>
                <w:p w14:paraId="54D52CFB">
                  <w:pPr>
                    <w:snapToGrid w:val="0"/>
                    <w:jc w:val="center"/>
                    <w:rPr>
                      <w:color w:val="auto"/>
                      <w:szCs w:val="21"/>
                      <w:highlight w:val="none"/>
                    </w:rPr>
                  </w:pPr>
                  <w:r>
                    <w:rPr>
                      <w:rFonts w:hint="eastAsia"/>
                      <w:color w:val="auto"/>
                      <w:szCs w:val="21"/>
                      <w:highlight w:val="none"/>
                    </w:rPr>
                    <w:t>符合</w:t>
                  </w:r>
                </w:p>
              </w:tc>
            </w:tr>
            <w:tr w14:paraId="4013E5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291" w:type="dxa"/>
                  <w:tcBorders>
                    <w:tl2br w:val="nil"/>
                    <w:tr2bl w:val="nil"/>
                  </w:tcBorders>
                  <w:vAlign w:val="center"/>
                </w:tcPr>
                <w:p w14:paraId="372FE3AA">
                  <w:pPr>
                    <w:snapToGrid w:val="0"/>
                    <w:jc w:val="center"/>
                    <w:rPr>
                      <w:rFonts w:hAnsi="宋体"/>
                      <w:color w:val="auto"/>
                      <w:szCs w:val="21"/>
                      <w:highlight w:val="none"/>
                    </w:rPr>
                  </w:pPr>
                  <w:r>
                    <w:rPr>
                      <w:rFonts w:hint="eastAsia" w:hAnsi="宋体"/>
                      <w:color w:val="auto"/>
                      <w:szCs w:val="21"/>
                      <w:highlight w:val="none"/>
                    </w:rPr>
                    <w:t>新建治理设施或对现有治理设施实施改造，应依据排放废气特征、VOCs组分及浓度、生产工况等，合理选择治理技术；对治理难度大、单一治理工艺难以稳定达标的，宜采用多种技术的组合工艺；除恶臭异味治理外，一般不使用低温等离子、光催化、光氧化等技术。加强运行维护管理，做到治理设施较生产设备“先启后停”，在治理设施达到正常运行条件后方可启动生产设备，在生产设备停止、残留VOCs废气收集处理完毕后，方可停运治理设施；及时清理、更换吸附剂、吸收剂、催化剂、蓄热体、过滤棉、灯管、电器元件等治理设施耗材，确保设施能够稳定高效运行；做好生产设备和治理设施启停机时间、检维修情况、治理设施耗材维护更换、处置情况等台账记录；对于VOCs治理设施产生的废过滤棉、废催化剂、废吸附剂、废吸收剂、废有机溶剂等，应及时清运，属于危险废物的应交有资质的单位处理处置。采用活性炭吸附工艺的企业，应根据废气排放特征，按照相关工程技术规范设计净化工艺和设备，使废气在吸附装置中有足够的停留时间，选择符合相关产品质量标准的活性炭，并足额充填、及时更换。采用颗粒活性炭作为吸附剂时，其碘值不宜低于800mg/g；采用蜂窝活性炭作为吸附剂时，其碘值不宜低于650mg/g；采用活性炭纤维作为吸附剂时，其比表面积不低于 1100m</w:t>
                  </w:r>
                  <w:r>
                    <w:rPr>
                      <w:rFonts w:hAnsi="宋体"/>
                      <w:color w:val="auto"/>
                      <w:szCs w:val="21"/>
                      <w:highlight w:val="none"/>
                      <w:vertAlign w:val="superscript"/>
                    </w:rPr>
                    <w:t xml:space="preserve"> 2</w:t>
                  </w:r>
                  <w:r>
                    <w:rPr>
                      <w:rFonts w:hint="eastAsia" w:hAnsi="宋体"/>
                      <w:color w:val="auto"/>
                      <w:szCs w:val="21"/>
                      <w:highlight w:val="none"/>
                    </w:rPr>
                    <w:t>/g（BET法）。一次性活性炭吸附工艺宜采用颗粒活性炭作为吸附剂。活性炭、活性炭纤维产品销售时应提供产品质量证明材料。采用催化燃烧工艺的企业应使用合格的催化剂并足额添加，催化剂床层的设计空速宜低于40000h</w:t>
                  </w:r>
                  <w:r>
                    <w:rPr>
                      <w:rFonts w:hAnsi="宋体"/>
                      <w:color w:val="auto"/>
                      <w:szCs w:val="21"/>
                      <w:highlight w:val="none"/>
                      <w:vertAlign w:val="superscript"/>
                    </w:rPr>
                    <w:t>-1</w:t>
                  </w:r>
                  <w:r>
                    <w:rPr>
                      <w:rFonts w:hint="eastAsia" w:hAnsi="宋体"/>
                      <w:color w:val="auto"/>
                      <w:szCs w:val="21"/>
                      <w:highlight w:val="none"/>
                    </w:rPr>
                    <w:t>。采用非连续吸脱附治理工艺的，应按设计要求及时解吸吸附的VOCs，解吸气体应保证采用高效处理工艺处理后达标排放。蓄热式燃烧装置（RTO）燃烧温度一般不低于760℃，催化燃烧装置（CO）燃烧温度一般不低于300℃，相关温度参数应自动记录存储。有条件的工业园区和企业集群鼓励建设集中涂装中心，分散吸附、集中脱附模式的活性炭集中再生中心，溶剂回收中心等涉VOCs“绿岛”项目，实现VOCs集中高效处理。</w:t>
                  </w:r>
                </w:p>
              </w:tc>
              <w:tc>
                <w:tcPr>
                  <w:tcW w:w="1185" w:type="dxa"/>
                  <w:tcBorders>
                    <w:tl2br w:val="nil"/>
                    <w:tr2bl w:val="nil"/>
                  </w:tcBorders>
                  <w:vAlign w:val="center"/>
                </w:tcPr>
                <w:p w14:paraId="088AC9A7">
                  <w:pPr>
                    <w:snapToGrid w:val="0"/>
                    <w:jc w:val="center"/>
                    <w:rPr>
                      <w:rFonts w:hint="eastAsia" w:hAnsi="宋体" w:eastAsia="宋体"/>
                      <w:color w:val="auto"/>
                      <w:szCs w:val="21"/>
                      <w:highlight w:val="none"/>
                      <w:lang w:eastAsia="zh-CN"/>
                    </w:rPr>
                  </w:pPr>
                  <w:r>
                    <w:rPr>
                      <w:rFonts w:hint="eastAsia" w:hAnsi="宋体"/>
                      <w:color w:val="auto"/>
                      <w:szCs w:val="21"/>
                      <w:highlight w:val="none"/>
                      <w:lang w:val="en-US" w:eastAsia="zh-CN"/>
                    </w:rPr>
                    <w:t>本项目注塑废气采用集气罩收集后经二级活性炭吸附装置进行处理</w:t>
                  </w:r>
                  <w:r>
                    <w:rPr>
                      <w:rFonts w:hint="eastAsia" w:hAnsi="宋体"/>
                      <w:color w:val="auto"/>
                      <w:szCs w:val="21"/>
                      <w:highlight w:val="none"/>
                    </w:rPr>
                    <w:t>；本项目生产后加强运行维护管理，做到治理设施较生产设备“先启后停”</w:t>
                  </w:r>
                  <w:r>
                    <w:rPr>
                      <w:rFonts w:hint="eastAsia" w:hAnsi="宋体"/>
                      <w:color w:val="auto"/>
                      <w:szCs w:val="21"/>
                      <w:highlight w:val="none"/>
                      <w:lang w:eastAsia="zh-CN"/>
                    </w:rPr>
                    <w:t>。</w:t>
                  </w:r>
                </w:p>
              </w:tc>
              <w:tc>
                <w:tcPr>
                  <w:tcW w:w="843" w:type="dxa"/>
                  <w:tcBorders>
                    <w:tl2br w:val="nil"/>
                    <w:tr2bl w:val="nil"/>
                  </w:tcBorders>
                  <w:vAlign w:val="center"/>
                </w:tcPr>
                <w:p w14:paraId="3DEFBFC8">
                  <w:pPr>
                    <w:snapToGrid w:val="0"/>
                    <w:jc w:val="center"/>
                    <w:rPr>
                      <w:color w:val="auto"/>
                      <w:szCs w:val="21"/>
                      <w:highlight w:val="none"/>
                    </w:rPr>
                  </w:pPr>
                  <w:r>
                    <w:rPr>
                      <w:rFonts w:hint="eastAsia"/>
                      <w:bCs/>
                      <w:color w:val="auto"/>
                      <w:szCs w:val="21"/>
                      <w:highlight w:val="none"/>
                    </w:rPr>
                    <w:t>符合</w:t>
                  </w:r>
                </w:p>
              </w:tc>
            </w:tr>
          </w:tbl>
          <w:p w14:paraId="552ABEDA">
            <w:pPr>
              <w:rPr>
                <w:rFonts w:ascii="Times New Roman" w:hAnsi="Times New Roman" w:eastAsia="宋体"/>
                <w:caps w:val="0"/>
                <w:color w:val="000000" w:themeColor="text1"/>
                <w:highlight w:val="none"/>
                <w14:textFill>
                  <w14:solidFill>
                    <w14:schemeClr w14:val="tx1"/>
                  </w14:solidFill>
                </w14:textFill>
              </w:rPr>
            </w:pPr>
          </w:p>
        </w:tc>
      </w:tr>
    </w:tbl>
    <w:p w14:paraId="5D181A66">
      <w:pPr>
        <w:spacing w:line="360" w:lineRule="auto"/>
        <w:outlineLvl w:val="0"/>
        <w:rPr>
          <w:rFonts w:ascii="Times New Roman" w:hAnsi="Times New Roman" w:eastAsia="宋体"/>
          <w:caps w:val="0"/>
          <w:color w:val="000000" w:themeColor="text1"/>
          <w:sz w:val="30"/>
          <w:highlight w:val="none"/>
          <w14:textFill>
            <w14:solidFill>
              <w14:schemeClr w14:val="tx1"/>
            </w14:solidFill>
          </w14:textFill>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495AEBDF">
      <w:pPr>
        <w:pStyle w:val="18"/>
        <w:jc w:val="center"/>
        <w:outlineLvl w:val="0"/>
        <w:rPr>
          <w:rFonts w:ascii="Times New Roman" w:hAnsi="Times New Roman" w:eastAsia="宋体"/>
          <w:caps w:val="0"/>
          <w:snapToGrid w:val="0"/>
          <w:color w:val="000000" w:themeColor="text1"/>
          <w:sz w:val="30"/>
          <w:szCs w:val="30"/>
          <w:highlight w:val="none"/>
          <w14:textFill>
            <w14:solidFill>
              <w14:schemeClr w14:val="tx1"/>
            </w14:solidFill>
          </w14:textFill>
        </w:rPr>
      </w:pPr>
      <w:r>
        <w:rPr>
          <w:rFonts w:hint="eastAsia" w:ascii="Times New Roman" w:hAnsi="Times New Roman" w:eastAsia="宋体"/>
          <w:caps w:val="0"/>
          <w:snapToGrid w:val="0"/>
          <w:color w:val="000000" w:themeColor="text1"/>
          <w:sz w:val="30"/>
          <w:szCs w:val="30"/>
          <w:highlight w:val="none"/>
          <w14:textFill>
            <w14:solidFill>
              <w14:schemeClr w14:val="tx1"/>
            </w14:solidFill>
          </w14:textFill>
        </w:rPr>
        <w:t>二、建设项目工程分析</w:t>
      </w:r>
    </w:p>
    <w:tbl>
      <w:tblPr>
        <w:tblStyle w:val="21"/>
        <w:tblW w:w="88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22"/>
        <w:gridCol w:w="8102"/>
      </w:tblGrid>
      <w:tr w14:paraId="681EF1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722" w:type="dxa"/>
            <w:vAlign w:val="center"/>
          </w:tcPr>
          <w:p w14:paraId="0F98E820">
            <w:pPr>
              <w:pStyle w:val="18"/>
              <w:adjustRightInd w:val="0"/>
              <w:snapToGrid w:val="0"/>
              <w:spacing w:before="0" w:beforeAutospacing="0" w:after="0" w:afterAutospacing="0"/>
              <w:jc w:val="center"/>
              <w:rPr>
                <w:rFonts w:ascii="Times New Roman" w:hAnsi="Times New Roman" w:eastAsia="宋体" w:cs="宋体"/>
                <w:caps w:val="0"/>
                <w:color w:val="auto"/>
                <w:szCs w:val="24"/>
                <w:highlight w:val="none"/>
              </w:rPr>
            </w:pPr>
            <w:r>
              <w:rPr>
                <w:rFonts w:hint="eastAsia" w:ascii="Times New Roman" w:hAnsi="Times New Roman" w:eastAsia="宋体" w:cs="宋体"/>
                <w:caps w:val="0"/>
                <w:color w:val="auto"/>
                <w:szCs w:val="24"/>
                <w:highlight w:val="none"/>
              </w:rPr>
              <w:t>建设内容</w:t>
            </w:r>
          </w:p>
        </w:tc>
        <w:tc>
          <w:tcPr>
            <w:tcW w:w="8102" w:type="dxa"/>
          </w:tcPr>
          <w:p w14:paraId="1CAF92E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2" w:firstLineChars="200"/>
              <w:textAlignment w:val="auto"/>
              <w:rPr>
                <w:rFonts w:ascii="Times New Roman" w:hAnsi="Times New Roman" w:eastAsia="宋体"/>
                <w:b/>
                <w:caps w:val="0"/>
                <w:color w:val="auto"/>
                <w:kern w:val="0"/>
                <w:sz w:val="24"/>
                <w:highlight w:val="none"/>
              </w:rPr>
            </w:pPr>
            <w:r>
              <w:rPr>
                <w:rFonts w:hint="eastAsia"/>
                <w:b/>
                <w:caps w:val="0"/>
                <w:color w:val="auto"/>
                <w:kern w:val="0"/>
                <w:sz w:val="24"/>
                <w:highlight w:val="none"/>
                <w:lang w:val="en-US" w:eastAsia="zh-CN"/>
              </w:rPr>
              <w:t>1、</w:t>
            </w:r>
            <w:r>
              <w:rPr>
                <w:rFonts w:hint="eastAsia" w:ascii="Times New Roman" w:hAnsi="Times New Roman" w:eastAsia="宋体"/>
                <w:b/>
                <w:caps w:val="0"/>
                <w:color w:val="auto"/>
                <w:kern w:val="0"/>
                <w:sz w:val="24"/>
                <w:highlight w:val="none"/>
              </w:rPr>
              <w:t>项目由来</w:t>
            </w:r>
          </w:p>
          <w:p w14:paraId="7BDC771C">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安徽凯迪电气有限公司位于芜湖市弋江区高新技术开发区漳河路28号，主要经营范围包括：</w:t>
            </w:r>
            <w:r>
              <w:rPr>
                <w:rFonts w:hint="eastAsia"/>
                <w:caps w:val="0"/>
                <w:color w:val="auto"/>
                <w:sz w:val="24"/>
                <w:highlight w:val="none"/>
                <w:lang w:val="en-US" w:eastAsia="zh-CN"/>
              </w:rPr>
              <w:t>电线、电缆制造；检验检测服务</w:t>
            </w:r>
            <w:r>
              <w:rPr>
                <w:rFonts w:hint="eastAsia" w:ascii="Times New Roman" w:hAnsi="Times New Roman" w:eastAsia="宋体"/>
                <w:caps w:val="0"/>
                <w:color w:val="auto"/>
                <w:sz w:val="24"/>
                <w:highlight w:val="none"/>
              </w:rPr>
              <w:t>。</w:t>
            </w:r>
          </w:p>
          <w:p w14:paraId="590F49C6">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安徽凯迪电气有限公司于</w:t>
            </w:r>
            <w:r>
              <w:rPr>
                <w:rFonts w:hint="eastAsia"/>
                <w:caps w:val="0"/>
                <w:color w:val="auto"/>
                <w:sz w:val="24"/>
                <w:highlight w:val="none"/>
                <w:lang w:val="en-US" w:eastAsia="zh-CN"/>
              </w:rPr>
              <w:t>2009</w:t>
            </w:r>
            <w:r>
              <w:rPr>
                <w:rFonts w:hint="eastAsia" w:ascii="Times New Roman" w:hAnsi="Times New Roman" w:eastAsia="宋体"/>
                <w:caps w:val="0"/>
                <w:color w:val="auto"/>
                <w:sz w:val="24"/>
                <w:highlight w:val="none"/>
              </w:rPr>
              <w:t>年</w:t>
            </w:r>
            <w:r>
              <w:rPr>
                <w:rFonts w:hint="eastAsia"/>
                <w:caps w:val="0"/>
                <w:color w:val="auto"/>
                <w:sz w:val="24"/>
                <w:highlight w:val="none"/>
                <w:lang w:val="en-US" w:eastAsia="zh-CN"/>
              </w:rPr>
              <w:t>6</w:t>
            </w:r>
            <w:r>
              <w:rPr>
                <w:rFonts w:hint="eastAsia" w:ascii="Times New Roman" w:hAnsi="Times New Roman" w:eastAsia="宋体"/>
                <w:caps w:val="0"/>
                <w:color w:val="auto"/>
                <w:sz w:val="24"/>
                <w:highlight w:val="none"/>
              </w:rPr>
              <w:t>月委托</w:t>
            </w:r>
            <w:r>
              <w:rPr>
                <w:rFonts w:hint="eastAsia"/>
                <w:caps w:val="0"/>
                <w:color w:val="auto"/>
                <w:sz w:val="24"/>
                <w:highlight w:val="none"/>
                <w:lang w:val="en-US" w:eastAsia="zh-CN"/>
              </w:rPr>
              <w:t>安徽师范大学</w:t>
            </w:r>
            <w:r>
              <w:rPr>
                <w:rFonts w:hint="eastAsia" w:ascii="Times New Roman" w:hAnsi="Times New Roman" w:eastAsia="宋体"/>
                <w:caps w:val="0"/>
                <w:color w:val="auto"/>
                <w:sz w:val="24"/>
                <w:highlight w:val="none"/>
              </w:rPr>
              <w:t>编制了《</w:t>
            </w:r>
            <w:r>
              <w:rPr>
                <w:rFonts w:hint="eastAsia"/>
                <w:caps w:val="0"/>
                <w:color w:val="auto"/>
                <w:sz w:val="24"/>
                <w:highlight w:val="none"/>
                <w:lang w:val="en-US" w:eastAsia="zh-CN"/>
              </w:rPr>
              <w:t>凯迪电气有限公司芜湖工业园项目</w:t>
            </w:r>
            <w:r>
              <w:rPr>
                <w:rFonts w:hint="eastAsia" w:ascii="Times New Roman" w:hAnsi="Times New Roman" w:eastAsia="宋体"/>
                <w:caps w:val="0"/>
                <w:color w:val="auto"/>
                <w:sz w:val="24"/>
                <w:highlight w:val="none"/>
              </w:rPr>
              <w:t>环境影响报告表》</w:t>
            </w:r>
            <w:r>
              <w:rPr>
                <w:rFonts w:hint="eastAsia" w:ascii="Times New Roman" w:hAnsi="Times New Roman" w:eastAsia="宋体"/>
                <w:caps w:val="0"/>
                <w:color w:val="auto"/>
                <w:sz w:val="24"/>
                <w:highlight w:val="none"/>
                <w:lang w:eastAsia="zh-CN"/>
              </w:rPr>
              <w:t>（</w:t>
            </w:r>
            <w:r>
              <w:rPr>
                <w:rFonts w:hint="eastAsia" w:ascii="Times New Roman" w:hAnsi="Times New Roman" w:eastAsia="宋体"/>
                <w:caps w:val="0"/>
                <w:color w:val="auto"/>
                <w:sz w:val="24"/>
                <w:highlight w:val="none"/>
                <w:lang w:val="en-US" w:eastAsia="zh-CN"/>
              </w:rPr>
              <w:t>以下简称为“</w:t>
            </w:r>
            <w:r>
              <w:rPr>
                <w:rFonts w:hint="eastAsia"/>
                <w:caps w:val="0"/>
                <w:color w:val="auto"/>
                <w:sz w:val="24"/>
                <w:highlight w:val="none"/>
                <w:lang w:val="en-US" w:eastAsia="zh-CN"/>
              </w:rPr>
              <w:t>芜湖工业园项目</w:t>
            </w:r>
            <w:r>
              <w:rPr>
                <w:rFonts w:hint="eastAsia" w:ascii="Times New Roman" w:hAnsi="Times New Roman" w:eastAsia="宋体"/>
                <w:caps w:val="0"/>
                <w:color w:val="auto"/>
                <w:sz w:val="24"/>
                <w:highlight w:val="none"/>
                <w:lang w:val="en-US" w:eastAsia="zh-CN"/>
              </w:rPr>
              <w:t>”</w:t>
            </w:r>
            <w:r>
              <w:rPr>
                <w:rFonts w:hint="eastAsia" w:ascii="Times New Roman" w:hAnsi="Times New Roman" w:eastAsia="宋体"/>
                <w:caps w:val="0"/>
                <w:color w:val="auto"/>
                <w:sz w:val="24"/>
                <w:highlight w:val="none"/>
                <w:lang w:eastAsia="zh-CN"/>
              </w:rPr>
              <w:t>）</w:t>
            </w:r>
            <w:r>
              <w:rPr>
                <w:rFonts w:hint="eastAsia" w:ascii="Times New Roman" w:hAnsi="Times New Roman" w:eastAsia="宋体"/>
                <w:caps w:val="0"/>
                <w:color w:val="auto"/>
                <w:sz w:val="24"/>
                <w:highlight w:val="none"/>
              </w:rPr>
              <w:t>，于20</w:t>
            </w:r>
            <w:r>
              <w:rPr>
                <w:rFonts w:hint="eastAsia"/>
                <w:caps w:val="0"/>
                <w:color w:val="auto"/>
                <w:sz w:val="24"/>
                <w:highlight w:val="none"/>
                <w:lang w:val="en-US" w:eastAsia="zh-CN"/>
              </w:rPr>
              <w:t>09</w:t>
            </w:r>
            <w:r>
              <w:rPr>
                <w:rFonts w:hint="eastAsia" w:ascii="Times New Roman" w:hAnsi="Times New Roman" w:eastAsia="宋体"/>
                <w:caps w:val="0"/>
                <w:color w:val="auto"/>
                <w:sz w:val="24"/>
                <w:highlight w:val="none"/>
              </w:rPr>
              <w:t>年</w:t>
            </w:r>
            <w:r>
              <w:rPr>
                <w:rFonts w:hint="eastAsia"/>
                <w:caps w:val="0"/>
                <w:color w:val="auto"/>
                <w:sz w:val="24"/>
                <w:highlight w:val="none"/>
                <w:lang w:val="en-US" w:eastAsia="zh-CN"/>
              </w:rPr>
              <w:t>8</w:t>
            </w:r>
            <w:r>
              <w:rPr>
                <w:rFonts w:hint="eastAsia" w:ascii="Times New Roman" w:hAnsi="Times New Roman" w:eastAsia="宋体"/>
                <w:caps w:val="0"/>
                <w:color w:val="auto"/>
                <w:sz w:val="24"/>
                <w:highlight w:val="none"/>
              </w:rPr>
              <w:t>月</w:t>
            </w:r>
            <w:r>
              <w:rPr>
                <w:rFonts w:hint="eastAsia"/>
                <w:caps w:val="0"/>
                <w:color w:val="auto"/>
                <w:sz w:val="24"/>
                <w:highlight w:val="none"/>
                <w:lang w:val="en-US" w:eastAsia="zh-CN"/>
              </w:rPr>
              <w:t>31</w:t>
            </w:r>
            <w:r>
              <w:rPr>
                <w:rFonts w:hint="eastAsia" w:ascii="Times New Roman" w:hAnsi="Times New Roman" w:eastAsia="宋体"/>
                <w:caps w:val="0"/>
                <w:color w:val="auto"/>
                <w:sz w:val="24"/>
                <w:highlight w:val="none"/>
              </w:rPr>
              <w:t>日取得了原芜湖市环境保护局审批意见，并于2012年</w:t>
            </w:r>
            <w:r>
              <w:rPr>
                <w:rFonts w:hint="eastAsia"/>
                <w:caps w:val="0"/>
                <w:color w:val="auto"/>
                <w:sz w:val="24"/>
                <w:highlight w:val="none"/>
                <w:lang w:val="en-US" w:eastAsia="zh-CN"/>
              </w:rPr>
              <w:t>12</w:t>
            </w:r>
            <w:r>
              <w:rPr>
                <w:rFonts w:hint="eastAsia" w:ascii="Times New Roman" w:hAnsi="Times New Roman" w:eastAsia="宋体"/>
                <w:caps w:val="0"/>
                <w:color w:val="auto"/>
                <w:sz w:val="24"/>
                <w:highlight w:val="none"/>
              </w:rPr>
              <w:t>月取得了原芜湖市环境保护局</w:t>
            </w:r>
            <w:r>
              <w:rPr>
                <w:rFonts w:hint="eastAsia"/>
                <w:caps w:val="0"/>
                <w:color w:val="auto"/>
                <w:sz w:val="24"/>
                <w:highlight w:val="none"/>
                <w:lang w:val="en-US" w:eastAsia="zh-CN"/>
              </w:rPr>
              <w:t>一期</w:t>
            </w:r>
            <w:r>
              <w:rPr>
                <w:rFonts w:hint="eastAsia" w:ascii="Times New Roman" w:hAnsi="Times New Roman" w:eastAsia="宋体"/>
                <w:caps w:val="0"/>
                <w:color w:val="auto"/>
                <w:sz w:val="24"/>
                <w:highlight w:val="none"/>
              </w:rPr>
              <w:t>竣工环境保护验收意见</w:t>
            </w:r>
            <w:r>
              <w:rPr>
                <w:rFonts w:hint="eastAsia" w:ascii="Times New Roman" w:hAnsi="Times New Roman" w:eastAsia="宋体"/>
                <w:caps w:val="0"/>
                <w:color w:val="auto"/>
                <w:sz w:val="24"/>
                <w:highlight w:val="none"/>
                <w:lang w:eastAsia="zh-CN"/>
              </w:rPr>
              <w:t>；</w:t>
            </w:r>
            <w:r>
              <w:rPr>
                <w:rFonts w:hint="eastAsia"/>
                <w:caps w:val="0"/>
                <w:color w:val="auto"/>
                <w:sz w:val="24"/>
                <w:highlight w:val="none"/>
                <w:lang w:val="en-US" w:eastAsia="zh-CN"/>
              </w:rPr>
              <w:t>于2011年取得了原芜湖市环境保护局关于安徽凯迪电气有限公司凯迪电气有限公司芜湖工业园项目环境影响补充报告的复函（环函[2011]112号），于2015年5月26日取得了原芜湖市环境保护局二期竣工环境保护验收意见</w:t>
            </w:r>
            <w:r>
              <w:rPr>
                <w:rFonts w:hint="eastAsia" w:ascii="Times New Roman" w:hAnsi="Times New Roman" w:eastAsia="宋体"/>
                <w:caps w:val="0"/>
                <w:color w:val="auto"/>
                <w:sz w:val="24"/>
                <w:highlight w:val="none"/>
                <w:lang w:eastAsia="zh-CN"/>
              </w:rPr>
              <w:t>。</w:t>
            </w:r>
          </w:p>
          <w:p w14:paraId="5AFD0936">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color w:val="auto"/>
                <w:sz w:val="24"/>
                <w:lang w:val="en-US" w:eastAsia="zh-CN"/>
              </w:rPr>
            </w:pPr>
            <w:r>
              <w:rPr>
                <w:color w:val="auto"/>
                <w:sz w:val="24"/>
              </w:rPr>
              <w:t>2019</w:t>
            </w:r>
            <w:r>
              <w:rPr>
                <w:rFonts w:hint="eastAsia"/>
                <w:color w:val="auto"/>
                <w:sz w:val="24"/>
              </w:rPr>
              <w:t>年5月，安徽凯迪电气有限公司委托江苏苏辰勘探设计研究院编制了《芜湖凯迪电气有限公司汽车新能源高压系列产品（连接器、线束、电子锁等）</w:t>
            </w:r>
            <w:r>
              <w:rPr>
                <w:rFonts w:hint="eastAsia"/>
                <w:color w:val="auto"/>
                <w:sz w:val="24"/>
                <w:lang w:val="en-US" w:eastAsia="zh-CN"/>
              </w:rPr>
              <w:t>技改项目环境</w:t>
            </w:r>
            <w:r>
              <w:rPr>
                <w:rFonts w:hint="eastAsia"/>
                <w:color w:val="auto"/>
                <w:sz w:val="24"/>
              </w:rPr>
              <w:t>影响报告表》，2019年6月2日，芜湖市生态环境局“芜环评审［2019］276号”文件对该项目进行了批复（见附件）</w:t>
            </w:r>
            <w:r>
              <w:rPr>
                <w:rFonts w:hint="eastAsia"/>
                <w:color w:val="auto"/>
                <w:sz w:val="24"/>
                <w:lang w:eastAsia="zh-CN"/>
              </w:rPr>
              <w:t>。</w:t>
            </w:r>
            <w:r>
              <w:rPr>
                <w:rFonts w:hint="eastAsia"/>
                <w:color w:val="auto"/>
                <w:sz w:val="24"/>
                <w:lang w:val="en-US" w:eastAsia="zh-CN"/>
              </w:rPr>
              <w:t>并于2022年12月进行了自主验收。</w:t>
            </w:r>
          </w:p>
          <w:p w14:paraId="1AA6132D">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auto"/>
                <w:sz w:val="24"/>
                <w:lang w:val="en-US" w:eastAsia="zh-CN"/>
              </w:rPr>
            </w:pPr>
            <w:r>
              <w:rPr>
                <w:rFonts w:hint="eastAsia"/>
                <w:color w:val="auto"/>
                <w:sz w:val="24"/>
                <w:lang w:val="en-US" w:eastAsia="zh-CN"/>
              </w:rPr>
              <w:t>2022年11月安徽凯迪电气有限公司委托安徽诚航环保科技有限公司编制了《汽车新能源高压系列产品生产项目环境影响报告表》，2023年3月8日芜湖市生态环境局以“</w:t>
            </w:r>
            <w:r>
              <w:rPr>
                <w:rFonts w:hint="default" w:ascii="Times New Roman" w:hAnsi="Times New Roman" w:eastAsia="宋体" w:cs="Times New Roman"/>
                <w:color w:val="auto"/>
                <w:sz w:val="24"/>
                <w:lang w:val="en-US" w:eastAsia="zh-CN"/>
              </w:rPr>
              <w:t>芜环行审（承）〔2023〕61号</w:t>
            </w:r>
            <w:r>
              <w:rPr>
                <w:rFonts w:hint="eastAsia" w:ascii="Times New Roman" w:hAnsi="Times New Roman" w:eastAsia="宋体" w:cs="Times New Roman"/>
                <w:color w:val="auto"/>
                <w:sz w:val="24"/>
                <w:lang w:val="en-US" w:eastAsia="zh-CN"/>
              </w:rPr>
              <w:t>”文件对该项目进行了批复。</w:t>
            </w:r>
            <w:r>
              <w:rPr>
                <w:rFonts w:hint="eastAsia"/>
                <w:color w:val="auto"/>
                <w:sz w:val="24"/>
                <w:lang w:val="en-US" w:eastAsia="zh-CN"/>
              </w:rPr>
              <w:t>并于2023年9月进行了阶段性自主验收。</w:t>
            </w:r>
          </w:p>
          <w:p w14:paraId="1F3BFA61">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为适应市场需求，安徽凯迪电气有限公司拟投资</w:t>
            </w:r>
            <w:r>
              <w:rPr>
                <w:rFonts w:hint="eastAsia"/>
                <w:caps w:val="0"/>
                <w:color w:val="auto"/>
                <w:sz w:val="24"/>
                <w:highlight w:val="none"/>
                <w:lang w:val="en-US" w:eastAsia="zh-CN"/>
              </w:rPr>
              <w:t>8</w:t>
            </w:r>
            <w:r>
              <w:rPr>
                <w:rFonts w:ascii="Times New Roman" w:hAnsi="Times New Roman" w:eastAsia="宋体"/>
                <w:caps w:val="0"/>
                <w:color w:val="auto"/>
                <w:sz w:val="24"/>
                <w:highlight w:val="none"/>
              </w:rPr>
              <w:t>000</w:t>
            </w:r>
            <w:r>
              <w:rPr>
                <w:rFonts w:hint="eastAsia" w:ascii="Times New Roman" w:hAnsi="Times New Roman" w:eastAsia="宋体"/>
                <w:caps w:val="0"/>
                <w:color w:val="auto"/>
                <w:sz w:val="24"/>
                <w:highlight w:val="none"/>
              </w:rPr>
              <w:t>万元，在芜湖市弋江区高新技术开发区漳河路28号建设</w:t>
            </w:r>
            <w:r>
              <w:rPr>
                <w:rFonts w:hint="eastAsia" w:ascii="Times New Roman" w:hAnsi="Times New Roman" w:eastAsia="宋体"/>
                <w:caps w:val="0"/>
                <w:color w:val="auto"/>
                <w:sz w:val="24"/>
                <w:highlight w:val="none"/>
                <w:lang w:eastAsia="zh-CN"/>
              </w:rPr>
              <w:t>年产</w:t>
            </w:r>
            <w:r>
              <w:rPr>
                <w:rFonts w:hint="eastAsia"/>
                <w:caps w:val="0"/>
                <w:color w:val="auto"/>
                <w:sz w:val="24"/>
                <w:highlight w:val="none"/>
                <w:lang w:val="en-US" w:eastAsia="zh-CN"/>
              </w:rPr>
              <w:t>20万套高压线束产品</w:t>
            </w:r>
            <w:r>
              <w:rPr>
                <w:rFonts w:hint="eastAsia" w:ascii="Times New Roman" w:hAnsi="Times New Roman" w:eastAsia="宋体"/>
                <w:caps w:val="0"/>
                <w:color w:val="auto"/>
                <w:sz w:val="24"/>
                <w:highlight w:val="none"/>
              </w:rPr>
              <w:t>。本项目已于202</w:t>
            </w:r>
            <w:r>
              <w:rPr>
                <w:rFonts w:hint="eastAsia"/>
                <w:caps w:val="0"/>
                <w:color w:val="auto"/>
                <w:sz w:val="24"/>
                <w:highlight w:val="none"/>
                <w:lang w:val="en-US" w:eastAsia="zh-CN"/>
              </w:rPr>
              <w:t>5</w:t>
            </w:r>
            <w:r>
              <w:rPr>
                <w:rFonts w:hint="eastAsia" w:ascii="Times New Roman" w:hAnsi="Times New Roman" w:eastAsia="宋体"/>
                <w:caps w:val="0"/>
                <w:color w:val="auto"/>
                <w:sz w:val="24"/>
                <w:highlight w:val="none"/>
              </w:rPr>
              <w:t>年</w:t>
            </w:r>
            <w:r>
              <w:rPr>
                <w:rFonts w:hint="eastAsia" w:ascii="Times New Roman" w:hAnsi="Times New Roman" w:eastAsia="宋体"/>
                <w:caps w:val="0"/>
                <w:color w:val="auto"/>
                <w:sz w:val="24"/>
                <w:highlight w:val="none"/>
                <w:lang w:val="en-US" w:eastAsia="zh-CN"/>
              </w:rPr>
              <w:t>1</w:t>
            </w:r>
            <w:r>
              <w:rPr>
                <w:rFonts w:hint="eastAsia" w:ascii="Times New Roman" w:hAnsi="Times New Roman" w:eastAsia="宋体"/>
                <w:caps w:val="0"/>
                <w:color w:val="auto"/>
                <w:sz w:val="24"/>
                <w:highlight w:val="none"/>
              </w:rPr>
              <w:t>月2</w:t>
            </w:r>
            <w:r>
              <w:rPr>
                <w:rFonts w:hint="eastAsia"/>
                <w:caps w:val="0"/>
                <w:color w:val="auto"/>
                <w:sz w:val="24"/>
                <w:highlight w:val="none"/>
                <w:lang w:val="en-US" w:eastAsia="zh-CN"/>
              </w:rPr>
              <w:t>0</w:t>
            </w:r>
            <w:r>
              <w:rPr>
                <w:rFonts w:hint="eastAsia" w:ascii="Times New Roman" w:hAnsi="Times New Roman" w:eastAsia="宋体"/>
                <w:caps w:val="0"/>
                <w:color w:val="auto"/>
                <w:sz w:val="24"/>
                <w:highlight w:val="none"/>
              </w:rPr>
              <w:t>日获得弋江区发展和改革委员会的备案（见附件3）。</w:t>
            </w:r>
          </w:p>
          <w:p w14:paraId="03A46EF4">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aps w:val="0"/>
                <w:color w:val="auto"/>
                <w:sz w:val="24"/>
                <w:highlight w:val="none"/>
                <w:lang w:val="en-US" w:eastAsia="zh-CN"/>
              </w:rPr>
            </w:pPr>
            <w:r>
              <w:rPr>
                <w:rFonts w:ascii="Times New Roman" w:hAnsi="Times New Roman" w:eastAsia="宋体"/>
                <w:caps w:val="0"/>
                <w:color w:val="auto"/>
                <w:sz w:val="24"/>
                <w:highlight w:val="none"/>
              </w:rPr>
              <w:t>根据《中华人民共和国环境保护法》、《中华人民共和国环境影响评价法》和《建设项目环境保护管理条例》（2017版）中有关规定，项目应履行环境影响评价手续。结合</w:t>
            </w:r>
            <w:r>
              <w:rPr>
                <w:rFonts w:hint="eastAsia" w:ascii="Times New Roman" w:hAnsi="Times New Roman" w:eastAsia="宋体"/>
                <w:caps w:val="0"/>
                <w:color w:val="auto"/>
                <w:sz w:val="24"/>
                <w:highlight w:val="none"/>
              </w:rPr>
              <w:t>《建设项目环境影响评价分类管理名录（2021年版）》（部令第16号，自2021年1月1日起施行）</w:t>
            </w:r>
            <w:r>
              <w:rPr>
                <w:rFonts w:ascii="Times New Roman" w:hAnsi="Times New Roman" w:eastAsia="宋体"/>
                <w:caps w:val="0"/>
                <w:color w:val="auto"/>
                <w:sz w:val="24"/>
                <w:highlight w:val="none"/>
              </w:rPr>
              <w:t>中对有关建设项目的分类管理要求，本项目</w:t>
            </w:r>
            <w:r>
              <w:rPr>
                <w:rFonts w:hint="eastAsia" w:ascii="Times New Roman" w:hAnsi="Times New Roman" w:eastAsia="宋体"/>
                <w:caps w:val="0"/>
                <w:color w:val="auto"/>
                <w:sz w:val="24"/>
                <w:highlight w:val="none"/>
              </w:rPr>
              <w:t>属于““三十三、汽车制造业 36”中的“71、汽车整车制造361；汽车用发动机制造362；改装汽车制造363；低速汽车制造364；电车制造365；汽车车身、挂车制造366；汽车零部件及配件制造367”“其他（年用非溶剂型低VOCs含量涂料10吨以下的除外）”项</w:t>
            </w:r>
            <w:r>
              <w:rPr>
                <w:rFonts w:ascii="Times New Roman" w:hAnsi="Times New Roman" w:eastAsia="宋体"/>
                <w:caps w:val="0"/>
                <w:color w:val="auto"/>
                <w:sz w:val="24"/>
                <w:highlight w:val="none"/>
              </w:rPr>
              <w:t>，</w:t>
            </w:r>
            <w:r>
              <w:rPr>
                <w:rFonts w:hint="eastAsia"/>
                <w:caps w:val="0"/>
                <w:color w:val="auto"/>
                <w:sz w:val="24"/>
                <w:highlight w:val="none"/>
                <w:lang w:val="en-US" w:eastAsia="zh-CN"/>
              </w:rPr>
              <w:t>需做报告表，同时项目属于“二十六、橡胶和塑料制品业 29”中的“53、塑料制品业 292”中</w:t>
            </w:r>
            <w:r>
              <w:rPr>
                <w:rFonts w:hint="eastAsia" w:ascii="Times New Roman" w:hAnsi="Times New Roman" w:eastAsia="宋体"/>
                <w:caps w:val="0"/>
                <w:color w:val="auto"/>
                <w:sz w:val="24"/>
                <w:highlight w:val="none"/>
              </w:rPr>
              <w:t>“其他（年用非溶剂型低VOCs含量涂料10吨以下的除外）”项</w:t>
            </w:r>
            <w:r>
              <w:rPr>
                <w:rFonts w:hint="eastAsia" w:eastAsia="宋体"/>
                <w:caps w:val="0"/>
                <w:color w:val="auto"/>
                <w:sz w:val="24"/>
                <w:highlight w:val="none"/>
                <w:lang w:eastAsia="zh-CN"/>
              </w:rPr>
              <w:t>，</w:t>
            </w:r>
            <w:r>
              <w:rPr>
                <w:rFonts w:hint="eastAsia" w:eastAsia="宋体"/>
                <w:caps w:val="0"/>
                <w:color w:val="auto"/>
                <w:sz w:val="24"/>
                <w:highlight w:val="none"/>
                <w:lang w:val="en-US" w:eastAsia="zh-CN"/>
              </w:rPr>
              <w:t>需做报告表，综上，建设内容涉及本名录中两个及以上项目类别的建设项目，其环境影响评价类别按照其中单项等级最高的确定。</w:t>
            </w:r>
            <w:r>
              <w:rPr>
                <w:rFonts w:ascii="Times New Roman" w:hAnsi="Times New Roman" w:eastAsia="宋体"/>
                <w:caps w:val="0"/>
                <w:color w:val="auto"/>
                <w:sz w:val="24"/>
                <w:highlight w:val="none"/>
              </w:rPr>
              <w:t>按照要求确定该项目环境影响评价形式为环境影响报告表。</w:t>
            </w:r>
          </w:p>
          <w:p w14:paraId="3EA1D723">
            <w:pPr>
              <w:pStyle w:val="31"/>
              <w:keepNext w:val="0"/>
              <w:keepLines w:val="0"/>
              <w:pageBreakBefore w:val="0"/>
              <w:widowControl w:val="0"/>
              <w:kinsoku/>
              <w:wordWrap/>
              <w:overflowPunct/>
              <w:topLinePunct w:val="0"/>
              <w:autoSpaceDE w:val="0"/>
              <w:autoSpaceDN w:val="0"/>
              <w:bidi w:val="0"/>
              <w:adjustRightInd w:val="0"/>
              <w:snapToGrid/>
              <w:spacing w:line="420" w:lineRule="exact"/>
              <w:ind w:firstLine="0"/>
              <w:jc w:val="center"/>
              <w:textAlignment w:val="auto"/>
              <w:rPr>
                <w:rFonts w:ascii="Times New Roman" w:hAnsi="Times New Roman" w:eastAsia="宋体"/>
                <w:b/>
                <w:bCs/>
                <w:caps w:val="0"/>
                <w:color w:val="auto"/>
                <w:highlight w:val="none"/>
              </w:rPr>
            </w:pPr>
            <w:r>
              <w:rPr>
                <w:rFonts w:ascii="Times New Roman" w:hAnsi="Times New Roman" w:eastAsia="宋体"/>
                <w:b/>
                <w:bCs/>
                <w:caps w:val="0"/>
                <w:color w:val="auto"/>
                <w:highlight w:val="none"/>
              </w:rPr>
              <w:t>表2-1  建设项目环境影响评价分类管理名录（2021年版）节选</w:t>
            </w:r>
          </w:p>
          <w:tbl>
            <w:tblPr>
              <w:tblStyle w:val="21"/>
              <w:tblW w:w="7935"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0"/>
              <w:gridCol w:w="2618"/>
              <w:gridCol w:w="2375"/>
              <w:gridCol w:w="1533"/>
              <w:gridCol w:w="859"/>
            </w:tblGrid>
            <w:tr w14:paraId="22E59B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3168" w:type="dxa"/>
                  <w:gridSpan w:val="2"/>
                  <w:tcBorders>
                    <w:tl2br w:val="single" w:color="auto" w:sz="4" w:space="0"/>
                  </w:tcBorders>
                  <w:vAlign w:val="center"/>
                </w:tcPr>
                <w:p w14:paraId="44A52A04">
                  <w:pPr>
                    <w:pStyle w:val="9"/>
                    <w:keepNext w:val="0"/>
                    <w:keepLines w:val="0"/>
                    <w:pageBreakBefore w:val="0"/>
                    <w:widowControl w:val="0"/>
                    <w:kinsoku/>
                    <w:wordWrap/>
                    <w:overflowPunct/>
                    <w:topLinePunct w:val="0"/>
                    <w:autoSpaceDE/>
                    <w:autoSpaceDN/>
                    <w:bidi w:val="0"/>
                    <w:adjustRightInd/>
                    <w:snapToGrid/>
                    <w:ind w:right="0"/>
                    <w:jc w:val="right"/>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环评类别</w:t>
                  </w:r>
                </w:p>
                <w:p w14:paraId="6084981F">
                  <w:pPr>
                    <w:pStyle w:val="9"/>
                    <w:keepNext w:val="0"/>
                    <w:keepLines w:val="0"/>
                    <w:pageBreakBefore w:val="0"/>
                    <w:widowControl w:val="0"/>
                    <w:kinsoku/>
                    <w:wordWrap/>
                    <w:overflowPunct/>
                    <w:topLinePunct w:val="0"/>
                    <w:autoSpaceDE/>
                    <w:autoSpaceDN/>
                    <w:bidi w:val="0"/>
                    <w:adjustRightInd/>
                    <w:snapToGrid/>
                    <w:ind w:right="0" w:firstLine="422"/>
                    <w:jc w:val="left"/>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项目类别</w:t>
                  </w:r>
                </w:p>
              </w:tc>
              <w:tc>
                <w:tcPr>
                  <w:tcW w:w="2375" w:type="dxa"/>
                  <w:tcBorders>
                    <w:tl2br w:val="nil"/>
                    <w:tr2bl w:val="nil"/>
                  </w:tcBorders>
                  <w:vAlign w:val="center"/>
                </w:tcPr>
                <w:p w14:paraId="39E4448F">
                  <w:pPr>
                    <w:pStyle w:val="9"/>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报告书</w:t>
                  </w:r>
                </w:p>
              </w:tc>
              <w:tc>
                <w:tcPr>
                  <w:tcW w:w="1533" w:type="dxa"/>
                  <w:tcBorders>
                    <w:tl2br w:val="nil"/>
                    <w:tr2bl w:val="nil"/>
                  </w:tcBorders>
                  <w:vAlign w:val="center"/>
                </w:tcPr>
                <w:p w14:paraId="03DF793F">
                  <w:pPr>
                    <w:pStyle w:val="9"/>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报告表</w:t>
                  </w:r>
                </w:p>
              </w:tc>
              <w:tc>
                <w:tcPr>
                  <w:tcW w:w="859" w:type="dxa"/>
                  <w:tcBorders>
                    <w:tl2br w:val="nil"/>
                    <w:tr2bl w:val="nil"/>
                  </w:tcBorders>
                  <w:vAlign w:val="center"/>
                </w:tcPr>
                <w:p w14:paraId="0220C105">
                  <w:pPr>
                    <w:pStyle w:val="9"/>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登记表</w:t>
                  </w:r>
                </w:p>
              </w:tc>
            </w:tr>
            <w:tr w14:paraId="289263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7935" w:type="dxa"/>
                  <w:gridSpan w:val="5"/>
                  <w:tcBorders>
                    <w:tl2br w:val="nil"/>
                    <w:tr2bl w:val="nil"/>
                  </w:tcBorders>
                  <w:vAlign w:val="center"/>
                </w:tcPr>
                <w:p w14:paraId="2732288E">
                  <w:pPr>
                    <w:pStyle w:val="9"/>
                    <w:keepNext w:val="0"/>
                    <w:keepLines w:val="0"/>
                    <w:pageBreakBefore w:val="0"/>
                    <w:widowControl w:val="0"/>
                    <w:kinsoku/>
                    <w:wordWrap/>
                    <w:overflowPunct/>
                    <w:topLinePunct w:val="0"/>
                    <w:autoSpaceDE/>
                    <w:autoSpaceDN/>
                    <w:bidi w:val="0"/>
                    <w:adjustRightInd/>
                    <w:snapToGrid/>
                    <w:ind w:right="0"/>
                    <w:jc w:val="left"/>
                    <w:textAlignment w:val="auto"/>
                    <w:rPr>
                      <w:rFonts w:ascii="Times New Roman" w:hAnsi="Times New Roman" w:eastAsia="宋体" w:cs="Times New Roman"/>
                      <w:b/>
                      <w:bCs/>
                      <w:caps w:val="0"/>
                      <w:color w:val="auto"/>
                      <w:highlight w:val="none"/>
                    </w:rPr>
                  </w:pPr>
                  <w:r>
                    <w:rPr>
                      <w:rFonts w:hint="eastAsia" w:ascii="Times New Roman" w:hAnsi="Times New Roman" w:eastAsia="宋体" w:cs="Times New Roman"/>
                      <w:b/>
                      <w:bCs/>
                      <w:caps w:val="0"/>
                      <w:color w:val="auto"/>
                      <w:highlight w:val="none"/>
                    </w:rPr>
                    <w:t>三十三、汽车制造业 36</w:t>
                  </w:r>
                </w:p>
              </w:tc>
            </w:tr>
            <w:tr w14:paraId="1076E5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1" w:hRule="atLeast"/>
              </w:trPr>
              <w:tc>
                <w:tcPr>
                  <w:tcW w:w="550" w:type="dxa"/>
                  <w:tcBorders>
                    <w:tl2br w:val="nil"/>
                    <w:tr2bl w:val="nil"/>
                  </w:tcBorders>
                  <w:vAlign w:val="center"/>
                </w:tcPr>
                <w:p w14:paraId="4871C924">
                  <w:pPr>
                    <w:pStyle w:val="9"/>
                    <w:keepNext w:val="0"/>
                    <w:keepLines w:val="0"/>
                    <w:pageBreakBefore w:val="0"/>
                    <w:widowControl w:val="0"/>
                    <w:kinsoku/>
                    <w:wordWrap/>
                    <w:overflowPunct/>
                    <w:topLinePunct w:val="0"/>
                    <w:autoSpaceDE/>
                    <w:autoSpaceDN/>
                    <w:bidi w:val="0"/>
                    <w:adjustRightInd/>
                    <w:snapToGrid/>
                    <w:ind w:right="0"/>
                    <w:jc w:val="center"/>
                    <w:textAlignment w:val="auto"/>
                    <w:rPr>
                      <w:rFonts w:hint="default" w:ascii="Times New Roman" w:hAnsi="Times New Roman" w:eastAsia="宋体" w:cs="Times New Roman"/>
                      <w:caps w:val="0"/>
                      <w:color w:val="auto"/>
                      <w:highlight w:val="none"/>
                      <w:lang w:val="en-US" w:eastAsia="zh-CN"/>
                    </w:rPr>
                  </w:pPr>
                  <w:r>
                    <w:rPr>
                      <w:rFonts w:hint="eastAsia" w:ascii="Times New Roman" w:hAnsi="Times New Roman" w:cs="Times New Roman"/>
                      <w:caps w:val="0"/>
                      <w:color w:val="auto"/>
                      <w:highlight w:val="none"/>
                      <w:lang w:val="en-US" w:eastAsia="zh-CN"/>
                    </w:rPr>
                    <w:t>71</w:t>
                  </w:r>
                </w:p>
              </w:tc>
              <w:tc>
                <w:tcPr>
                  <w:tcW w:w="2618" w:type="dxa"/>
                  <w:tcBorders>
                    <w:tl2br w:val="nil"/>
                    <w:tr2bl w:val="nil"/>
                  </w:tcBorders>
                  <w:vAlign w:val="center"/>
                </w:tcPr>
                <w:p w14:paraId="60852F33">
                  <w:pPr>
                    <w:pStyle w:val="9"/>
                    <w:keepNext w:val="0"/>
                    <w:keepLines w:val="0"/>
                    <w:pageBreakBefore w:val="0"/>
                    <w:widowControl w:val="0"/>
                    <w:kinsoku/>
                    <w:wordWrap/>
                    <w:overflowPunct/>
                    <w:topLinePunct w:val="0"/>
                    <w:autoSpaceDE/>
                    <w:autoSpaceDN/>
                    <w:bidi w:val="0"/>
                    <w:adjustRightInd/>
                    <w:snapToGrid/>
                    <w:ind w:right="0"/>
                    <w:textAlignment w:val="auto"/>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汽车整车制造361；汽车用发动机制造362；改装汽车制造363；低速汽车制造364；电车制造365；汽车车身、挂车制造366；</w:t>
                  </w:r>
                  <w:r>
                    <w:rPr>
                      <w:rFonts w:hint="eastAsia" w:ascii="Times New Roman" w:hAnsi="Times New Roman" w:eastAsia="宋体" w:cs="Times New Roman"/>
                      <w:b/>
                      <w:bCs/>
                      <w:caps w:val="0"/>
                      <w:color w:val="auto"/>
                      <w:highlight w:val="none"/>
                    </w:rPr>
                    <w:t>汽车零部件及配件制造367</w:t>
                  </w:r>
                </w:p>
              </w:tc>
              <w:tc>
                <w:tcPr>
                  <w:tcW w:w="2375" w:type="dxa"/>
                  <w:tcBorders>
                    <w:tl2br w:val="nil"/>
                    <w:tr2bl w:val="nil"/>
                  </w:tcBorders>
                  <w:vAlign w:val="center"/>
                </w:tcPr>
                <w:p w14:paraId="76CC41EC">
                  <w:pPr>
                    <w:pStyle w:val="9"/>
                    <w:keepNext w:val="0"/>
                    <w:keepLines w:val="0"/>
                    <w:pageBreakBefore w:val="0"/>
                    <w:widowControl w:val="0"/>
                    <w:kinsoku/>
                    <w:wordWrap/>
                    <w:overflowPunct/>
                    <w:topLinePunct w:val="0"/>
                    <w:autoSpaceDE/>
                    <w:autoSpaceDN/>
                    <w:bidi w:val="0"/>
                    <w:adjustRightInd/>
                    <w:snapToGrid/>
                    <w:ind w:right="0"/>
                    <w:textAlignment w:val="auto"/>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汽车整车制造（仅组装的除外）；汽车用发动机制造（仅组装的除外）；有电镀工艺的；年用溶剂型涂料（含稀释剂）10吨及以上的</w:t>
                  </w:r>
                </w:p>
              </w:tc>
              <w:tc>
                <w:tcPr>
                  <w:tcW w:w="1533" w:type="dxa"/>
                  <w:tcBorders>
                    <w:tl2br w:val="nil"/>
                    <w:tr2bl w:val="nil"/>
                  </w:tcBorders>
                  <w:shd w:val="clear" w:color="auto" w:fill="E7E6E6"/>
                  <w:vAlign w:val="center"/>
                </w:tcPr>
                <w:p w14:paraId="0B677194">
                  <w:pPr>
                    <w:pStyle w:val="9"/>
                    <w:keepNext w:val="0"/>
                    <w:keepLines w:val="0"/>
                    <w:pageBreakBefore w:val="0"/>
                    <w:widowControl w:val="0"/>
                    <w:kinsoku/>
                    <w:wordWrap/>
                    <w:overflowPunct/>
                    <w:topLinePunct w:val="0"/>
                    <w:autoSpaceDE/>
                    <w:autoSpaceDN/>
                    <w:bidi w:val="0"/>
                    <w:adjustRightInd/>
                    <w:snapToGrid/>
                    <w:ind w:right="0"/>
                    <w:textAlignment w:val="auto"/>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其他（年用非溶剂型低VOCs含量涂料10吨以下的除外）</w:t>
                  </w:r>
                </w:p>
              </w:tc>
              <w:tc>
                <w:tcPr>
                  <w:tcW w:w="859" w:type="dxa"/>
                  <w:tcBorders>
                    <w:tl2br w:val="nil"/>
                    <w:tr2bl w:val="nil"/>
                  </w:tcBorders>
                  <w:vAlign w:val="center"/>
                </w:tcPr>
                <w:p w14:paraId="6BB12DE8">
                  <w:pPr>
                    <w:pStyle w:val="9"/>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w:t>
                  </w:r>
                </w:p>
              </w:tc>
            </w:tr>
            <w:tr w14:paraId="6BA710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7935" w:type="dxa"/>
                  <w:gridSpan w:val="5"/>
                  <w:tcBorders>
                    <w:tl2br w:val="nil"/>
                    <w:tr2bl w:val="nil"/>
                  </w:tcBorders>
                  <w:vAlign w:val="center"/>
                </w:tcPr>
                <w:p w14:paraId="02EA28E2">
                  <w:pPr>
                    <w:pStyle w:val="9"/>
                    <w:keepNext w:val="0"/>
                    <w:keepLines w:val="0"/>
                    <w:pageBreakBefore w:val="0"/>
                    <w:widowControl w:val="0"/>
                    <w:kinsoku/>
                    <w:wordWrap/>
                    <w:overflowPunct/>
                    <w:topLinePunct w:val="0"/>
                    <w:autoSpaceDE/>
                    <w:autoSpaceDN/>
                    <w:bidi w:val="0"/>
                    <w:adjustRightInd/>
                    <w:snapToGrid/>
                    <w:ind w:right="0"/>
                    <w:jc w:val="both"/>
                    <w:textAlignment w:val="auto"/>
                    <w:rPr>
                      <w:rFonts w:ascii="Times New Roman" w:hAnsi="Times New Roman" w:eastAsia="宋体" w:cs="Times New Roman"/>
                      <w:caps w:val="0"/>
                      <w:color w:val="auto"/>
                      <w:highlight w:val="none"/>
                    </w:rPr>
                  </w:pPr>
                  <w:r>
                    <w:rPr>
                      <w:rFonts w:hint="eastAsia" w:ascii="Times New Roman" w:hAnsi="Times New Roman" w:eastAsia="宋体" w:cs="Times New Roman"/>
                      <w:b/>
                      <w:bCs/>
                      <w:caps w:val="0"/>
                      <w:color w:val="auto"/>
                      <w:highlight w:val="none"/>
                    </w:rPr>
                    <w:t>二十六、橡胶和塑料制品业 29</w:t>
                  </w:r>
                </w:p>
              </w:tc>
            </w:tr>
            <w:tr w14:paraId="14B360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1" w:hRule="atLeast"/>
              </w:trPr>
              <w:tc>
                <w:tcPr>
                  <w:tcW w:w="550" w:type="dxa"/>
                  <w:tcBorders>
                    <w:tl2br w:val="nil"/>
                    <w:tr2bl w:val="nil"/>
                  </w:tcBorders>
                  <w:vAlign w:val="center"/>
                </w:tcPr>
                <w:p w14:paraId="5D04E3AE">
                  <w:pPr>
                    <w:pStyle w:val="9"/>
                    <w:keepNext w:val="0"/>
                    <w:keepLines w:val="0"/>
                    <w:pageBreakBefore w:val="0"/>
                    <w:widowControl w:val="0"/>
                    <w:kinsoku/>
                    <w:wordWrap/>
                    <w:overflowPunct/>
                    <w:topLinePunct w:val="0"/>
                    <w:autoSpaceDE/>
                    <w:autoSpaceDN/>
                    <w:bidi w:val="0"/>
                    <w:adjustRightInd/>
                    <w:snapToGrid/>
                    <w:ind w:right="0"/>
                    <w:jc w:val="center"/>
                    <w:textAlignment w:val="auto"/>
                    <w:rPr>
                      <w:rFonts w:hint="default" w:ascii="Times New Roman" w:hAnsi="Times New Roman" w:cs="Times New Roman"/>
                      <w:caps w:val="0"/>
                      <w:color w:val="auto"/>
                      <w:highlight w:val="none"/>
                      <w:lang w:val="en-US" w:eastAsia="zh-CN"/>
                    </w:rPr>
                  </w:pPr>
                  <w:r>
                    <w:rPr>
                      <w:rFonts w:hint="eastAsia" w:ascii="Times New Roman" w:hAnsi="Times New Roman" w:cs="Times New Roman"/>
                      <w:caps w:val="0"/>
                      <w:color w:val="auto"/>
                      <w:highlight w:val="none"/>
                      <w:lang w:val="en-US" w:eastAsia="zh-CN"/>
                    </w:rPr>
                    <w:t>53</w:t>
                  </w:r>
                </w:p>
              </w:tc>
              <w:tc>
                <w:tcPr>
                  <w:tcW w:w="2618" w:type="dxa"/>
                  <w:tcBorders>
                    <w:tl2br w:val="nil"/>
                    <w:tr2bl w:val="nil"/>
                  </w:tcBorders>
                  <w:vAlign w:val="center"/>
                </w:tcPr>
                <w:p w14:paraId="5AE6A8A1">
                  <w:pPr>
                    <w:keepNext w:val="0"/>
                    <w:keepLines w:val="0"/>
                    <w:widowControl/>
                    <w:suppressLineNumbers w:val="0"/>
                    <w:jc w:val="left"/>
                    <w:rPr>
                      <w:rFonts w:hint="eastAsia" w:ascii="Times New Roman" w:hAnsi="Times New Roman" w:eastAsia="宋体" w:cs="Times New Roman"/>
                      <w:caps w:val="0"/>
                      <w:color w:val="auto"/>
                      <w:kern w:val="2"/>
                      <w:sz w:val="21"/>
                      <w:szCs w:val="21"/>
                      <w:highlight w:val="none"/>
                      <w:lang w:val="en-US" w:eastAsia="zh-CN" w:bidi="ar-SA"/>
                    </w:rPr>
                  </w:pPr>
                  <w:r>
                    <w:rPr>
                      <w:rFonts w:hint="eastAsia" w:ascii="Times New Roman" w:hAnsi="Times New Roman" w:eastAsia="宋体" w:cs="Times New Roman"/>
                      <w:caps w:val="0"/>
                      <w:color w:val="auto"/>
                      <w:kern w:val="2"/>
                      <w:sz w:val="21"/>
                      <w:szCs w:val="21"/>
                      <w:highlight w:val="none"/>
                      <w:lang w:val="en-US" w:eastAsia="zh-CN" w:bidi="ar-SA"/>
                    </w:rPr>
                    <w:t>塑料制品业 292</w:t>
                  </w:r>
                </w:p>
                <w:p w14:paraId="138DE67A">
                  <w:pPr>
                    <w:pStyle w:val="9"/>
                    <w:keepNext w:val="0"/>
                    <w:keepLines w:val="0"/>
                    <w:pageBreakBefore w:val="0"/>
                    <w:widowControl w:val="0"/>
                    <w:kinsoku/>
                    <w:wordWrap/>
                    <w:overflowPunct/>
                    <w:topLinePunct w:val="0"/>
                    <w:autoSpaceDE/>
                    <w:autoSpaceDN/>
                    <w:bidi w:val="0"/>
                    <w:adjustRightInd/>
                    <w:snapToGrid/>
                    <w:ind w:right="0"/>
                    <w:textAlignment w:val="auto"/>
                    <w:rPr>
                      <w:rFonts w:hint="eastAsia" w:ascii="Times New Roman" w:hAnsi="Times New Roman" w:eastAsia="宋体" w:cs="Times New Roman"/>
                      <w:caps w:val="0"/>
                      <w:color w:val="auto"/>
                      <w:kern w:val="2"/>
                      <w:sz w:val="21"/>
                      <w:szCs w:val="21"/>
                      <w:highlight w:val="none"/>
                      <w:lang w:val="en-US" w:eastAsia="zh-CN" w:bidi="ar-SA"/>
                    </w:rPr>
                  </w:pPr>
                </w:p>
              </w:tc>
              <w:tc>
                <w:tcPr>
                  <w:tcW w:w="2375" w:type="dxa"/>
                  <w:tcBorders>
                    <w:tl2br w:val="nil"/>
                    <w:tr2bl w:val="nil"/>
                  </w:tcBorders>
                  <w:vAlign w:val="center"/>
                </w:tcPr>
                <w:p w14:paraId="05EAA95E">
                  <w:pPr>
                    <w:keepNext w:val="0"/>
                    <w:keepLines w:val="0"/>
                    <w:widowControl/>
                    <w:suppressLineNumbers w:val="0"/>
                    <w:jc w:val="left"/>
                    <w:rPr>
                      <w:rFonts w:hint="eastAsia" w:ascii="Times New Roman" w:hAnsi="Times New Roman" w:eastAsia="宋体" w:cs="Times New Roman"/>
                      <w:caps w:val="0"/>
                      <w:color w:val="auto"/>
                      <w:kern w:val="2"/>
                      <w:sz w:val="21"/>
                      <w:szCs w:val="21"/>
                      <w:highlight w:val="none"/>
                      <w:lang w:val="en-US" w:eastAsia="zh-CN" w:bidi="ar-SA"/>
                    </w:rPr>
                  </w:pPr>
                  <w:r>
                    <w:rPr>
                      <w:rFonts w:hint="eastAsia" w:ascii="Times New Roman" w:hAnsi="Times New Roman" w:eastAsia="宋体" w:cs="Times New Roman"/>
                      <w:caps w:val="0"/>
                      <w:color w:val="auto"/>
                      <w:kern w:val="2"/>
                      <w:sz w:val="21"/>
                      <w:szCs w:val="21"/>
                      <w:highlight w:val="none"/>
                      <w:lang w:val="en-US" w:eastAsia="zh-CN" w:bidi="ar-SA"/>
                    </w:rPr>
                    <w:t>以再生塑料为原料生产的；有电镀工艺的；年用溶剂型胶粘剂10吨及以上的；年用溶剂型涂料（含稀释剂）10吨及以上的</w:t>
                  </w:r>
                </w:p>
              </w:tc>
              <w:tc>
                <w:tcPr>
                  <w:tcW w:w="1533" w:type="dxa"/>
                  <w:tcBorders>
                    <w:tl2br w:val="nil"/>
                    <w:tr2bl w:val="nil"/>
                  </w:tcBorders>
                  <w:shd w:val="clear" w:color="auto" w:fill="E7E6E6"/>
                  <w:vAlign w:val="center"/>
                </w:tcPr>
                <w:p w14:paraId="26FCE62B">
                  <w:pPr>
                    <w:keepNext w:val="0"/>
                    <w:keepLines w:val="0"/>
                    <w:widowControl/>
                    <w:suppressLineNumbers w:val="0"/>
                    <w:jc w:val="left"/>
                    <w:rPr>
                      <w:rFonts w:hint="eastAsia" w:ascii="Times New Roman" w:hAnsi="Times New Roman" w:eastAsia="宋体" w:cs="Times New Roman"/>
                      <w:caps w:val="0"/>
                      <w:color w:val="auto"/>
                      <w:kern w:val="2"/>
                      <w:sz w:val="21"/>
                      <w:szCs w:val="21"/>
                      <w:highlight w:val="none"/>
                      <w:lang w:val="en-US" w:eastAsia="zh-CN" w:bidi="ar-SA"/>
                    </w:rPr>
                  </w:pPr>
                  <w:r>
                    <w:rPr>
                      <w:rFonts w:hint="eastAsia" w:ascii="Times New Roman" w:hAnsi="Times New Roman" w:eastAsia="宋体" w:cs="Times New Roman"/>
                      <w:caps w:val="0"/>
                      <w:color w:val="auto"/>
                      <w:kern w:val="2"/>
                      <w:sz w:val="21"/>
                      <w:szCs w:val="21"/>
                      <w:highlight w:val="none"/>
                      <w:lang w:val="en-US" w:eastAsia="zh-CN" w:bidi="ar-SA"/>
                    </w:rPr>
                    <w:t>其他（年用非溶剂型低VOCs含量涂料10吨以下的除外）</w:t>
                  </w:r>
                </w:p>
                <w:p w14:paraId="2BBE0846">
                  <w:pPr>
                    <w:pStyle w:val="9"/>
                    <w:keepNext w:val="0"/>
                    <w:keepLines w:val="0"/>
                    <w:pageBreakBefore w:val="0"/>
                    <w:widowControl w:val="0"/>
                    <w:kinsoku/>
                    <w:wordWrap/>
                    <w:overflowPunct/>
                    <w:topLinePunct w:val="0"/>
                    <w:autoSpaceDE/>
                    <w:autoSpaceDN/>
                    <w:bidi w:val="0"/>
                    <w:adjustRightInd/>
                    <w:snapToGrid/>
                    <w:ind w:right="0"/>
                    <w:textAlignment w:val="auto"/>
                    <w:rPr>
                      <w:rFonts w:hint="eastAsia" w:ascii="Times New Roman" w:hAnsi="Times New Roman" w:eastAsia="宋体" w:cs="Times New Roman"/>
                      <w:caps w:val="0"/>
                      <w:color w:val="auto"/>
                      <w:kern w:val="2"/>
                      <w:sz w:val="21"/>
                      <w:szCs w:val="21"/>
                      <w:highlight w:val="none"/>
                      <w:lang w:val="en-US" w:eastAsia="zh-CN" w:bidi="ar-SA"/>
                    </w:rPr>
                  </w:pPr>
                </w:p>
              </w:tc>
              <w:tc>
                <w:tcPr>
                  <w:tcW w:w="859" w:type="dxa"/>
                  <w:tcBorders>
                    <w:tl2br w:val="nil"/>
                    <w:tr2bl w:val="nil"/>
                  </w:tcBorders>
                  <w:vAlign w:val="center"/>
                </w:tcPr>
                <w:p w14:paraId="2609AED7">
                  <w:pPr>
                    <w:pStyle w:val="9"/>
                    <w:keepNext w:val="0"/>
                    <w:keepLines w:val="0"/>
                    <w:pageBreakBefore w:val="0"/>
                    <w:widowControl w:val="0"/>
                    <w:kinsoku/>
                    <w:wordWrap/>
                    <w:overflowPunct/>
                    <w:topLinePunct w:val="0"/>
                    <w:autoSpaceDE/>
                    <w:autoSpaceDN/>
                    <w:bidi w:val="0"/>
                    <w:adjustRightInd/>
                    <w:snapToGrid/>
                    <w:ind w:right="0"/>
                    <w:jc w:val="center"/>
                    <w:textAlignment w:val="auto"/>
                    <w:rPr>
                      <w:rFonts w:hint="eastAsia" w:ascii="Times New Roman" w:hAnsi="Times New Roman" w:eastAsia="宋体" w:cs="Times New Roman"/>
                      <w:caps w:val="0"/>
                      <w:color w:val="auto"/>
                      <w:highlight w:val="none"/>
                      <w:lang w:val="en-US" w:eastAsia="zh-CN"/>
                    </w:rPr>
                  </w:pPr>
                  <w:r>
                    <w:rPr>
                      <w:rFonts w:hint="eastAsia" w:ascii="Times New Roman" w:hAnsi="Times New Roman" w:cs="Times New Roman"/>
                      <w:caps w:val="0"/>
                      <w:color w:val="auto"/>
                      <w:highlight w:val="none"/>
                      <w:lang w:val="en-US" w:eastAsia="zh-CN"/>
                    </w:rPr>
                    <w:t>/</w:t>
                  </w:r>
                </w:p>
              </w:tc>
            </w:tr>
          </w:tbl>
          <w:p w14:paraId="49D8618B">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caps w:val="0"/>
                <w:color w:val="auto"/>
                <w:sz w:val="24"/>
                <w:highlight w:val="none"/>
                <w:lang w:eastAsia="zh-CN"/>
              </w:rPr>
            </w:pPr>
            <w:r>
              <w:rPr>
                <w:rFonts w:hint="eastAsia" w:ascii="Times New Roman" w:hAnsi="Times New Roman" w:eastAsia="宋体"/>
                <w:caps w:val="0"/>
                <w:color w:val="auto"/>
                <w:sz w:val="24"/>
                <w:highlight w:val="none"/>
              </w:rPr>
              <w:t>本项目属于C3670汽车零部件及配件制造，对照《固定污染源排污许可分类管理名录》（2019年版），本项目属于《固定污染源排污许可分类管理名录》“</w:t>
            </w:r>
            <w:r>
              <w:rPr>
                <w:rFonts w:hint="eastAsia"/>
                <w:caps w:val="0"/>
                <w:color w:val="auto"/>
                <w:sz w:val="24"/>
                <w:highlight w:val="none"/>
                <w:lang w:val="en-US" w:eastAsia="zh-CN"/>
              </w:rPr>
              <w:t>三十一</w:t>
            </w:r>
            <w:r>
              <w:rPr>
                <w:rFonts w:hint="eastAsia" w:ascii="Times New Roman" w:hAnsi="Times New Roman" w:eastAsia="宋体"/>
                <w:caps w:val="0"/>
                <w:color w:val="auto"/>
                <w:sz w:val="24"/>
                <w:highlight w:val="none"/>
              </w:rPr>
              <w:t>、</w:t>
            </w:r>
            <w:r>
              <w:rPr>
                <w:rFonts w:hint="eastAsia"/>
                <w:caps w:val="0"/>
                <w:color w:val="auto"/>
                <w:sz w:val="24"/>
                <w:highlight w:val="none"/>
                <w:lang w:val="en-US" w:eastAsia="zh-CN"/>
              </w:rPr>
              <w:t>汽车制造业</w:t>
            </w:r>
            <w:r>
              <w:rPr>
                <w:rFonts w:hint="eastAsia" w:ascii="Times New Roman" w:hAnsi="Times New Roman" w:eastAsia="宋体"/>
                <w:caps w:val="0"/>
                <w:color w:val="auto"/>
                <w:sz w:val="24"/>
                <w:highlight w:val="none"/>
              </w:rPr>
              <w:t xml:space="preserve"> 3</w:t>
            </w:r>
            <w:r>
              <w:rPr>
                <w:rFonts w:hint="eastAsia"/>
                <w:caps w:val="0"/>
                <w:color w:val="auto"/>
                <w:sz w:val="24"/>
                <w:highlight w:val="none"/>
                <w:lang w:val="en-US" w:eastAsia="zh-CN"/>
              </w:rPr>
              <w:t>6</w:t>
            </w:r>
            <w:r>
              <w:rPr>
                <w:rFonts w:hint="eastAsia" w:ascii="Times New Roman" w:hAnsi="Times New Roman" w:eastAsia="宋体"/>
                <w:caps w:val="0"/>
                <w:color w:val="auto"/>
                <w:sz w:val="24"/>
                <w:highlight w:val="none"/>
              </w:rPr>
              <w:t>”中的“</w:t>
            </w:r>
            <w:r>
              <w:rPr>
                <w:rFonts w:ascii="Times New Roman" w:hAnsi="Times New Roman" w:eastAsia="宋体"/>
                <w:caps w:val="0"/>
                <w:color w:val="auto"/>
                <w:sz w:val="24"/>
                <w:highlight w:val="none"/>
              </w:rPr>
              <w:t>8</w:t>
            </w:r>
            <w:r>
              <w:rPr>
                <w:rFonts w:hint="eastAsia"/>
                <w:caps w:val="0"/>
                <w:color w:val="auto"/>
                <w:sz w:val="24"/>
                <w:highlight w:val="none"/>
                <w:lang w:val="en-US" w:eastAsia="zh-CN"/>
              </w:rPr>
              <w:t>5</w:t>
            </w:r>
            <w:r>
              <w:rPr>
                <w:rFonts w:hint="eastAsia" w:ascii="Times New Roman" w:hAnsi="Times New Roman" w:eastAsia="宋体"/>
                <w:caps w:val="0"/>
                <w:color w:val="auto"/>
                <w:sz w:val="24"/>
                <w:highlight w:val="none"/>
              </w:rPr>
              <w:t>、汽车整车制造361，汽车用发动机制造362，改装汽车制造363，低速汽车制造364，电车制造365，汽车车身、挂车制造366，汽车零部件及配件制造367”“</w:t>
            </w:r>
            <w:r>
              <w:rPr>
                <w:rFonts w:hint="eastAsia"/>
                <w:caps w:val="0"/>
                <w:color w:val="auto"/>
                <w:sz w:val="24"/>
                <w:highlight w:val="none"/>
                <w:lang w:val="en-US" w:eastAsia="zh-CN"/>
              </w:rPr>
              <w:t>其他</w:t>
            </w:r>
            <w:r>
              <w:rPr>
                <w:rFonts w:hint="eastAsia" w:ascii="Times New Roman" w:hAnsi="Times New Roman" w:eastAsia="宋体"/>
                <w:caps w:val="0"/>
                <w:color w:val="auto"/>
                <w:sz w:val="24"/>
                <w:highlight w:val="none"/>
              </w:rPr>
              <w:t>”项，属于排污许可中“</w:t>
            </w:r>
            <w:r>
              <w:rPr>
                <w:rFonts w:hint="eastAsia"/>
                <w:caps w:val="0"/>
                <w:color w:val="auto"/>
                <w:sz w:val="24"/>
                <w:highlight w:val="none"/>
                <w:lang w:val="en-US" w:eastAsia="zh-CN"/>
              </w:rPr>
              <w:t>登记</w:t>
            </w:r>
            <w:r>
              <w:rPr>
                <w:rFonts w:hint="eastAsia" w:ascii="Times New Roman" w:hAnsi="Times New Roman" w:eastAsia="宋体"/>
                <w:caps w:val="0"/>
                <w:color w:val="auto"/>
                <w:sz w:val="24"/>
                <w:highlight w:val="none"/>
              </w:rPr>
              <w:t>管理”</w:t>
            </w:r>
            <w:r>
              <w:rPr>
                <w:rFonts w:hint="eastAsia"/>
                <w:caps w:val="0"/>
                <w:color w:val="auto"/>
                <w:sz w:val="24"/>
                <w:highlight w:val="none"/>
                <w:lang w:eastAsia="zh-CN"/>
              </w:rPr>
              <w:t>；</w:t>
            </w:r>
          </w:p>
          <w:p w14:paraId="14897E7A">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Times New Roman" w:hAnsi="Times New Roman" w:eastAsia="宋体"/>
                <w:caps w:val="0"/>
                <w:color w:val="auto"/>
                <w:sz w:val="24"/>
                <w:highlight w:val="none"/>
              </w:rPr>
            </w:pPr>
            <w:r>
              <w:rPr>
                <w:rFonts w:hint="eastAsia"/>
                <w:caps w:val="0"/>
                <w:color w:val="auto"/>
                <w:sz w:val="24"/>
                <w:highlight w:val="none"/>
                <w:lang w:val="en-US" w:eastAsia="zh-CN"/>
              </w:rPr>
              <w:t>同时项目属于C2929塑料零件及其他塑料制品制造，对照</w:t>
            </w:r>
            <w:r>
              <w:rPr>
                <w:rFonts w:hint="eastAsia" w:ascii="Times New Roman" w:hAnsi="Times New Roman" w:eastAsia="宋体"/>
                <w:caps w:val="0"/>
                <w:color w:val="auto"/>
                <w:sz w:val="24"/>
                <w:highlight w:val="none"/>
              </w:rPr>
              <w:t>《固定污染源排污许可分类管理名录》（2019年版），本项目属于《固定污染源排污许可分类管理名录》“</w:t>
            </w:r>
            <w:r>
              <w:rPr>
                <w:rFonts w:hint="eastAsia"/>
                <w:caps w:val="0"/>
                <w:color w:val="auto"/>
                <w:sz w:val="24"/>
                <w:highlight w:val="none"/>
                <w:lang w:val="en-US" w:eastAsia="zh-CN"/>
              </w:rPr>
              <w:t>二十四</w:t>
            </w:r>
            <w:r>
              <w:rPr>
                <w:rFonts w:hint="eastAsia" w:ascii="Times New Roman" w:hAnsi="Times New Roman" w:eastAsia="宋体"/>
                <w:caps w:val="0"/>
                <w:color w:val="auto"/>
                <w:sz w:val="24"/>
                <w:highlight w:val="none"/>
              </w:rPr>
              <w:t>、</w:t>
            </w:r>
            <w:r>
              <w:rPr>
                <w:rFonts w:hint="eastAsia"/>
                <w:caps w:val="0"/>
                <w:color w:val="auto"/>
                <w:sz w:val="24"/>
                <w:highlight w:val="none"/>
                <w:lang w:val="en-US" w:eastAsia="zh-CN"/>
              </w:rPr>
              <w:t>橡胶和塑料制品业29</w:t>
            </w:r>
            <w:r>
              <w:rPr>
                <w:rFonts w:hint="eastAsia" w:ascii="Times New Roman" w:hAnsi="Times New Roman" w:eastAsia="宋体"/>
                <w:caps w:val="0"/>
                <w:color w:val="auto"/>
                <w:sz w:val="24"/>
                <w:highlight w:val="none"/>
              </w:rPr>
              <w:t>”中的“</w:t>
            </w:r>
            <w:r>
              <w:rPr>
                <w:rFonts w:hint="eastAsia" w:eastAsia="宋体"/>
                <w:caps w:val="0"/>
                <w:color w:val="auto"/>
                <w:sz w:val="24"/>
                <w:highlight w:val="none"/>
                <w:lang w:val="en-US" w:eastAsia="zh-CN"/>
              </w:rPr>
              <w:t>62、塑料制品业</w:t>
            </w:r>
            <w:r>
              <w:rPr>
                <w:rFonts w:hint="eastAsia" w:ascii="Times New Roman" w:hAnsi="Times New Roman" w:eastAsia="宋体"/>
                <w:caps w:val="0"/>
                <w:color w:val="auto"/>
                <w:sz w:val="24"/>
                <w:highlight w:val="none"/>
              </w:rPr>
              <w:t>”“</w:t>
            </w:r>
            <w:r>
              <w:rPr>
                <w:rFonts w:hint="eastAsia"/>
                <w:caps w:val="0"/>
                <w:color w:val="auto"/>
                <w:sz w:val="24"/>
                <w:highlight w:val="none"/>
                <w:lang w:val="en-US" w:eastAsia="zh-CN"/>
              </w:rPr>
              <w:t>其他</w:t>
            </w:r>
            <w:r>
              <w:rPr>
                <w:rFonts w:hint="eastAsia" w:ascii="Times New Roman" w:hAnsi="Times New Roman" w:eastAsia="宋体"/>
                <w:caps w:val="0"/>
                <w:color w:val="auto"/>
                <w:sz w:val="24"/>
                <w:highlight w:val="none"/>
              </w:rPr>
              <w:t>”项，属于排污许可中“</w:t>
            </w:r>
            <w:r>
              <w:rPr>
                <w:rFonts w:hint="eastAsia"/>
                <w:caps w:val="0"/>
                <w:color w:val="auto"/>
                <w:sz w:val="24"/>
                <w:highlight w:val="none"/>
                <w:lang w:val="en-US" w:eastAsia="zh-CN"/>
              </w:rPr>
              <w:t>登记</w:t>
            </w:r>
            <w:r>
              <w:rPr>
                <w:rFonts w:hint="eastAsia" w:ascii="Times New Roman" w:hAnsi="Times New Roman" w:eastAsia="宋体"/>
                <w:caps w:val="0"/>
                <w:color w:val="auto"/>
                <w:sz w:val="24"/>
                <w:highlight w:val="none"/>
              </w:rPr>
              <w:t>管理”。本单位于202</w:t>
            </w:r>
            <w:r>
              <w:rPr>
                <w:rFonts w:hint="eastAsia"/>
                <w:caps w:val="0"/>
                <w:color w:val="auto"/>
                <w:sz w:val="24"/>
                <w:highlight w:val="none"/>
                <w:lang w:val="en-US" w:eastAsia="zh-CN"/>
              </w:rPr>
              <w:t>5</w:t>
            </w:r>
            <w:r>
              <w:rPr>
                <w:rFonts w:hint="eastAsia" w:ascii="Times New Roman" w:hAnsi="Times New Roman" w:eastAsia="宋体"/>
                <w:caps w:val="0"/>
                <w:color w:val="auto"/>
                <w:sz w:val="24"/>
                <w:highlight w:val="none"/>
              </w:rPr>
              <w:t>年</w:t>
            </w:r>
            <w:r>
              <w:rPr>
                <w:rFonts w:hint="eastAsia"/>
                <w:caps w:val="0"/>
                <w:color w:val="auto"/>
                <w:sz w:val="24"/>
                <w:highlight w:val="none"/>
                <w:lang w:val="en-US" w:eastAsia="zh-CN"/>
              </w:rPr>
              <w:t>3</w:t>
            </w:r>
            <w:r>
              <w:rPr>
                <w:rFonts w:hint="eastAsia" w:ascii="Times New Roman" w:hAnsi="Times New Roman" w:eastAsia="宋体"/>
                <w:caps w:val="0"/>
                <w:color w:val="auto"/>
                <w:sz w:val="24"/>
                <w:highlight w:val="none"/>
              </w:rPr>
              <w:t>月</w:t>
            </w:r>
            <w:r>
              <w:rPr>
                <w:rFonts w:hint="eastAsia"/>
                <w:caps w:val="0"/>
                <w:color w:val="auto"/>
                <w:sz w:val="24"/>
                <w:highlight w:val="none"/>
                <w:lang w:val="en-US" w:eastAsia="zh-CN"/>
              </w:rPr>
              <w:t>6</w:t>
            </w:r>
            <w:r>
              <w:rPr>
                <w:rFonts w:hint="eastAsia" w:ascii="Times New Roman" w:hAnsi="Times New Roman" w:eastAsia="宋体"/>
                <w:caps w:val="0"/>
                <w:color w:val="auto"/>
                <w:sz w:val="24"/>
                <w:highlight w:val="none"/>
              </w:rPr>
              <w:t>日</w:t>
            </w:r>
            <w:r>
              <w:rPr>
                <w:rFonts w:hint="eastAsia"/>
                <w:caps w:val="0"/>
                <w:color w:val="auto"/>
                <w:sz w:val="24"/>
                <w:highlight w:val="none"/>
                <w:lang w:val="en-US" w:eastAsia="zh-CN"/>
              </w:rPr>
              <w:t>进行</w:t>
            </w:r>
            <w:r>
              <w:rPr>
                <w:rFonts w:hint="eastAsia" w:ascii="Times New Roman" w:hAnsi="Times New Roman" w:eastAsia="宋体"/>
                <w:caps w:val="0"/>
                <w:color w:val="auto"/>
                <w:sz w:val="24"/>
                <w:highlight w:val="none"/>
              </w:rPr>
              <w:t>排污登记</w:t>
            </w:r>
            <w:r>
              <w:rPr>
                <w:rFonts w:hint="eastAsia"/>
                <w:caps w:val="0"/>
                <w:color w:val="auto"/>
                <w:sz w:val="24"/>
                <w:highlight w:val="none"/>
                <w:lang w:val="en-US" w:eastAsia="zh-CN"/>
              </w:rPr>
              <w:t>变更</w:t>
            </w:r>
            <w:r>
              <w:rPr>
                <w:rFonts w:hint="eastAsia" w:ascii="Times New Roman" w:hAnsi="Times New Roman" w:eastAsia="宋体"/>
                <w:caps w:val="0"/>
                <w:color w:val="auto"/>
                <w:sz w:val="24"/>
                <w:highlight w:val="none"/>
              </w:rPr>
              <w:t>（登记编号：9134020068205841XM001Y）</w:t>
            </w:r>
            <w:r>
              <w:rPr>
                <w:rFonts w:hint="eastAsia"/>
                <w:caps w:val="0"/>
                <w:color w:val="auto"/>
                <w:sz w:val="24"/>
                <w:highlight w:val="none"/>
                <w:lang w:eastAsia="zh-CN"/>
              </w:rPr>
              <w:t>，</w:t>
            </w:r>
            <w:r>
              <w:rPr>
                <w:rFonts w:hint="eastAsia"/>
                <w:caps w:val="0"/>
                <w:color w:val="auto"/>
                <w:sz w:val="24"/>
                <w:highlight w:val="none"/>
                <w:lang w:val="en-US" w:eastAsia="zh-CN"/>
              </w:rPr>
              <w:t>有效期为2025年03月06日-2030年03月05日</w:t>
            </w:r>
            <w:r>
              <w:rPr>
                <w:rFonts w:hint="eastAsia" w:ascii="Times New Roman" w:hAnsi="Times New Roman" w:eastAsia="宋体"/>
                <w:caps w:val="0"/>
                <w:color w:val="auto"/>
                <w:sz w:val="24"/>
                <w:highlight w:val="none"/>
              </w:rPr>
              <w:t>。</w:t>
            </w:r>
          </w:p>
          <w:p w14:paraId="453B989F">
            <w:pPr>
              <w:pStyle w:val="31"/>
              <w:keepNext w:val="0"/>
              <w:keepLines w:val="0"/>
              <w:pageBreakBefore w:val="0"/>
              <w:widowControl w:val="0"/>
              <w:kinsoku/>
              <w:wordWrap/>
              <w:overflowPunct/>
              <w:topLinePunct w:val="0"/>
              <w:bidi w:val="0"/>
              <w:snapToGrid/>
              <w:spacing w:line="360" w:lineRule="auto"/>
              <w:ind w:firstLine="482"/>
              <w:jc w:val="center"/>
              <w:textAlignment w:val="auto"/>
              <w:rPr>
                <w:rFonts w:ascii="Times New Roman" w:hAnsi="Times New Roman" w:eastAsia="宋体"/>
                <w:b/>
                <w:bCs/>
                <w:caps w:val="0"/>
                <w:color w:val="auto"/>
                <w:highlight w:val="none"/>
              </w:rPr>
            </w:pPr>
            <w:r>
              <w:rPr>
                <w:rFonts w:ascii="Times New Roman" w:hAnsi="Times New Roman" w:eastAsia="宋体"/>
                <w:b/>
                <w:bCs/>
                <w:caps w:val="0"/>
                <w:color w:val="auto"/>
                <w:highlight w:val="none"/>
              </w:rPr>
              <w:t xml:space="preserve">表2-2  </w:t>
            </w:r>
            <w:r>
              <w:rPr>
                <w:rFonts w:ascii="Times New Roman" w:hAnsi="Times New Roman" w:eastAsia="宋体"/>
                <w:b/>
                <w:bCs/>
                <w:caps w:val="0"/>
                <w:color w:val="auto"/>
                <w:spacing w:val="6"/>
                <w:highlight w:val="none"/>
              </w:rPr>
              <w:t>固定污染源排污许可证分类管理名录（2019年版）</w:t>
            </w:r>
            <w:r>
              <w:rPr>
                <w:rFonts w:ascii="Times New Roman" w:hAnsi="Times New Roman" w:eastAsia="宋体"/>
                <w:b/>
                <w:bCs/>
                <w:caps w:val="0"/>
                <w:color w:val="auto"/>
                <w:highlight w:val="none"/>
              </w:rPr>
              <w:t>节选</w:t>
            </w:r>
          </w:p>
          <w:tbl>
            <w:tblPr>
              <w:tblStyle w:val="21"/>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817"/>
              <w:gridCol w:w="1155"/>
              <w:gridCol w:w="3008"/>
              <w:gridCol w:w="1237"/>
            </w:tblGrid>
            <w:tr w14:paraId="58B527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tcBorders>
                    <w:tl2br w:val="nil"/>
                    <w:tr2bl w:val="nil"/>
                  </w:tcBorders>
                  <w:vAlign w:val="center"/>
                </w:tcPr>
                <w:p w14:paraId="27646618">
                  <w:pPr>
                    <w:pStyle w:val="9"/>
                    <w:jc w:val="center"/>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序号</w:t>
                  </w:r>
                </w:p>
              </w:tc>
              <w:tc>
                <w:tcPr>
                  <w:tcW w:w="1152" w:type="pct"/>
                  <w:tcBorders>
                    <w:tl2br w:val="nil"/>
                    <w:tr2bl w:val="nil"/>
                  </w:tcBorders>
                  <w:vAlign w:val="center"/>
                </w:tcPr>
                <w:p w14:paraId="138B346A">
                  <w:pPr>
                    <w:pStyle w:val="9"/>
                    <w:jc w:val="center"/>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行业类别</w:t>
                  </w:r>
                </w:p>
              </w:tc>
              <w:tc>
                <w:tcPr>
                  <w:tcW w:w="732" w:type="pct"/>
                  <w:tcBorders>
                    <w:tl2br w:val="nil"/>
                    <w:tr2bl w:val="nil"/>
                  </w:tcBorders>
                  <w:vAlign w:val="center"/>
                </w:tcPr>
                <w:p w14:paraId="5BA72306">
                  <w:pPr>
                    <w:pStyle w:val="9"/>
                    <w:jc w:val="center"/>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重点管理</w:t>
                  </w:r>
                </w:p>
              </w:tc>
              <w:tc>
                <w:tcPr>
                  <w:tcW w:w="1907" w:type="pct"/>
                  <w:tcBorders>
                    <w:tl2br w:val="nil"/>
                    <w:tr2bl w:val="nil"/>
                  </w:tcBorders>
                  <w:shd w:val="clear" w:color="auto" w:fill="auto"/>
                  <w:vAlign w:val="center"/>
                </w:tcPr>
                <w:p w14:paraId="152A26D3">
                  <w:pPr>
                    <w:pStyle w:val="9"/>
                    <w:jc w:val="center"/>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简化管理</w:t>
                  </w:r>
                </w:p>
              </w:tc>
              <w:tc>
                <w:tcPr>
                  <w:tcW w:w="784" w:type="pct"/>
                  <w:tcBorders>
                    <w:tl2br w:val="nil"/>
                    <w:tr2bl w:val="nil"/>
                  </w:tcBorders>
                  <w:shd w:val="clear" w:color="auto" w:fill="BEBEBE" w:themeFill="background1" w:themeFillShade="BF"/>
                  <w:vAlign w:val="center"/>
                </w:tcPr>
                <w:p w14:paraId="6B651406">
                  <w:pPr>
                    <w:pStyle w:val="9"/>
                    <w:jc w:val="center"/>
                    <w:rPr>
                      <w:rFonts w:ascii="Times New Roman" w:hAnsi="Times New Roman" w:eastAsia="宋体" w:cs="Times New Roman"/>
                      <w:caps w:val="0"/>
                      <w:color w:val="auto"/>
                      <w:highlight w:val="none"/>
                    </w:rPr>
                  </w:pPr>
                  <w:r>
                    <w:rPr>
                      <w:rFonts w:ascii="Times New Roman" w:hAnsi="Times New Roman" w:eastAsia="宋体" w:cs="Times New Roman"/>
                      <w:caps w:val="0"/>
                      <w:color w:val="auto"/>
                      <w:highlight w:val="none"/>
                    </w:rPr>
                    <w:t>登记管理</w:t>
                  </w:r>
                </w:p>
              </w:tc>
            </w:tr>
            <w:tr w14:paraId="0C68C8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vAlign w:val="center"/>
                </w:tcPr>
                <w:p w14:paraId="09C8C059">
                  <w:pPr>
                    <w:pStyle w:val="9"/>
                    <w:jc w:val="left"/>
                    <w:rPr>
                      <w:rFonts w:ascii="Times New Roman" w:hAnsi="Times New Roman" w:eastAsia="宋体" w:cs="Times New Roman"/>
                      <w:b/>
                      <w:bCs/>
                      <w:caps w:val="0"/>
                      <w:color w:val="auto"/>
                      <w:highlight w:val="none"/>
                    </w:rPr>
                  </w:pPr>
                  <w:r>
                    <w:rPr>
                      <w:rFonts w:hint="eastAsia" w:ascii="Times New Roman" w:hAnsi="Times New Roman" w:eastAsia="宋体" w:cs="Times New Roman"/>
                      <w:b/>
                      <w:bCs/>
                      <w:caps w:val="0"/>
                      <w:color w:val="auto"/>
                      <w:highlight w:val="none"/>
                    </w:rPr>
                    <w:t>三十一、汽车制造业 36</w:t>
                  </w:r>
                </w:p>
              </w:tc>
            </w:tr>
            <w:tr w14:paraId="296F04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3" w:hRule="atLeast"/>
              </w:trPr>
              <w:tc>
                <w:tcPr>
                  <w:tcW w:w="424" w:type="pct"/>
                  <w:tcBorders>
                    <w:tl2br w:val="nil"/>
                    <w:tr2bl w:val="nil"/>
                  </w:tcBorders>
                  <w:vAlign w:val="center"/>
                </w:tcPr>
                <w:p w14:paraId="30A2D724">
                  <w:pPr>
                    <w:pStyle w:val="9"/>
                    <w:jc w:val="center"/>
                    <w:rPr>
                      <w:rFonts w:hint="eastAsia" w:ascii="Times New Roman" w:hAnsi="Times New Roman" w:eastAsia="宋体" w:cs="Times New Roman"/>
                      <w:caps w:val="0"/>
                      <w:color w:val="auto"/>
                      <w:highlight w:val="none"/>
                      <w:lang w:eastAsia="zh-CN"/>
                    </w:rPr>
                  </w:pPr>
                  <w:r>
                    <w:rPr>
                      <w:rFonts w:ascii="Times New Roman" w:hAnsi="Times New Roman" w:eastAsia="宋体" w:cs="Times New Roman"/>
                      <w:caps w:val="0"/>
                      <w:color w:val="auto"/>
                      <w:highlight w:val="none"/>
                    </w:rPr>
                    <w:t>8</w:t>
                  </w:r>
                  <w:r>
                    <w:rPr>
                      <w:rFonts w:hint="eastAsia" w:ascii="Times New Roman" w:hAnsi="Times New Roman" w:cs="Times New Roman"/>
                      <w:caps w:val="0"/>
                      <w:color w:val="auto"/>
                      <w:highlight w:val="none"/>
                      <w:lang w:val="en-US" w:eastAsia="zh-CN"/>
                    </w:rPr>
                    <w:t>5</w:t>
                  </w:r>
                </w:p>
              </w:tc>
              <w:tc>
                <w:tcPr>
                  <w:tcW w:w="1152" w:type="pct"/>
                  <w:tcBorders>
                    <w:tl2br w:val="nil"/>
                    <w:tr2bl w:val="nil"/>
                  </w:tcBorders>
                  <w:vAlign w:val="center"/>
                </w:tcPr>
                <w:p w14:paraId="368E157A">
                  <w:pPr>
                    <w:pStyle w:val="9"/>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汽车整车制造361，汽车用发动机制造362，改装汽车制造363，低速汽车制造364，电车制造365，汽车车身、挂车制造366，</w:t>
                  </w:r>
                  <w:r>
                    <w:rPr>
                      <w:rFonts w:hint="eastAsia" w:ascii="Times New Roman" w:hAnsi="Times New Roman" w:eastAsia="宋体" w:cs="Times New Roman"/>
                      <w:b/>
                      <w:bCs/>
                      <w:caps w:val="0"/>
                      <w:color w:val="auto"/>
                      <w:highlight w:val="none"/>
                    </w:rPr>
                    <w:t>汽车零部件及配件制造367</w:t>
                  </w:r>
                </w:p>
              </w:tc>
              <w:tc>
                <w:tcPr>
                  <w:tcW w:w="732" w:type="pct"/>
                  <w:tcBorders>
                    <w:tl2br w:val="nil"/>
                    <w:tr2bl w:val="nil"/>
                  </w:tcBorders>
                  <w:vAlign w:val="center"/>
                </w:tcPr>
                <w:p w14:paraId="762BA1AA">
                  <w:pPr>
                    <w:pStyle w:val="9"/>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纳入重点排污单位名录的</w:t>
                  </w:r>
                </w:p>
              </w:tc>
              <w:tc>
                <w:tcPr>
                  <w:tcW w:w="1907" w:type="pct"/>
                  <w:tcBorders>
                    <w:tl2br w:val="nil"/>
                    <w:tr2bl w:val="nil"/>
                  </w:tcBorders>
                  <w:shd w:val="clear" w:color="auto" w:fill="auto"/>
                  <w:vAlign w:val="center"/>
                </w:tcPr>
                <w:p w14:paraId="5A381743">
                  <w:pPr>
                    <w:pStyle w:val="9"/>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除重点管理以外的汽车整车制造361，除重点管理以外的年使用10吨及以上溶剂型涂料或者胶粘剂（含稀释剂、固化剂、清洗溶剂）的汽车用发动机制造362、改装汽车制造363、低速汽车制造364、电车制造365、汽车车身、挂车制造366、汽车零部件及配件制造367</w:t>
                  </w:r>
                </w:p>
              </w:tc>
              <w:tc>
                <w:tcPr>
                  <w:tcW w:w="784" w:type="pct"/>
                  <w:tcBorders>
                    <w:tl2br w:val="nil"/>
                    <w:tr2bl w:val="nil"/>
                  </w:tcBorders>
                  <w:shd w:val="clear" w:color="auto" w:fill="BEBEBE" w:themeFill="background1" w:themeFillShade="BF"/>
                  <w:vAlign w:val="center"/>
                </w:tcPr>
                <w:p w14:paraId="79D15E38">
                  <w:pPr>
                    <w:pStyle w:val="9"/>
                    <w:jc w:val="center"/>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其他</w:t>
                  </w:r>
                </w:p>
              </w:tc>
            </w:tr>
            <w:tr w14:paraId="45444D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5000" w:type="pct"/>
                  <w:gridSpan w:val="5"/>
                  <w:tcBorders>
                    <w:tl2br w:val="nil"/>
                    <w:tr2bl w:val="nil"/>
                  </w:tcBorders>
                  <w:vAlign w:val="center"/>
                </w:tcPr>
                <w:p w14:paraId="7B7318EC">
                  <w:pPr>
                    <w:pStyle w:val="9"/>
                    <w:jc w:val="both"/>
                    <w:rPr>
                      <w:rFonts w:hint="eastAsia" w:ascii="Times New Roman" w:hAnsi="Times New Roman" w:eastAsia="宋体" w:cs="Times New Roman"/>
                      <w:caps w:val="0"/>
                      <w:color w:val="auto"/>
                      <w:highlight w:val="none"/>
                    </w:rPr>
                  </w:pPr>
                  <w:r>
                    <w:rPr>
                      <w:rFonts w:hint="eastAsia" w:ascii="Times New Roman" w:hAnsi="Times New Roman" w:eastAsia="宋体" w:cs="Times New Roman"/>
                      <w:b/>
                      <w:bCs/>
                      <w:caps w:val="0"/>
                      <w:color w:val="auto"/>
                      <w:highlight w:val="none"/>
                    </w:rPr>
                    <w:t>二十四、橡胶和塑料制品业29</w:t>
                  </w:r>
                </w:p>
              </w:tc>
            </w:tr>
            <w:tr w14:paraId="54CE43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3" w:hRule="atLeast"/>
              </w:trPr>
              <w:tc>
                <w:tcPr>
                  <w:tcW w:w="424" w:type="pct"/>
                  <w:tcBorders>
                    <w:tl2br w:val="nil"/>
                    <w:tr2bl w:val="nil"/>
                  </w:tcBorders>
                  <w:vAlign w:val="center"/>
                </w:tcPr>
                <w:p w14:paraId="37174134">
                  <w:pPr>
                    <w:pStyle w:val="9"/>
                    <w:jc w:val="center"/>
                    <w:rPr>
                      <w:rFonts w:hint="default" w:ascii="Times New Roman" w:hAnsi="Times New Roman" w:eastAsia="宋体" w:cs="Times New Roman"/>
                      <w:caps w:val="0"/>
                      <w:color w:val="auto"/>
                      <w:highlight w:val="none"/>
                      <w:lang w:val="en-US" w:eastAsia="zh-CN"/>
                    </w:rPr>
                  </w:pPr>
                  <w:r>
                    <w:rPr>
                      <w:rFonts w:hint="eastAsia" w:ascii="Times New Roman" w:hAnsi="Times New Roman" w:cs="Times New Roman"/>
                      <w:caps w:val="0"/>
                      <w:color w:val="auto"/>
                      <w:highlight w:val="none"/>
                      <w:lang w:val="en-US" w:eastAsia="zh-CN"/>
                    </w:rPr>
                    <w:t>62</w:t>
                  </w:r>
                </w:p>
              </w:tc>
              <w:tc>
                <w:tcPr>
                  <w:tcW w:w="1152" w:type="pct"/>
                  <w:tcBorders>
                    <w:tl2br w:val="nil"/>
                    <w:tr2bl w:val="nil"/>
                  </w:tcBorders>
                  <w:vAlign w:val="center"/>
                </w:tcPr>
                <w:p w14:paraId="50355C5C">
                  <w:pPr>
                    <w:pStyle w:val="9"/>
                    <w:rPr>
                      <w:rFonts w:hint="default" w:ascii="Times New Roman" w:hAnsi="Times New Roman" w:eastAsia="宋体" w:cs="Times New Roman"/>
                      <w:caps w:val="0"/>
                      <w:color w:val="auto"/>
                      <w:highlight w:val="none"/>
                      <w:lang w:val="en-US" w:eastAsia="zh-CN"/>
                    </w:rPr>
                  </w:pPr>
                  <w:r>
                    <w:rPr>
                      <w:rFonts w:hint="eastAsia" w:ascii="Times New Roman" w:hAnsi="Times New Roman" w:cs="Times New Roman"/>
                      <w:caps w:val="0"/>
                      <w:color w:val="auto"/>
                      <w:highlight w:val="none"/>
                      <w:lang w:val="en-US" w:eastAsia="zh-CN"/>
                    </w:rPr>
                    <w:t>塑料制品业292</w:t>
                  </w:r>
                </w:p>
              </w:tc>
              <w:tc>
                <w:tcPr>
                  <w:tcW w:w="732" w:type="pct"/>
                  <w:tcBorders>
                    <w:tl2br w:val="nil"/>
                    <w:tr2bl w:val="nil"/>
                  </w:tcBorders>
                  <w:vAlign w:val="center"/>
                </w:tcPr>
                <w:p w14:paraId="5417A1C8">
                  <w:pPr>
                    <w:pStyle w:val="9"/>
                    <w:rPr>
                      <w:rFonts w:hint="eastAsia"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塑料人造革、合成革制造2925</w:t>
                  </w:r>
                </w:p>
              </w:tc>
              <w:tc>
                <w:tcPr>
                  <w:tcW w:w="1907" w:type="pct"/>
                  <w:tcBorders>
                    <w:tl2br w:val="nil"/>
                    <w:tr2bl w:val="nil"/>
                  </w:tcBorders>
                  <w:shd w:val="clear" w:color="auto" w:fill="auto"/>
                  <w:vAlign w:val="center"/>
                </w:tcPr>
                <w:p w14:paraId="728413F3">
                  <w:pPr>
                    <w:pStyle w:val="9"/>
                    <w:rPr>
                      <w:rFonts w:hint="eastAsia"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年产1万吨及以上的泡沫塑料制造2924，年产1万吨及以上涉及改性的塑料薄膜制造2921、塑料板、管、型材制造2922、塑料丝、绳和编织品制造2923、塑料包装箱及容器制造2926、日用塑料品制造2927、人造草坪制造2928、塑料零件及其他塑料制品制造2929</w:t>
                  </w:r>
                </w:p>
              </w:tc>
              <w:tc>
                <w:tcPr>
                  <w:tcW w:w="784" w:type="pct"/>
                  <w:tcBorders>
                    <w:tl2br w:val="nil"/>
                    <w:tr2bl w:val="nil"/>
                  </w:tcBorders>
                  <w:shd w:val="clear" w:color="auto" w:fill="BEBEBE" w:themeFill="background1" w:themeFillShade="BF"/>
                  <w:vAlign w:val="center"/>
                </w:tcPr>
                <w:p w14:paraId="1A32D6F8">
                  <w:pPr>
                    <w:pStyle w:val="9"/>
                    <w:jc w:val="center"/>
                    <w:rPr>
                      <w:rFonts w:hint="default" w:ascii="Times New Roman" w:hAnsi="Times New Roman" w:eastAsia="宋体" w:cs="Times New Roman"/>
                      <w:caps w:val="0"/>
                      <w:color w:val="auto"/>
                      <w:highlight w:val="none"/>
                      <w:lang w:val="en-US" w:eastAsia="zh-CN"/>
                    </w:rPr>
                  </w:pPr>
                  <w:r>
                    <w:rPr>
                      <w:rFonts w:hint="eastAsia" w:ascii="Times New Roman" w:hAnsi="Times New Roman" w:cs="Times New Roman"/>
                      <w:caps w:val="0"/>
                      <w:color w:val="auto"/>
                      <w:highlight w:val="none"/>
                      <w:lang w:val="en-US" w:eastAsia="zh-CN"/>
                    </w:rPr>
                    <w:t>其他</w:t>
                  </w:r>
                </w:p>
              </w:tc>
            </w:tr>
          </w:tbl>
          <w:p w14:paraId="3FA737E7">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eastAsia="宋体"/>
                <w:bCs/>
                <w:caps w:val="0"/>
                <w:color w:val="auto"/>
                <w:sz w:val="20"/>
                <w:szCs w:val="20"/>
                <w:highlight w:val="none"/>
                <w:lang w:val="en-US" w:eastAsia="zh-CN"/>
              </w:rPr>
            </w:pPr>
            <w:r>
              <w:rPr>
                <w:rFonts w:hint="eastAsia"/>
                <w:bCs/>
                <w:caps w:val="0"/>
                <w:color w:val="auto"/>
                <w:sz w:val="20"/>
                <w:szCs w:val="20"/>
                <w:highlight w:val="none"/>
                <w:lang w:val="en-US" w:eastAsia="zh-CN"/>
              </w:rPr>
              <w:t>项目产品产量小于1万吨。</w:t>
            </w:r>
          </w:p>
          <w:p w14:paraId="3D87831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auto"/>
                <w:sz w:val="24"/>
                <w:highlight w:val="none"/>
              </w:rPr>
            </w:pPr>
            <w:r>
              <w:rPr>
                <w:rFonts w:hint="eastAsia" w:ascii="Times New Roman" w:hAnsi="Times New Roman" w:eastAsia="宋体"/>
                <w:bCs/>
                <w:caps w:val="0"/>
                <w:color w:val="auto"/>
                <w:sz w:val="24"/>
                <w:highlight w:val="none"/>
              </w:rPr>
              <w:t>安徽凯迪电气有限公司</w:t>
            </w:r>
            <w:r>
              <w:rPr>
                <w:rFonts w:hint="eastAsia" w:ascii="Times New Roman" w:hAnsi="Times New Roman" w:eastAsia="宋体"/>
                <w:caps w:val="0"/>
                <w:color w:val="auto"/>
                <w:sz w:val="24"/>
                <w:highlight w:val="none"/>
              </w:rPr>
              <w:t>委托</w:t>
            </w:r>
            <w:r>
              <w:rPr>
                <w:rFonts w:hint="eastAsia" w:ascii="Times New Roman" w:hAnsi="Times New Roman" w:eastAsia="宋体"/>
                <w:caps w:val="0"/>
                <w:color w:val="auto"/>
                <w:sz w:val="24"/>
                <w:szCs w:val="21"/>
                <w:highlight w:val="none"/>
              </w:rPr>
              <w:t>我公司</w:t>
            </w:r>
            <w:r>
              <w:rPr>
                <w:rFonts w:hint="eastAsia" w:ascii="Times New Roman" w:hAnsi="Times New Roman" w:eastAsia="宋体"/>
                <w:caps w:val="0"/>
                <w:color w:val="auto"/>
                <w:sz w:val="24"/>
                <w:highlight w:val="none"/>
              </w:rPr>
              <w:t>承担其环境影响评价工作。接受委托后，</w:t>
            </w:r>
            <w:r>
              <w:rPr>
                <w:rFonts w:hint="eastAsia" w:ascii="Times New Roman" w:hAnsi="Times New Roman" w:eastAsia="宋体"/>
                <w:caps w:val="0"/>
                <w:color w:val="auto"/>
                <w:sz w:val="24"/>
                <w:szCs w:val="21"/>
                <w:highlight w:val="none"/>
              </w:rPr>
              <w:t>我公司</w:t>
            </w:r>
            <w:r>
              <w:rPr>
                <w:rFonts w:hint="eastAsia" w:ascii="Times New Roman" w:hAnsi="Times New Roman" w:eastAsia="宋体"/>
                <w:caps w:val="0"/>
                <w:color w:val="auto"/>
                <w:sz w:val="24"/>
                <w:highlight w:val="none"/>
              </w:rPr>
              <w:t>立即组织有关技术人员进行现场踏勘、收集资料，依据国家有关法规文件和环境影响评价导则，编制了该项目环境影响报告表。</w:t>
            </w:r>
          </w:p>
          <w:p w14:paraId="73645F9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b/>
                <w:caps w:val="0"/>
                <w:color w:val="auto"/>
                <w:kern w:val="0"/>
                <w:sz w:val="24"/>
                <w:highlight w:val="none"/>
              </w:rPr>
            </w:pPr>
            <w:r>
              <w:rPr>
                <w:rFonts w:hint="eastAsia" w:ascii="Times New Roman" w:hAnsi="Times New Roman" w:eastAsia="宋体"/>
                <w:b/>
                <w:caps w:val="0"/>
                <w:color w:val="auto"/>
                <w:kern w:val="0"/>
                <w:sz w:val="24"/>
                <w:highlight w:val="none"/>
              </w:rPr>
              <w:t>2、产品方案</w:t>
            </w:r>
          </w:p>
          <w:p w14:paraId="344813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建设项目具体产品方案详见表2-</w:t>
            </w:r>
            <w:r>
              <w:rPr>
                <w:rFonts w:hint="eastAsia" w:ascii="Times New Roman" w:hAnsi="Times New Roman" w:eastAsia="宋体"/>
                <w:caps w:val="0"/>
                <w:color w:val="auto"/>
                <w:sz w:val="24"/>
                <w:highlight w:val="none"/>
                <w:lang w:val="en-US" w:eastAsia="zh-CN"/>
              </w:rPr>
              <w:t>3</w:t>
            </w:r>
            <w:r>
              <w:rPr>
                <w:rFonts w:hint="eastAsia" w:ascii="Times New Roman" w:hAnsi="Times New Roman" w:eastAsia="宋体"/>
                <w:caps w:val="0"/>
                <w:color w:val="auto"/>
                <w:sz w:val="24"/>
                <w:highlight w:val="none"/>
              </w:rPr>
              <w:t>所示。</w:t>
            </w:r>
          </w:p>
          <w:p w14:paraId="21B25268">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ascii="Times New Roman" w:hAnsi="Times New Roman" w:eastAsia="宋体"/>
                <w:b/>
                <w:caps w:val="0"/>
                <w:color w:val="auto"/>
                <w:sz w:val="24"/>
                <w:highlight w:val="none"/>
              </w:rPr>
            </w:pPr>
            <w:r>
              <w:rPr>
                <w:rFonts w:ascii="Times New Roman" w:hAnsi="Times New Roman" w:eastAsia="宋体"/>
                <w:b/>
                <w:caps w:val="0"/>
                <w:color w:val="auto"/>
                <w:sz w:val="24"/>
                <w:highlight w:val="none"/>
              </w:rPr>
              <w:t>表2-</w:t>
            </w:r>
            <w:r>
              <w:rPr>
                <w:rFonts w:hint="eastAsia" w:ascii="Times New Roman" w:hAnsi="Times New Roman" w:eastAsia="宋体"/>
                <w:b/>
                <w:caps w:val="0"/>
                <w:color w:val="auto"/>
                <w:sz w:val="24"/>
                <w:highlight w:val="none"/>
                <w:lang w:val="en-US" w:eastAsia="zh-CN"/>
              </w:rPr>
              <w:t>3</w:t>
            </w:r>
            <w:r>
              <w:rPr>
                <w:rFonts w:ascii="Times New Roman" w:hAnsi="Times New Roman" w:eastAsia="宋体"/>
                <w:b/>
                <w:caps w:val="0"/>
                <w:color w:val="auto"/>
                <w:sz w:val="24"/>
                <w:highlight w:val="none"/>
              </w:rPr>
              <w:t xml:space="preserve">  </w:t>
            </w:r>
            <w:bookmarkStart w:id="3" w:name="_Hlk157436728"/>
            <w:r>
              <w:rPr>
                <w:rFonts w:ascii="Times New Roman" w:hAnsi="Times New Roman" w:eastAsia="宋体"/>
                <w:b/>
                <w:caps w:val="0"/>
                <w:color w:val="auto"/>
                <w:sz w:val="24"/>
                <w:highlight w:val="none"/>
              </w:rPr>
              <w:t>产品方案一览表</w:t>
            </w:r>
            <w:bookmarkEnd w:id="3"/>
          </w:p>
          <w:tbl>
            <w:tblPr>
              <w:tblStyle w:val="21"/>
              <w:tblW w:w="495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988"/>
              <w:gridCol w:w="1333"/>
              <w:gridCol w:w="1149"/>
              <w:gridCol w:w="1549"/>
              <w:gridCol w:w="1287"/>
            </w:tblGrid>
            <w:tr w14:paraId="7EDAF1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6" w:type="pct"/>
                  <w:tcBorders>
                    <w:tl2br w:val="nil"/>
                    <w:tr2bl w:val="nil"/>
                  </w:tcBorders>
                  <w:vAlign w:val="center"/>
                </w:tcPr>
                <w:p w14:paraId="14763E4B">
                  <w:pPr>
                    <w:jc w:val="center"/>
                    <w:rPr>
                      <w:rFonts w:ascii="Times New Roman" w:hAnsi="Times New Roman" w:eastAsia="宋体"/>
                      <w:b/>
                      <w:bCs/>
                      <w:caps w:val="0"/>
                      <w:color w:val="auto"/>
                      <w:sz w:val="21"/>
                      <w:szCs w:val="21"/>
                      <w:highlight w:val="none"/>
                    </w:rPr>
                  </w:pPr>
                  <w:bookmarkStart w:id="4" w:name="_Hlk157436280"/>
                  <w:r>
                    <w:rPr>
                      <w:rFonts w:ascii="Times New Roman" w:hAnsi="Times New Roman" w:eastAsia="宋体"/>
                      <w:b/>
                      <w:bCs/>
                      <w:caps w:val="0"/>
                      <w:color w:val="auto"/>
                      <w:sz w:val="21"/>
                      <w:szCs w:val="21"/>
                      <w:highlight w:val="none"/>
                    </w:rPr>
                    <w:t>产品名称</w:t>
                  </w:r>
                </w:p>
              </w:tc>
              <w:tc>
                <w:tcPr>
                  <w:tcW w:w="631" w:type="pct"/>
                  <w:tcBorders>
                    <w:tl2br w:val="nil"/>
                    <w:tr2bl w:val="nil"/>
                  </w:tcBorders>
                  <w:vAlign w:val="center"/>
                </w:tcPr>
                <w:p w14:paraId="69A8B6DC">
                  <w:pPr>
                    <w:jc w:val="center"/>
                    <w:rPr>
                      <w:rFonts w:ascii="Times New Roman" w:hAnsi="Times New Roman" w:eastAsia="宋体"/>
                      <w:b/>
                      <w:bCs/>
                      <w:caps w:val="0"/>
                      <w:color w:val="auto"/>
                      <w:sz w:val="21"/>
                      <w:szCs w:val="21"/>
                      <w:highlight w:val="none"/>
                    </w:rPr>
                  </w:pPr>
                  <w:r>
                    <w:rPr>
                      <w:rFonts w:ascii="Times New Roman" w:hAnsi="Times New Roman" w:eastAsia="宋体"/>
                      <w:b/>
                      <w:bCs/>
                      <w:caps w:val="0"/>
                      <w:color w:val="auto"/>
                      <w:sz w:val="21"/>
                      <w:szCs w:val="21"/>
                      <w:highlight w:val="none"/>
                    </w:rPr>
                    <w:t>单位</w:t>
                  </w:r>
                </w:p>
              </w:tc>
              <w:tc>
                <w:tcPr>
                  <w:tcW w:w="852" w:type="pct"/>
                  <w:tcBorders>
                    <w:tl2br w:val="nil"/>
                    <w:tr2bl w:val="nil"/>
                  </w:tcBorders>
                  <w:vAlign w:val="center"/>
                </w:tcPr>
                <w:p w14:paraId="72342C6E">
                  <w:pPr>
                    <w:jc w:val="center"/>
                    <w:rPr>
                      <w:rFonts w:hint="default" w:ascii="Times New Roman" w:hAnsi="Times New Roman" w:eastAsia="宋体"/>
                      <w:b/>
                      <w:bCs/>
                      <w:caps w:val="0"/>
                      <w:color w:val="auto"/>
                      <w:sz w:val="21"/>
                      <w:szCs w:val="21"/>
                      <w:highlight w:val="none"/>
                      <w:lang w:val="en-US" w:eastAsia="zh-CN"/>
                    </w:rPr>
                  </w:pPr>
                  <w:r>
                    <w:rPr>
                      <w:rFonts w:hint="eastAsia"/>
                      <w:b/>
                      <w:bCs/>
                      <w:caps w:val="0"/>
                      <w:color w:val="auto"/>
                      <w:sz w:val="21"/>
                      <w:szCs w:val="21"/>
                      <w:highlight w:val="none"/>
                      <w:lang w:val="en-US" w:eastAsia="zh-CN"/>
                    </w:rPr>
                    <w:t>现有项目</w:t>
                  </w:r>
                  <w:r>
                    <w:rPr>
                      <w:rFonts w:ascii="Times New Roman" w:hAnsi="Times New Roman" w:eastAsia="宋体"/>
                      <w:b/>
                      <w:bCs/>
                      <w:caps w:val="0"/>
                      <w:color w:val="auto"/>
                      <w:sz w:val="21"/>
                      <w:szCs w:val="21"/>
                      <w:highlight w:val="none"/>
                    </w:rPr>
                    <w:t>生产规模</w:t>
                  </w:r>
                </w:p>
              </w:tc>
              <w:tc>
                <w:tcPr>
                  <w:tcW w:w="734" w:type="pct"/>
                  <w:tcBorders>
                    <w:tl2br w:val="nil"/>
                    <w:tr2bl w:val="nil"/>
                  </w:tcBorders>
                  <w:vAlign w:val="center"/>
                </w:tcPr>
                <w:p w14:paraId="1726B93B">
                  <w:pPr>
                    <w:jc w:val="center"/>
                    <w:rPr>
                      <w:rFonts w:ascii="Times New Roman" w:hAnsi="Times New Roman" w:eastAsia="宋体"/>
                      <w:b/>
                      <w:bCs/>
                      <w:caps w:val="0"/>
                      <w:color w:val="auto"/>
                      <w:sz w:val="21"/>
                      <w:szCs w:val="21"/>
                      <w:highlight w:val="none"/>
                    </w:rPr>
                  </w:pPr>
                  <w:r>
                    <w:rPr>
                      <w:rFonts w:ascii="Times New Roman" w:hAnsi="Times New Roman" w:eastAsia="宋体"/>
                      <w:b/>
                      <w:bCs/>
                      <w:caps w:val="0"/>
                      <w:color w:val="auto"/>
                      <w:sz w:val="21"/>
                      <w:szCs w:val="21"/>
                      <w:highlight w:val="none"/>
                    </w:rPr>
                    <w:t>本项目生产规模</w:t>
                  </w:r>
                </w:p>
              </w:tc>
              <w:tc>
                <w:tcPr>
                  <w:tcW w:w="990" w:type="pct"/>
                  <w:tcBorders>
                    <w:tl2br w:val="nil"/>
                    <w:tr2bl w:val="nil"/>
                  </w:tcBorders>
                  <w:vAlign w:val="center"/>
                </w:tcPr>
                <w:p w14:paraId="69171049">
                  <w:pPr>
                    <w:jc w:val="center"/>
                    <w:rPr>
                      <w:rFonts w:ascii="Times New Roman" w:hAnsi="Times New Roman" w:eastAsia="宋体"/>
                      <w:b/>
                      <w:bCs/>
                      <w:caps w:val="0"/>
                      <w:color w:val="auto"/>
                      <w:sz w:val="21"/>
                      <w:szCs w:val="21"/>
                      <w:highlight w:val="none"/>
                    </w:rPr>
                  </w:pPr>
                  <w:r>
                    <w:rPr>
                      <w:rFonts w:ascii="Times New Roman" w:hAnsi="Times New Roman" w:eastAsia="宋体"/>
                      <w:b/>
                      <w:bCs/>
                      <w:caps w:val="0"/>
                      <w:color w:val="auto"/>
                      <w:sz w:val="21"/>
                      <w:szCs w:val="21"/>
                      <w:highlight w:val="none"/>
                    </w:rPr>
                    <w:t>本项目实施后全厂生产规模</w:t>
                  </w:r>
                </w:p>
              </w:tc>
              <w:tc>
                <w:tcPr>
                  <w:tcW w:w="823" w:type="pct"/>
                  <w:tcBorders>
                    <w:tl2br w:val="nil"/>
                    <w:tr2bl w:val="nil"/>
                  </w:tcBorders>
                  <w:vAlign w:val="center"/>
                </w:tcPr>
                <w:p w14:paraId="7677166F">
                  <w:pPr>
                    <w:jc w:val="center"/>
                    <w:rPr>
                      <w:rFonts w:ascii="Times New Roman" w:hAnsi="Times New Roman" w:eastAsia="宋体"/>
                      <w:b/>
                      <w:bCs/>
                      <w:caps w:val="0"/>
                      <w:color w:val="auto"/>
                      <w:sz w:val="21"/>
                      <w:szCs w:val="21"/>
                      <w:highlight w:val="none"/>
                    </w:rPr>
                  </w:pPr>
                  <w:r>
                    <w:rPr>
                      <w:rFonts w:hint="eastAsia" w:ascii="Times New Roman" w:hAnsi="Times New Roman" w:eastAsia="宋体"/>
                      <w:b/>
                      <w:bCs/>
                      <w:caps w:val="0"/>
                      <w:color w:val="auto"/>
                      <w:sz w:val="21"/>
                      <w:szCs w:val="21"/>
                      <w:highlight w:val="none"/>
                    </w:rPr>
                    <w:t>建设前后变化量</w:t>
                  </w:r>
                </w:p>
              </w:tc>
            </w:tr>
            <w:tr w14:paraId="695DD2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966" w:type="pct"/>
                  <w:tcBorders>
                    <w:tl2br w:val="nil"/>
                    <w:tr2bl w:val="nil"/>
                  </w:tcBorders>
                  <w:vAlign w:val="center"/>
                </w:tcPr>
                <w:p w14:paraId="3144EEEB">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汽车线束</w:t>
                  </w:r>
                </w:p>
              </w:tc>
              <w:tc>
                <w:tcPr>
                  <w:tcW w:w="631" w:type="pct"/>
                  <w:tcBorders>
                    <w:tl2br w:val="nil"/>
                    <w:tr2bl w:val="nil"/>
                  </w:tcBorders>
                  <w:vAlign w:val="center"/>
                </w:tcPr>
                <w:p w14:paraId="4D8ED923">
                  <w:pPr>
                    <w:adjustRightInd w:val="0"/>
                    <w:snapToGrid w:val="0"/>
                    <w:jc w:val="center"/>
                    <w:rPr>
                      <w:rFonts w:ascii="Times New Roman" w:hAnsi="Times New Roman" w:eastAsia="宋体"/>
                      <w:caps w:val="0"/>
                      <w:color w:val="auto"/>
                      <w:sz w:val="21"/>
                      <w:szCs w:val="21"/>
                      <w:highlight w:val="none"/>
                    </w:rPr>
                  </w:pPr>
                  <w:r>
                    <w:rPr>
                      <w:color w:val="auto"/>
                      <w:szCs w:val="21"/>
                    </w:rPr>
                    <w:t>万套/a</w:t>
                  </w:r>
                </w:p>
              </w:tc>
              <w:tc>
                <w:tcPr>
                  <w:tcW w:w="852" w:type="pct"/>
                  <w:tcBorders>
                    <w:tl2br w:val="nil"/>
                    <w:tr2bl w:val="nil"/>
                  </w:tcBorders>
                  <w:vAlign w:val="center"/>
                </w:tcPr>
                <w:p w14:paraId="4CD9C439">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30</w:t>
                  </w:r>
                </w:p>
              </w:tc>
              <w:tc>
                <w:tcPr>
                  <w:tcW w:w="734" w:type="pct"/>
                  <w:tcBorders>
                    <w:tl2br w:val="nil"/>
                    <w:tr2bl w:val="nil"/>
                  </w:tcBorders>
                  <w:vAlign w:val="center"/>
                </w:tcPr>
                <w:p w14:paraId="1CAC14A1">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0</w:t>
                  </w:r>
                </w:p>
              </w:tc>
              <w:tc>
                <w:tcPr>
                  <w:tcW w:w="990" w:type="pct"/>
                  <w:tcBorders>
                    <w:tl2br w:val="nil"/>
                    <w:tr2bl w:val="nil"/>
                  </w:tcBorders>
                  <w:vAlign w:val="center"/>
                </w:tcPr>
                <w:p w14:paraId="1D8288B3">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30</w:t>
                  </w:r>
                </w:p>
              </w:tc>
              <w:tc>
                <w:tcPr>
                  <w:tcW w:w="823" w:type="pct"/>
                  <w:tcBorders>
                    <w:tl2br w:val="nil"/>
                    <w:tr2bl w:val="nil"/>
                  </w:tcBorders>
                  <w:vAlign w:val="center"/>
                </w:tcPr>
                <w:p w14:paraId="61FF8CCC">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0</w:t>
                  </w:r>
                </w:p>
              </w:tc>
            </w:tr>
            <w:tr w14:paraId="50D771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966" w:type="pct"/>
                  <w:tcBorders>
                    <w:tl2br w:val="nil"/>
                    <w:tr2bl w:val="nil"/>
                  </w:tcBorders>
                  <w:vAlign w:val="center"/>
                </w:tcPr>
                <w:p w14:paraId="386EAC20">
                  <w:pPr>
                    <w:jc w:val="center"/>
                    <w:rPr>
                      <w:rFonts w:hint="default"/>
                      <w:caps w:val="0"/>
                      <w:color w:val="auto"/>
                      <w:sz w:val="21"/>
                      <w:szCs w:val="21"/>
                      <w:highlight w:val="none"/>
                      <w:lang w:val="en-US" w:eastAsia="zh-CN"/>
                    </w:rPr>
                  </w:pPr>
                  <w:r>
                    <w:rPr>
                      <w:rFonts w:hint="eastAsia"/>
                      <w:caps w:val="0"/>
                      <w:color w:val="auto"/>
                      <w:sz w:val="21"/>
                      <w:szCs w:val="21"/>
                      <w:highlight w:val="none"/>
                      <w:lang w:val="en-US" w:eastAsia="zh-CN"/>
                    </w:rPr>
                    <w:t>汽车接插件</w:t>
                  </w:r>
                </w:p>
              </w:tc>
              <w:tc>
                <w:tcPr>
                  <w:tcW w:w="631" w:type="pct"/>
                  <w:tcBorders>
                    <w:tl2br w:val="nil"/>
                    <w:tr2bl w:val="nil"/>
                  </w:tcBorders>
                  <w:vAlign w:val="center"/>
                </w:tcPr>
                <w:p w14:paraId="15315CC2">
                  <w:pPr>
                    <w:adjustRightInd w:val="0"/>
                    <w:snapToGrid w:val="0"/>
                    <w:jc w:val="center"/>
                    <w:rPr>
                      <w:rFonts w:hint="default" w:ascii="Times New Roman" w:hAnsi="Times New Roman" w:eastAsia="宋体"/>
                      <w:caps w:val="0"/>
                      <w:color w:val="auto"/>
                      <w:sz w:val="21"/>
                      <w:szCs w:val="21"/>
                      <w:highlight w:val="none"/>
                      <w:lang w:val="en-US" w:eastAsia="zh-CN"/>
                    </w:rPr>
                  </w:pPr>
                  <w:r>
                    <w:rPr>
                      <w:rFonts w:hint="eastAsia"/>
                      <w:color w:val="auto"/>
                      <w:szCs w:val="21"/>
                    </w:rPr>
                    <w:t>亿只</w:t>
                  </w:r>
                  <w:r>
                    <w:rPr>
                      <w:color w:val="auto"/>
                      <w:szCs w:val="21"/>
                    </w:rPr>
                    <w:t>/a</w:t>
                  </w:r>
                </w:p>
              </w:tc>
              <w:tc>
                <w:tcPr>
                  <w:tcW w:w="852" w:type="pct"/>
                  <w:tcBorders>
                    <w:tl2br w:val="nil"/>
                    <w:tr2bl w:val="nil"/>
                  </w:tcBorders>
                  <w:vAlign w:val="center"/>
                </w:tcPr>
                <w:p w14:paraId="713E8610">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3</w:t>
                  </w:r>
                </w:p>
              </w:tc>
              <w:tc>
                <w:tcPr>
                  <w:tcW w:w="734" w:type="pct"/>
                  <w:tcBorders>
                    <w:tl2br w:val="nil"/>
                    <w:tr2bl w:val="nil"/>
                  </w:tcBorders>
                  <w:vAlign w:val="center"/>
                </w:tcPr>
                <w:p w14:paraId="7E4A9CD4">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0</w:t>
                  </w:r>
                </w:p>
              </w:tc>
              <w:tc>
                <w:tcPr>
                  <w:tcW w:w="990" w:type="pct"/>
                  <w:tcBorders>
                    <w:tl2br w:val="nil"/>
                    <w:tr2bl w:val="nil"/>
                  </w:tcBorders>
                  <w:vAlign w:val="center"/>
                </w:tcPr>
                <w:p w14:paraId="362C1920">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3</w:t>
                  </w:r>
                </w:p>
              </w:tc>
              <w:tc>
                <w:tcPr>
                  <w:tcW w:w="823" w:type="pct"/>
                  <w:tcBorders>
                    <w:tl2br w:val="nil"/>
                    <w:tr2bl w:val="nil"/>
                  </w:tcBorders>
                  <w:vAlign w:val="center"/>
                </w:tcPr>
                <w:p w14:paraId="7770F362">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0</w:t>
                  </w:r>
                </w:p>
              </w:tc>
            </w:tr>
            <w:tr w14:paraId="171740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966" w:type="pct"/>
                  <w:tcBorders>
                    <w:tl2br w:val="nil"/>
                    <w:tr2bl w:val="nil"/>
                  </w:tcBorders>
                  <w:vAlign w:val="center"/>
                </w:tcPr>
                <w:p w14:paraId="11B33CCA">
                  <w:pPr>
                    <w:jc w:val="center"/>
                    <w:rPr>
                      <w:rFonts w:hint="default"/>
                      <w:caps w:val="0"/>
                      <w:color w:val="auto"/>
                      <w:sz w:val="21"/>
                      <w:szCs w:val="21"/>
                      <w:highlight w:val="none"/>
                      <w:lang w:val="en-US" w:eastAsia="zh-CN"/>
                    </w:rPr>
                  </w:pPr>
                  <w:r>
                    <w:rPr>
                      <w:rFonts w:hint="eastAsia"/>
                      <w:caps w:val="0"/>
                      <w:color w:val="auto"/>
                      <w:sz w:val="21"/>
                      <w:szCs w:val="21"/>
                      <w:highlight w:val="none"/>
                      <w:lang w:val="en-US" w:eastAsia="zh-CN"/>
                    </w:rPr>
                    <w:t>车用继电器</w:t>
                  </w:r>
                </w:p>
              </w:tc>
              <w:tc>
                <w:tcPr>
                  <w:tcW w:w="631" w:type="pct"/>
                  <w:tcBorders>
                    <w:tl2br w:val="nil"/>
                    <w:tr2bl w:val="nil"/>
                  </w:tcBorders>
                  <w:vAlign w:val="center"/>
                </w:tcPr>
                <w:p w14:paraId="19B99DB2">
                  <w:pPr>
                    <w:adjustRightInd w:val="0"/>
                    <w:snapToGrid w:val="0"/>
                    <w:jc w:val="center"/>
                    <w:rPr>
                      <w:rFonts w:ascii="Times New Roman" w:hAnsi="Times New Roman" w:eastAsia="宋体"/>
                      <w:caps w:val="0"/>
                      <w:color w:val="auto"/>
                      <w:sz w:val="21"/>
                      <w:szCs w:val="21"/>
                      <w:highlight w:val="none"/>
                    </w:rPr>
                  </w:pPr>
                  <w:r>
                    <w:rPr>
                      <w:color w:val="auto"/>
                      <w:szCs w:val="21"/>
                    </w:rPr>
                    <w:t>万</w:t>
                  </w:r>
                  <w:r>
                    <w:rPr>
                      <w:rFonts w:hint="eastAsia"/>
                      <w:color w:val="auto"/>
                      <w:szCs w:val="21"/>
                    </w:rPr>
                    <w:t>只</w:t>
                  </w:r>
                  <w:r>
                    <w:rPr>
                      <w:color w:val="auto"/>
                      <w:szCs w:val="21"/>
                    </w:rPr>
                    <w:t>/a</w:t>
                  </w:r>
                </w:p>
              </w:tc>
              <w:tc>
                <w:tcPr>
                  <w:tcW w:w="852" w:type="pct"/>
                  <w:tcBorders>
                    <w:tl2br w:val="nil"/>
                    <w:tr2bl w:val="nil"/>
                  </w:tcBorders>
                  <w:vAlign w:val="center"/>
                </w:tcPr>
                <w:p w14:paraId="497BD4BF">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500</w:t>
                  </w:r>
                </w:p>
              </w:tc>
              <w:tc>
                <w:tcPr>
                  <w:tcW w:w="734" w:type="pct"/>
                  <w:tcBorders>
                    <w:tl2br w:val="nil"/>
                    <w:tr2bl w:val="nil"/>
                  </w:tcBorders>
                  <w:vAlign w:val="center"/>
                </w:tcPr>
                <w:p w14:paraId="0C643810">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0</w:t>
                  </w:r>
                </w:p>
              </w:tc>
              <w:tc>
                <w:tcPr>
                  <w:tcW w:w="990" w:type="pct"/>
                  <w:tcBorders>
                    <w:tl2br w:val="nil"/>
                    <w:tr2bl w:val="nil"/>
                  </w:tcBorders>
                  <w:vAlign w:val="center"/>
                </w:tcPr>
                <w:p w14:paraId="44CF5F49">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500</w:t>
                  </w:r>
                </w:p>
              </w:tc>
              <w:tc>
                <w:tcPr>
                  <w:tcW w:w="823" w:type="pct"/>
                  <w:tcBorders>
                    <w:tl2br w:val="nil"/>
                    <w:tr2bl w:val="nil"/>
                  </w:tcBorders>
                  <w:vAlign w:val="center"/>
                </w:tcPr>
                <w:p w14:paraId="3F7C55A4">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0</w:t>
                  </w:r>
                </w:p>
              </w:tc>
            </w:tr>
            <w:tr w14:paraId="51EDD0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966" w:type="pct"/>
                  <w:tcBorders>
                    <w:tl2br w:val="nil"/>
                    <w:tr2bl w:val="nil"/>
                  </w:tcBorders>
                  <w:vAlign w:val="center"/>
                </w:tcPr>
                <w:p w14:paraId="3CE8131F">
                  <w:pPr>
                    <w:jc w:val="center"/>
                    <w:rPr>
                      <w:rFonts w:hint="default"/>
                      <w:caps w:val="0"/>
                      <w:color w:val="auto"/>
                      <w:sz w:val="21"/>
                      <w:szCs w:val="21"/>
                      <w:highlight w:val="none"/>
                      <w:lang w:val="en-US" w:eastAsia="zh-CN"/>
                    </w:rPr>
                  </w:pPr>
                  <w:r>
                    <w:rPr>
                      <w:rFonts w:hint="eastAsia"/>
                      <w:caps w:val="0"/>
                      <w:color w:val="auto"/>
                      <w:sz w:val="21"/>
                      <w:szCs w:val="21"/>
                      <w:highlight w:val="none"/>
                      <w:lang w:val="en-US" w:eastAsia="zh-CN"/>
                    </w:rPr>
                    <w:t>高压线束</w:t>
                  </w:r>
                </w:p>
              </w:tc>
              <w:tc>
                <w:tcPr>
                  <w:tcW w:w="631" w:type="pct"/>
                  <w:tcBorders>
                    <w:tl2br w:val="nil"/>
                    <w:tr2bl w:val="nil"/>
                  </w:tcBorders>
                  <w:vAlign w:val="center"/>
                </w:tcPr>
                <w:p w14:paraId="338D512C">
                  <w:pPr>
                    <w:adjustRightInd w:val="0"/>
                    <w:snapToGrid w:val="0"/>
                    <w:jc w:val="center"/>
                    <w:rPr>
                      <w:rFonts w:ascii="Times New Roman" w:hAnsi="Times New Roman" w:eastAsia="宋体"/>
                      <w:caps w:val="0"/>
                      <w:color w:val="auto"/>
                      <w:sz w:val="21"/>
                      <w:szCs w:val="21"/>
                      <w:highlight w:val="none"/>
                    </w:rPr>
                  </w:pPr>
                  <w:r>
                    <w:rPr>
                      <w:color w:val="auto"/>
                      <w:szCs w:val="21"/>
                    </w:rPr>
                    <w:t>万套/a</w:t>
                  </w:r>
                </w:p>
              </w:tc>
              <w:tc>
                <w:tcPr>
                  <w:tcW w:w="852" w:type="pct"/>
                  <w:tcBorders>
                    <w:tl2br w:val="nil"/>
                    <w:tr2bl w:val="nil"/>
                  </w:tcBorders>
                  <w:vAlign w:val="center"/>
                </w:tcPr>
                <w:p w14:paraId="338A3935">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150</w:t>
                  </w:r>
                </w:p>
              </w:tc>
              <w:tc>
                <w:tcPr>
                  <w:tcW w:w="734" w:type="pct"/>
                  <w:tcBorders>
                    <w:tl2br w:val="nil"/>
                    <w:tr2bl w:val="nil"/>
                  </w:tcBorders>
                  <w:vAlign w:val="center"/>
                </w:tcPr>
                <w:p w14:paraId="1172FAC8">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20</w:t>
                  </w:r>
                </w:p>
              </w:tc>
              <w:tc>
                <w:tcPr>
                  <w:tcW w:w="990" w:type="pct"/>
                  <w:tcBorders>
                    <w:tl2br w:val="nil"/>
                    <w:tr2bl w:val="nil"/>
                  </w:tcBorders>
                  <w:vAlign w:val="center"/>
                </w:tcPr>
                <w:p w14:paraId="410C731B">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170</w:t>
                  </w:r>
                </w:p>
              </w:tc>
              <w:tc>
                <w:tcPr>
                  <w:tcW w:w="823" w:type="pct"/>
                  <w:tcBorders>
                    <w:tl2br w:val="nil"/>
                    <w:tr2bl w:val="nil"/>
                  </w:tcBorders>
                  <w:vAlign w:val="center"/>
                </w:tcPr>
                <w:p w14:paraId="017F6465">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+20</w:t>
                  </w:r>
                </w:p>
              </w:tc>
            </w:tr>
            <w:tr w14:paraId="0FAC3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66" w:type="pct"/>
                  <w:tcBorders>
                    <w:tl2br w:val="nil"/>
                    <w:tr2bl w:val="nil"/>
                  </w:tcBorders>
                  <w:vAlign w:val="center"/>
                </w:tcPr>
                <w:p w14:paraId="0F66988E">
                  <w:pPr>
                    <w:jc w:val="center"/>
                    <w:rPr>
                      <w:rFonts w:hint="default"/>
                      <w:caps w:val="0"/>
                      <w:color w:val="auto"/>
                      <w:sz w:val="21"/>
                      <w:szCs w:val="21"/>
                      <w:highlight w:val="none"/>
                      <w:lang w:val="en-US" w:eastAsia="zh-CN"/>
                    </w:rPr>
                  </w:pPr>
                  <w:r>
                    <w:rPr>
                      <w:rFonts w:hint="eastAsia"/>
                      <w:caps w:val="0"/>
                      <w:color w:val="auto"/>
                      <w:sz w:val="21"/>
                      <w:szCs w:val="21"/>
                      <w:highlight w:val="none"/>
                      <w:lang w:val="en-US" w:eastAsia="zh-CN"/>
                    </w:rPr>
                    <w:t>高压连接器</w:t>
                  </w:r>
                </w:p>
              </w:tc>
              <w:tc>
                <w:tcPr>
                  <w:tcW w:w="631" w:type="pct"/>
                  <w:tcBorders>
                    <w:tl2br w:val="nil"/>
                    <w:tr2bl w:val="nil"/>
                  </w:tcBorders>
                  <w:vAlign w:val="center"/>
                </w:tcPr>
                <w:p w14:paraId="35E7CCC1">
                  <w:pPr>
                    <w:adjustRightInd w:val="0"/>
                    <w:snapToGrid w:val="0"/>
                    <w:jc w:val="center"/>
                    <w:rPr>
                      <w:rFonts w:hint="default" w:ascii="Times New Roman" w:hAnsi="Times New Roman" w:eastAsia="宋体"/>
                      <w:caps w:val="0"/>
                      <w:color w:val="auto"/>
                      <w:sz w:val="21"/>
                      <w:szCs w:val="21"/>
                      <w:highlight w:val="none"/>
                      <w:lang w:val="en-US"/>
                    </w:rPr>
                  </w:pPr>
                  <w:r>
                    <w:rPr>
                      <w:color w:val="auto"/>
                      <w:szCs w:val="21"/>
                    </w:rPr>
                    <w:t>万套/a</w:t>
                  </w:r>
                </w:p>
              </w:tc>
              <w:tc>
                <w:tcPr>
                  <w:tcW w:w="852" w:type="pct"/>
                  <w:tcBorders>
                    <w:tl2br w:val="nil"/>
                    <w:tr2bl w:val="nil"/>
                  </w:tcBorders>
                  <w:vAlign w:val="center"/>
                </w:tcPr>
                <w:p w14:paraId="051A65EF">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220</w:t>
                  </w:r>
                </w:p>
              </w:tc>
              <w:tc>
                <w:tcPr>
                  <w:tcW w:w="734" w:type="pct"/>
                  <w:tcBorders>
                    <w:tl2br w:val="nil"/>
                    <w:tr2bl w:val="nil"/>
                  </w:tcBorders>
                  <w:vAlign w:val="center"/>
                </w:tcPr>
                <w:p w14:paraId="5B630C3A">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0</w:t>
                  </w:r>
                </w:p>
              </w:tc>
              <w:tc>
                <w:tcPr>
                  <w:tcW w:w="990" w:type="pct"/>
                  <w:tcBorders>
                    <w:tl2br w:val="nil"/>
                    <w:tr2bl w:val="nil"/>
                  </w:tcBorders>
                  <w:vAlign w:val="center"/>
                </w:tcPr>
                <w:p w14:paraId="2980AA12">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220</w:t>
                  </w:r>
                </w:p>
              </w:tc>
              <w:tc>
                <w:tcPr>
                  <w:tcW w:w="823" w:type="pct"/>
                  <w:tcBorders>
                    <w:tl2br w:val="nil"/>
                    <w:tr2bl w:val="nil"/>
                  </w:tcBorders>
                  <w:vAlign w:val="center"/>
                </w:tcPr>
                <w:p w14:paraId="38CDB2D8">
                  <w:pPr>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0</w:t>
                  </w:r>
                </w:p>
              </w:tc>
            </w:tr>
            <w:bookmarkEnd w:id="4"/>
          </w:tbl>
          <w:p w14:paraId="24BD2884">
            <w:pPr>
              <w:keepNext w:val="0"/>
              <w:keepLines w:val="0"/>
              <w:pageBreakBefore w:val="0"/>
              <w:widowControl/>
              <w:kinsoku/>
              <w:wordWrap/>
              <w:overflowPunct/>
              <w:topLinePunct w:val="0"/>
              <w:autoSpaceDE/>
              <w:autoSpaceDN/>
              <w:bidi w:val="0"/>
              <w:adjustRightInd/>
              <w:snapToGrid/>
              <w:spacing w:line="240" w:lineRule="auto"/>
              <w:ind w:left="0" w:firstLine="440" w:firstLineChars="200"/>
              <w:jc w:val="left"/>
              <w:textAlignment w:val="auto"/>
              <w:rPr>
                <w:rFonts w:hint="default" w:ascii="Times New Roman" w:hAnsi="Times New Roman" w:eastAsia="宋体"/>
                <w:b w:val="0"/>
                <w:bCs/>
                <w:caps w:val="0"/>
                <w:color w:val="auto"/>
                <w:kern w:val="0"/>
                <w:sz w:val="22"/>
                <w:szCs w:val="18"/>
                <w:highlight w:val="none"/>
                <w:lang w:val="en-US" w:eastAsia="zh-CN"/>
              </w:rPr>
            </w:pPr>
            <w:r>
              <w:rPr>
                <w:rFonts w:hint="eastAsia"/>
                <w:b w:val="0"/>
                <w:bCs/>
                <w:caps w:val="0"/>
                <w:color w:val="auto"/>
                <w:kern w:val="0"/>
                <w:sz w:val="22"/>
                <w:szCs w:val="18"/>
                <w:highlight w:val="none"/>
                <w:lang w:val="en-US" w:eastAsia="zh-CN"/>
              </w:rPr>
              <w:t>备注：本项目新增20万套高压连接器，为高压线束配套零配件，自用，不单独作为产品出售，因此未在产品方案中列出。</w:t>
            </w:r>
          </w:p>
          <w:p w14:paraId="5D01B953">
            <w:pPr>
              <w:keepNext w:val="0"/>
              <w:keepLines w:val="0"/>
              <w:pageBreakBefore w:val="0"/>
              <w:widowControl/>
              <w:kinsoku/>
              <w:wordWrap/>
              <w:overflowPunct/>
              <w:topLinePunct w:val="0"/>
              <w:autoSpaceDE/>
              <w:autoSpaceDN/>
              <w:bidi w:val="0"/>
              <w:adjustRightInd/>
              <w:spacing w:line="360" w:lineRule="auto"/>
              <w:ind w:left="0" w:firstLine="482" w:firstLineChars="200"/>
              <w:jc w:val="left"/>
              <w:textAlignment w:val="auto"/>
              <w:rPr>
                <w:rFonts w:ascii="Times New Roman" w:hAnsi="Times New Roman" w:eastAsia="宋体"/>
                <w:b/>
                <w:caps w:val="0"/>
                <w:color w:val="auto"/>
                <w:kern w:val="0"/>
                <w:sz w:val="24"/>
                <w:highlight w:val="none"/>
              </w:rPr>
            </w:pPr>
            <w:r>
              <w:rPr>
                <w:rFonts w:hint="eastAsia" w:ascii="Times New Roman" w:hAnsi="Times New Roman" w:eastAsia="宋体"/>
                <w:b/>
                <w:caps w:val="0"/>
                <w:color w:val="auto"/>
                <w:kern w:val="0"/>
                <w:sz w:val="24"/>
                <w:szCs w:val="20"/>
                <w:highlight w:val="none"/>
              </w:rPr>
              <w:t>3、</w:t>
            </w:r>
            <w:r>
              <w:rPr>
                <w:rFonts w:hint="eastAsia" w:ascii="Times New Roman" w:hAnsi="Times New Roman" w:eastAsia="宋体"/>
                <w:b/>
                <w:caps w:val="0"/>
                <w:color w:val="auto"/>
                <w:kern w:val="0"/>
                <w:sz w:val="24"/>
                <w:highlight w:val="none"/>
              </w:rPr>
              <w:t>项目建设内容</w:t>
            </w:r>
          </w:p>
          <w:p w14:paraId="45F33712">
            <w:pPr>
              <w:keepNext w:val="0"/>
              <w:keepLines w:val="0"/>
              <w:pageBreakBefore w:val="0"/>
              <w:kinsoku/>
              <w:wordWrap/>
              <w:overflowPunct/>
              <w:topLinePunct w:val="0"/>
              <w:autoSpaceDE/>
              <w:autoSpaceDN/>
              <w:bidi w:val="0"/>
              <w:adjustRightInd/>
              <w:spacing w:line="360" w:lineRule="auto"/>
              <w:ind w:left="0" w:firstLine="480" w:firstLineChars="200"/>
              <w:textAlignment w:val="auto"/>
              <w:rPr>
                <w:rFonts w:hint="eastAsia" w:ascii="Times New Roman" w:hAnsi="Times New Roman" w:eastAsia="宋体"/>
                <w:caps w:val="0"/>
                <w:color w:val="auto"/>
                <w:sz w:val="24"/>
                <w:szCs w:val="32"/>
                <w:highlight w:val="none"/>
              </w:rPr>
            </w:pPr>
            <w:r>
              <w:rPr>
                <w:rFonts w:hint="eastAsia" w:ascii="Times New Roman" w:hAnsi="Times New Roman" w:eastAsia="宋体"/>
                <w:caps w:val="0"/>
                <w:color w:val="auto"/>
                <w:sz w:val="24"/>
                <w:highlight w:val="none"/>
              </w:rPr>
              <w:t>本次</w:t>
            </w:r>
            <w:r>
              <w:rPr>
                <w:rFonts w:hint="eastAsia" w:ascii="Times New Roman" w:hAnsi="Times New Roman" w:eastAsia="宋体"/>
                <w:caps w:val="0"/>
                <w:color w:val="auto"/>
                <w:sz w:val="24"/>
                <w:highlight w:val="none"/>
                <w:lang w:eastAsia="zh-CN"/>
              </w:rPr>
              <w:t>扩建</w:t>
            </w:r>
            <w:r>
              <w:rPr>
                <w:rFonts w:ascii="Times New Roman" w:hAnsi="Times New Roman" w:eastAsia="宋体"/>
                <w:caps w:val="0"/>
                <w:color w:val="auto"/>
                <w:sz w:val="24"/>
                <w:highlight w:val="none"/>
              </w:rPr>
              <w:t>项目</w:t>
            </w:r>
            <w:r>
              <w:rPr>
                <w:rFonts w:hint="eastAsia"/>
                <w:caps w:val="0"/>
                <w:color w:val="auto"/>
                <w:sz w:val="24"/>
                <w:highlight w:val="none"/>
                <w:lang w:val="en-US" w:eastAsia="zh-CN"/>
              </w:rPr>
              <w:t>建筑</w:t>
            </w:r>
            <w:r>
              <w:rPr>
                <w:rFonts w:ascii="Times New Roman" w:hAnsi="Times New Roman" w:eastAsia="宋体"/>
                <w:caps w:val="0"/>
                <w:color w:val="auto"/>
                <w:sz w:val="24"/>
                <w:highlight w:val="none"/>
              </w:rPr>
              <w:t>面积为</w:t>
            </w:r>
            <w:r>
              <w:rPr>
                <w:rFonts w:hint="eastAsia"/>
                <w:caps w:val="0"/>
                <w:color w:val="auto"/>
                <w:sz w:val="24"/>
                <w:highlight w:val="none"/>
                <w:lang w:val="en-US" w:eastAsia="zh-CN"/>
              </w:rPr>
              <w:t>14257.73</w:t>
            </w:r>
            <w:r>
              <w:rPr>
                <w:rFonts w:hint="eastAsia" w:ascii="Times New Roman" w:hAnsi="Times New Roman" w:eastAsia="宋体"/>
                <w:caps w:val="0"/>
                <w:color w:val="auto"/>
                <w:sz w:val="24"/>
                <w:highlight w:val="none"/>
                <w:lang w:eastAsia="zh-CN"/>
              </w:rPr>
              <w:t>m</w:t>
            </w:r>
            <w:r>
              <w:rPr>
                <w:rFonts w:hint="eastAsia" w:ascii="Times New Roman" w:hAnsi="Times New Roman" w:eastAsia="宋体"/>
                <w:caps w:val="0"/>
                <w:color w:val="auto"/>
                <w:sz w:val="24"/>
                <w:highlight w:val="none"/>
                <w:vertAlign w:val="superscript"/>
                <w:lang w:eastAsia="zh-CN"/>
              </w:rPr>
              <w:t>2</w:t>
            </w:r>
            <w:r>
              <w:rPr>
                <w:rFonts w:ascii="Times New Roman" w:hAnsi="Times New Roman" w:eastAsia="宋体"/>
                <w:caps w:val="0"/>
                <w:color w:val="auto"/>
                <w:sz w:val="24"/>
                <w:highlight w:val="none"/>
              </w:rPr>
              <w:t>，项目建成后年产</w:t>
            </w:r>
            <w:r>
              <w:rPr>
                <w:rFonts w:hint="eastAsia"/>
                <w:caps w:val="0"/>
                <w:color w:val="auto"/>
                <w:sz w:val="24"/>
                <w:highlight w:val="none"/>
                <w:lang w:val="en-US" w:eastAsia="zh-CN"/>
              </w:rPr>
              <w:t>高压线束2</w:t>
            </w:r>
            <w:r>
              <w:rPr>
                <w:rFonts w:ascii="Times New Roman" w:hAnsi="Times New Roman" w:eastAsia="宋体"/>
                <w:caps w:val="0"/>
                <w:color w:val="auto"/>
                <w:sz w:val="24"/>
                <w:highlight w:val="none"/>
              </w:rPr>
              <w:t>0</w:t>
            </w:r>
            <w:r>
              <w:rPr>
                <w:rFonts w:hint="eastAsia" w:ascii="Times New Roman" w:hAnsi="Times New Roman" w:eastAsia="宋体"/>
                <w:caps w:val="0"/>
                <w:color w:val="auto"/>
                <w:sz w:val="24"/>
                <w:highlight w:val="none"/>
              </w:rPr>
              <w:t>万</w:t>
            </w:r>
            <w:r>
              <w:rPr>
                <w:rFonts w:hint="eastAsia" w:ascii="Times New Roman" w:hAnsi="Times New Roman" w:eastAsia="宋体"/>
                <w:caps w:val="0"/>
                <w:color w:val="auto"/>
                <w:sz w:val="24"/>
                <w:highlight w:val="none"/>
                <w:lang w:val="en-US" w:eastAsia="zh-CN"/>
              </w:rPr>
              <w:t>套</w:t>
            </w:r>
            <w:r>
              <w:rPr>
                <w:rFonts w:hint="eastAsia" w:ascii="Times New Roman" w:hAnsi="Times New Roman" w:eastAsia="宋体" w:cs="宋体"/>
                <w:caps w:val="0"/>
                <w:color w:val="auto"/>
                <w:sz w:val="24"/>
                <w:highlight w:val="none"/>
              </w:rPr>
              <w:t>。</w:t>
            </w:r>
            <w:r>
              <w:rPr>
                <w:rFonts w:hint="eastAsia" w:ascii="Times New Roman" w:hAnsi="Times New Roman" w:eastAsia="宋体"/>
                <w:caps w:val="0"/>
                <w:color w:val="auto"/>
                <w:sz w:val="24"/>
                <w:szCs w:val="32"/>
                <w:highlight w:val="none"/>
              </w:rPr>
              <w:t>其建设项目组成详见表2</w:t>
            </w:r>
            <w:r>
              <w:rPr>
                <w:rFonts w:hint="eastAsia" w:ascii="Times New Roman" w:hAnsi="Times New Roman" w:eastAsia="宋体"/>
                <w:caps w:val="0"/>
                <w:color w:val="auto"/>
                <w:sz w:val="24"/>
                <w:szCs w:val="32"/>
                <w:highlight w:val="none"/>
                <w:lang w:val="en-US" w:eastAsia="zh-CN"/>
              </w:rPr>
              <w:t>-4</w:t>
            </w:r>
            <w:r>
              <w:rPr>
                <w:rFonts w:hint="eastAsia" w:ascii="Times New Roman" w:hAnsi="Times New Roman" w:eastAsia="宋体"/>
                <w:caps w:val="0"/>
                <w:color w:val="auto"/>
                <w:sz w:val="24"/>
                <w:szCs w:val="32"/>
                <w:highlight w:val="none"/>
              </w:rPr>
              <w:t>所示。</w:t>
            </w:r>
          </w:p>
          <w:p w14:paraId="63E409AD">
            <w:pPr>
              <w:pStyle w:val="56"/>
              <w:keepNext w:val="0"/>
              <w:keepLines w:val="0"/>
              <w:pageBreakBefore w:val="0"/>
              <w:kinsoku/>
              <w:wordWrap/>
              <w:overflowPunct/>
              <w:topLinePunct w:val="0"/>
              <w:autoSpaceDE/>
              <w:autoSpaceDN/>
              <w:bidi w:val="0"/>
              <w:adjustRightInd/>
              <w:spacing w:beforeLines="0" w:afterLines="0" w:line="360" w:lineRule="auto"/>
              <w:ind w:left="0" w:hanging="643" w:hangingChars="267"/>
              <w:textAlignment w:val="auto"/>
              <w:rPr>
                <w:rFonts w:ascii="Times New Roman" w:hAnsi="Times New Roman" w:eastAsia="宋体"/>
                <w:caps w:val="0"/>
                <w:color w:val="auto"/>
                <w:highlight w:val="none"/>
              </w:rPr>
            </w:pPr>
            <w:r>
              <w:rPr>
                <w:rFonts w:hint="eastAsia" w:ascii="Times New Roman" w:hAnsi="Times New Roman" w:eastAsia="宋体"/>
                <w:caps w:val="0"/>
                <w:color w:val="auto"/>
                <w:highlight w:val="none"/>
              </w:rPr>
              <w:t>表2-</w:t>
            </w:r>
            <w:r>
              <w:rPr>
                <w:rFonts w:hint="eastAsia" w:ascii="Times New Roman" w:hAnsi="Times New Roman" w:eastAsia="宋体"/>
                <w:caps w:val="0"/>
                <w:color w:val="auto"/>
                <w:highlight w:val="none"/>
                <w:lang w:val="en-US" w:eastAsia="zh-CN"/>
              </w:rPr>
              <w:t>4</w:t>
            </w:r>
            <w:r>
              <w:rPr>
                <w:rFonts w:ascii="Times New Roman" w:hAnsi="Times New Roman" w:eastAsia="宋体"/>
                <w:caps w:val="0"/>
                <w:color w:val="auto"/>
                <w:highlight w:val="none"/>
              </w:rPr>
              <w:t xml:space="preserve">  </w:t>
            </w:r>
            <w:r>
              <w:rPr>
                <w:rFonts w:hint="eastAsia" w:ascii="Times New Roman" w:hAnsi="Times New Roman" w:eastAsia="宋体"/>
                <w:caps w:val="0"/>
                <w:color w:val="auto"/>
                <w:highlight w:val="none"/>
              </w:rPr>
              <w:t>建设项目组成一览表</w:t>
            </w:r>
          </w:p>
          <w:tbl>
            <w:tblPr>
              <w:tblStyle w:val="21"/>
              <w:tblW w:w="7986"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69"/>
              <w:gridCol w:w="2"/>
              <w:gridCol w:w="672"/>
              <w:gridCol w:w="3"/>
              <w:gridCol w:w="984"/>
              <w:gridCol w:w="1201"/>
              <w:gridCol w:w="5"/>
              <w:gridCol w:w="1627"/>
              <w:gridCol w:w="6"/>
              <w:gridCol w:w="2155"/>
              <w:gridCol w:w="824"/>
              <w:gridCol w:w="38"/>
            </w:tblGrid>
            <w:tr w14:paraId="118EF6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tcBorders>
                    <w:tl2br w:val="nil"/>
                    <w:tr2bl w:val="nil"/>
                  </w:tcBorders>
                  <w:vAlign w:val="center"/>
                </w:tcPr>
                <w:p w14:paraId="68FADEF9">
                  <w:pPr>
                    <w:spacing w:line="340" w:lineRule="exact"/>
                    <w:jc w:val="center"/>
                    <w:rPr>
                      <w:rFonts w:ascii="Times New Roman" w:hAnsi="Times New Roman" w:eastAsia="宋体"/>
                      <w:b/>
                      <w:caps w:val="0"/>
                      <w:color w:val="auto"/>
                      <w:kern w:val="21"/>
                      <w:sz w:val="21"/>
                      <w:szCs w:val="21"/>
                      <w:highlight w:val="none"/>
                    </w:rPr>
                  </w:pPr>
                  <w:r>
                    <w:rPr>
                      <w:rFonts w:ascii="Times New Roman" w:hAnsi="Times New Roman" w:eastAsia="宋体"/>
                      <w:b/>
                      <w:caps w:val="0"/>
                      <w:color w:val="auto"/>
                      <w:kern w:val="21"/>
                      <w:sz w:val="21"/>
                      <w:szCs w:val="21"/>
                      <w:highlight w:val="none"/>
                    </w:rPr>
                    <w:t>项目</w:t>
                  </w:r>
                </w:p>
              </w:tc>
              <w:tc>
                <w:tcPr>
                  <w:tcW w:w="422" w:type="pct"/>
                  <w:gridSpan w:val="2"/>
                  <w:tcBorders>
                    <w:tl2br w:val="nil"/>
                    <w:tr2bl w:val="nil"/>
                  </w:tcBorders>
                  <w:vAlign w:val="center"/>
                </w:tcPr>
                <w:p w14:paraId="2E12CF63">
                  <w:pPr>
                    <w:spacing w:line="340" w:lineRule="exact"/>
                    <w:jc w:val="center"/>
                    <w:rPr>
                      <w:rFonts w:ascii="Times New Roman" w:hAnsi="Times New Roman" w:eastAsia="宋体"/>
                      <w:b/>
                      <w:caps w:val="0"/>
                      <w:color w:val="auto"/>
                      <w:kern w:val="21"/>
                      <w:sz w:val="21"/>
                      <w:szCs w:val="21"/>
                      <w:highlight w:val="none"/>
                    </w:rPr>
                  </w:pPr>
                  <w:r>
                    <w:rPr>
                      <w:rFonts w:ascii="Times New Roman" w:hAnsi="Times New Roman" w:eastAsia="宋体"/>
                      <w:b/>
                      <w:caps w:val="0"/>
                      <w:color w:val="auto"/>
                      <w:kern w:val="21"/>
                      <w:sz w:val="21"/>
                      <w:szCs w:val="21"/>
                      <w:highlight w:val="none"/>
                    </w:rPr>
                    <w:t>工程名称</w:t>
                  </w:r>
                </w:p>
              </w:tc>
              <w:tc>
                <w:tcPr>
                  <w:tcW w:w="1371" w:type="pct"/>
                  <w:gridSpan w:val="3"/>
                  <w:tcBorders>
                    <w:tl2br w:val="nil"/>
                    <w:tr2bl w:val="nil"/>
                  </w:tcBorders>
                  <w:vAlign w:val="center"/>
                </w:tcPr>
                <w:p w14:paraId="5E41F914">
                  <w:pPr>
                    <w:spacing w:line="340" w:lineRule="exact"/>
                    <w:jc w:val="center"/>
                    <w:rPr>
                      <w:rFonts w:ascii="Times New Roman" w:hAnsi="Times New Roman" w:eastAsia="宋体"/>
                      <w:b/>
                      <w:caps w:val="0"/>
                      <w:color w:val="auto"/>
                      <w:kern w:val="21"/>
                      <w:sz w:val="21"/>
                      <w:szCs w:val="21"/>
                      <w:highlight w:val="none"/>
                    </w:rPr>
                  </w:pPr>
                  <w:r>
                    <w:rPr>
                      <w:rFonts w:hint="eastAsia" w:ascii="Times New Roman" w:hAnsi="Times New Roman" w:eastAsia="宋体"/>
                      <w:b/>
                      <w:caps w:val="0"/>
                      <w:color w:val="auto"/>
                      <w:kern w:val="21"/>
                      <w:sz w:val="21"/>
                      <w:szCs w:val="21"/>
                      <w:highlight w:val="none"/>
                    </w:rPr>
                    <w:t>现有项目</w:t>
                  </w:r>
                </w:p>
              </w:tc>
              <w:tc>
                <w:tcPr>
                  <w:tcW w:w="1022" w:type="pct"/>
                  <w:gridSpan w:val="2"/>
                  <w:tcBorders>
                    <w:tl2br w:val="nil"/>
                    <w:tr2bl w:val="nil"/>
                  </w:tcBorders>
                  <w:vAlign w:val="center"/>
                </w:tcPr>
                <w:p w14:paraId="242BDF92">
                  <w:pPr>
                    <w:spacing w:line="340" w:lineRule="exact"/>
                    <w:jc w:val="center"/>
                    <w:rPr>
                      <w:rFonts w:ascii="Times New Roman" w:hAnsi="Times New Roman" w:eastAsia="宋体"/>
                      <w:b/>
                      <w:caps w:val="0"/>
                      <w:color w:val="auto"/>
                      <w:kern w:val="21"/>
                      <w:sz w:val="21"/>
                      <w:szCs w:val="21"/>
                      <w:highlight w:val="none"/>
                    </w:rPr>
                  </w:pPr>
                  <w:r>
                    <w:rPr>
                      <w:rFonts w:hint="eastAsia" w:ascii="Times New Roman" w:hAnsi="Times New Roman" w:eastAsia="宋体"/>
                      <w:b/>
                      <w:caps w:val="0"/>
                      <w:color w:val="auto"/>
                      <w:kern w:val="21"/>
                      <w:sz w:val="21"/>
                      <w:szCs w:val="21"/>
                      <w:highlight w:val="none"/>
                    </w:rPr>
                    <w:t>本次</w:t>
                  </w:r>
                  <w:r>
                    <w:rPr>
                      <w:rFonts w:hint="eastAsia" w:ascii="Times New Roman" w:hAnsi="Times New Roman" w:eastAsia="宋体"/>
                      <w:b/>
                      <w:caps w:val="0"/>
                      <w:color w:val="auto"/>
                      <w:kern w:val="21"/>
                      <w:sz w:val="21"/>
                      <w:szCs w:val="21"/>
                      <w:highlight w:val="none"/>
                      <w:lang w:eastAsia="zh-CN"/>
                    </w:rPr>
                    <w:t>扩建</w:t>
                  </w:r>
                  <w:r>
                    <w:rPr>
                      <w:rFonts w:hint="eastAsia" w:ascii="Times New Roman" w:hAnsi="Times New Roman" w:eastAsia="宋体"/>
                      <w:b/>
                      <w:caps w:val="0"/>
                      <w:color w:val="auto"/>
                      <w:kern w:val="21"/>
                      <w:sz w:val="21"/>
                      <w:szCs w:val="21"/>
                      <w:highlight w:val="none"/>
                    </w:rPr>
                    <w:t>内容</w:t>
                  </w:r>
                </w:p>
              </w:tc>
              <w:tc>
                <w:tcPr>
                  <w:tcW w:w="1349" w:type="pct"/>
                  <w:tcBorders>
                    <w:tl2br w:val="nil"/>
                    <w:tr2bl w:val="nil"/>
                  </w:tcBorders>
                  <w:vAlign w:val="center"/>
                </w:tcPr>
                <w:p w14:paraId="3FB11B9E">
                  <w:pPr>
                    <w:spacing w:line="340" w:lineRule="exact"/>
                    <w:jc w:val="center"/>
                    <w:rPr>
                      <w:rFonts w:ascii="Times New Roman" w:hAnsi="Times New Roman" w:eastAsia="宋体"/>
                      <w:b/>
                      <w:caps w:val="0"/>
                      <w:color w:val="auto"/>
                      <w:kern w:val="21"/>
                      <w:sz w:val="21"/>
                      <w:szCs w:val="21"/>
                      <w:highlight w:val="none"/>
                    </w:rPr>
                  </w:pPr>
                  <w:r>
                    <w:rPr>
                      <w:rFonts w:hint="eastAsia" w:ascii="Times New Roman" w:hAnsi="Times New Roman" w:eastAsia="宋体"/>
                      <w:b/>
                      <w:caps w:val="0"/>
                      <w:color w:val="auto"/>
                      <w:kern w:val="21"/>
                      <w:sz w:val="21"/>
                      <w:szCs w:val="21"/>
                      <w:highlight w:val="none"/>
                    </w:rPr>
                    <w:t>本次</w:t>
                  </w:r>
                  <w:r>
                    <w:rPr>
                      <w:rFonts w:hint="eastAsia" w:ascii="Times New Roman" w:hAnsi="Times New Roman" w:eastAsia="宋体"/>
                      <w:b/>
                      <w:caps w:val="0"/>
                      <w:color w:val="auto"/>
                      <w:kern w:val="21"/>
                      <w:sz w:val="21"/>
                      <w:szCs w:val="21"/>
                      <w:highlight w:val="none"/>
                      <w:lang w:eastAsia="zh-CN"/>
                    </w:rPr>
                    <w:t>扩建</w:t>
                  </w:r>
                  <w:r>
                    <w:rPr>
                      <w:rFonts w:hint="eastAsia" w:ascii="Times New Roman" w:hAnsi="Times New Roman" w:eastAsia="宋体"/>
                      <w:b/>
                      <w:caps w:val="0"/>
                      <w:color w:val="auto"/>
                      <w:kern w:val="21"/>
                      <w:sz w:val="21"/>
                      <w:szCs w:val="21"/>
                      <w:highlight w:val="none"/>
                    </w:rPr>
                    <w:t>后全厂</w:t>
                  </w:r>
                </w:p>
              </w:tc>
              <w:tc>
                <w:tcPr>
                  <w:tcW w:w="539" w:type="pct"/>
                  <w:gridSpan w:val="2"/>
                  <w:tcBorders>
                    <w:tl2br w:val="nil"/>
                    <w:tr2bl w:val="nil"/>
                  </w:tcBorders>
                  <w:vAlign w:val="center"/>
                </w:tcPr>
                <w:p w14:paraId="50688B30">
                  <w:pPr>
                    <w:spacing w:line="340" w:lineRule="exact"/>
                    <w:jc w:val="center"/>
                    <w:rPr>
                      <w:rFonts w:ascii="Times New Roman" w:hAnsi="Times New Roman" w:eastAsia="宋体"/>
                      <w:b/>
                      <w:caps w:val="0"/>
                      <w:color w:val="auto"/>
                      <w:kern w:val="21"/>
                      <w:sz w:val="21"/>
                      <w:szCs w:val="21"/>
                      <w:highlight w:val="none"/>
                    </w:rPr>
                  </w:pPr>
                  <w:r>
                    <w:rPr>
                      <w:rFonts w:hint="eastAsia" w:ascii="Times New Roman" w:hAnsi="Times New Roman" w:eastAsia="宋体"/>
                      <w:b/>
                      <w:caps w:val="0"/>
                      <w:color w:val="auto"/>
                      <w:kern w:val="21"/>
                      <w:sz w:val="21"/>
                      <w:szCs w:val="21"/>
                      <w:highlight w:val="none"/>
                    </w:rPr>
                    <w:t>备注</w:t>
                  </w:r>
                </w:p>
              </w:tc>
            </w:tr>
            <w:tr w14:paraId="2919B5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850" w:hRule="atLeast"/>
                <w:jc w:val="center"/>
              </w:trPr>
              <w:tc>
                <w:tcPr>
                  <w:tcW w:w="294" w:type="pct"/>
                  <w:gridSpan w:val="2"/>
                  <w:vMerge w:val="restart"/>
                  <w:tcBorders>
                    <w:tl2br w:val="nil"/>
                    <w:tr2bl w:val="nil"/>
                  </w:tcBorders>
                  <w:vAlign w:val="center"/>
                </w:tcPr>
                <w:p w14:paraId="03D98E1C">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主体工程</w:t>
                  </w:r>
                </w:p>
              </w:tc>
              <w:tc>
                <w:tcPr>
                  <w:tcW w:w="422" w:type="pct"/>
                  <w:gridSpan w:val="2"/>
                  <w:tcBorders>
                    <w:tl2br w:val="nil"/>
                    <w:tr2bl w:val="nil"/>
                  </w:tcBorders>
                  <w:vAlign w:val="center"/>
                </w:tcPr>
                <w:p w14:paraId="06A74C7D">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1#厂房</w:t>
                  </w:r>
                </w:p>
              </w:tc>
              <w:tc>
                <w:tcPr>
                  <w:tcW w:w="1371" w:type="pct"/>
                  <w:gridSpan w:val="3"/>
                  <w:tcBorders>
                    <w:tl2br w:val="nil"/>
                    <w:tr2bl w:val="nil"/>
                  </w:tcBorders>
                  <w:vAlign w:val="center"/>
                </w:tcPr>
                <w:p w14:paraId="400329E3">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1F，位于厂区中部，</w:t>
                  </w:r>
                  <w:r>
                    <w:rPr>
                      <w:rFonts w:hint="eastAsia"/>
                      <w:caps w:val="0"/>
                      <w:color w:val="auto"/>
                      <w:kern w:val="21"/>
                      <w:sz w:val="21"/>
                      <w:szCs w:val="21"/>
                      <w:highlight w:val="none"/>
                      <w:lang w:val="en-US" w:eastAsia="zh-CN"/>
                    </w:rPr>
                    <w:t>建筑</w:t>
                  </w:r>
                  <w:r>
                    <w:rPr>
                      <w:rFonts w:hint="eastAsia" w:ascii="Times New Roman" w:hAnsi="Times New Roman" w:eastAsia="宋体"/>
                      <w:caps w:val="0"/>
                      <w:color w:val="auto"/>
                      <w:kern w:val="21"/>
                      <w:sz w:val="21"/>
                      <w:szCs w:val="21"/>
                      <w:highlight w:val="none"/>
                    </w:rPr>
                    <w:t>面积13980.0m</w:t>
                  </w:r>
                  <w:r>
                    <w:rPr>
                      <w:rFonts w:hint="eastAsia" w:ascii="Times New Roman" w:hAnsi="Times New Roman" w:eastAsia="宋体"/>
                      <w:caps w:val="0"/>
                      <w:color w:val="auto"/>
                      <w:kern w:val="21"/>
                      <w:sz w:val="21"/>
                      <w:szCs w:val="21"/>
                      <w:highlight w:val="none"/>
                      <w:vertAlign w:val="superscript"/>
                    </w:rPr>
                    <w:t>2</w:t>
                  </w:r>
                  <w:r>
                    <w:rPr>
                      <w:rFonts w:hint="eastAsia" w:ascii="Times New Roman" w:hAnsi="Times New Roman" w:eastAsia="宋体"/>
                      <w:caps w:val="0"/>
                      <w:color w:val="auto"/>
                      <w:kern w:val="21"/>
                      <w:sz w:val="21"/>
                      <w:szCs w:val="21"/>
                      <w:highlight w:val="none"/>
                    </w:rPr>
                    <w:t>，为注塑车间和注塑模具生产车间；布置注塑机等生产设备</w:t>
                  </w:r>
                </w:p>
              </w:tc>
              <w:tc>
                <w:tcPr>
                  <w:tcW w:w="1022" w:type="pct"/>
                  <w:gridSpan w:val="2"/>
                  <w:tcBorders>
                    <w:tl2br w:val="nil"/>
                    <w:tr2bl w:val="nil"/>
                  </w:tcBorders>
                  <w:vAlign w:val="center"/>
                </w:tcPr>
                <w:p w14:paraId="3D12A242">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w:t>
                  </w:r>
                </w:p>
              </w:tc>
              <w:tc>
                <w:tcPr>
                  <w:tcW w:w="1349" w:type="pct"/>
                  <w:tcBorders>
                    <w:tl2br w:val="nil"/>
                    <w:tr2bl w:val="nil"/>
                  </w:tcBorders>
                  <w:vAlign w:val="center"/>
                </w:tcPr>
                <w:p w14:paraId="21E2522C">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1F，位于厂区中部，</w:t>
                  </w:r>
                  <w:r>
                    <w:rPr>
                      <w:rFonts w:hint="eastAsia"/>
                      <w:caps w:val="0"/>
                      <w:color w:val="auto"/>
                      <w:kern w:val="21"/>
                      <w:sz w:val="21"/>
                      <w:szCs w:val="21"/>
                      <w:highlight w:val="none"/>
                      <w:lang w:val="en-US" w:eastAsia="zh-CN"/>
                    </w:rPr>
                    <w:t>建筑</w:t>
                  </w:r>
                  <w:r>
                    <w:rPr>
                      <w:rFonts w:hint="eastAsia" w:ascii="Times New Roman" w:hAnsi="Times New Roman" w:eastAsia="宋体"/>
                      <w:caps w:val="0"/>
                      <w:color w:val="auto"/>
                      <w:kern w:val="21"/>
                      <w:sz w:val="21"/>
                      <w:szCs w:val="21"/>
                      <w:highlight w:val="none"/>
                    </w:rPr>
                    <w:t>面积13980.0m</w:t>
                  </w:r>
                  <w:r>
                    <w:rPr>
                      <w:rFonts w:hint="eastAsia" w:ascii="Times New Roman" w:hAnsi="Times New Roman" w:eastAsia="宋体"/>
                      <w:caps w:val="0"/>
                      <w:color w:val="auto"/>
                      <w:kern w:val="21"/>
                      <w:sz w:val="21"/>
                      <w:szCs w:val="21"/>
                      <w:highlight w:val="none"/>
                      <w:vertAlign w:val="superscript"/>
                    </w:rPr>
                    <w:t>2</w:t>
                  </w:r>
                  <w:r>
                    <w:rPr>
                      <w:rFonts w:hint="eastAsia" w:ascii="Times New Roman" w:hAnsi="Times New Roman" w:eastAsia="宋体"/>
                      <w:caps w:val="0"/>
                      <w:color w:val="auto"/>
                      <w:kern w:val="21"/>
                      <w:sz w:val="21"/>
                      <w:szCs w:val="21"/>
                      <w:highlight w:val="none"/>
                    </w:rPr>
                    <w:t>，为注塑车间和注塑模具生产车间；布置注塑机等生产设备</w:t>
                  </w:r>
                </w:p>
              </w:tc>
              <w:tc>
                <w:tcPr>
                  <w:tcW w:w="539" w:type="pct"/>
                  <w:gridSpan w:val="2"/>
                  <w:tcBorders>
                    <w:tl2br w:val="nil"/>
                    <w:tr2bl w:val="nil"/>
                  </w:tcBorders>
                  <w:vAlign w:val="center"/>
                </w:tcPr>
                <w:p w14:paraId="5A3E14F4">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不变</w:t>
                  </w:r>
                </w:p>
              </w:tc>
            </w:tr>
            <w:tr w14:paraId="62697BA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310FD397">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43DE3D20">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2#厂房</w:t>
                  </w:r>
                </w:p>
              </w:tc>
              <w:tc>
                <w:tcPr>
                  <w:tcW w:w="1371" w:type="pct"/>
                  <w:gridSpan w:val="3"/>
                  <w:tcBorders>
                    <w:tl2br w:val="nil"/>
                    <w:tr2bl w:val="nil"/>
                  </w:tcBorders>
                  <w:vAlign w:val="center"/>
                </w:tcPr>
                <w:p w14:paraId="481351F3">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位于1#厂房北侧，建筑面积2562.6m</w:t>
                  </w:r>
                  <w:r>
                    <w:rPr>
                      <w:rFonts w:hint="eastAsia" w:ascii="Times New Roman" w:hAnsi="Times New Roman" w:eastAsia="宋体"/>
                      <w:caps w:val="0"/>
                      <w:color w:val="auto"/>
                      <w:kern w:val="21"/>
                      <w:sz w:val="21"/>
                      <w:szCs w:val="21"/>
                      <w:highlight w:val="none"/>
                      <w:vertAlign w:val="superscript"/>
                    </w:rPr>
                    <w:t>2</w:t>
                  </w:r>
                  <w:r>
                    <w:rPr>
                      <w:rFonts w:hint="eastAsia" w:ascii="Times New Roman" w:hAnsi="Times New Roman" w:eastAsia="宋体"/>
                      <w:caps w:val="0"/>
                      <w:color w:val="auto"/>
                      <w:kern w:val="21"/>
                      <w:sz w:val="21"/>
                      <w:szCs w:val="21"/>
                      <w:highlight w:val="none"/>
                    </w:rPr>
                    <w:t>，主要布置冲床等生产设备。</w:t>
                  </w:r>
                </w:p>
              </w:tc>
              <w:tc>
                <w:tcPr>
                  <w:tcW w:w="1022" w:type="pct"/>
                  <w:gridSpan w:val="2"/>
                  <w:tcBorders>
                    <w:tl2br w:val="nil"/>
                    <w:tr2bl w:val="nil"/>
                  </w:tcBorders>
                  <w:vAlign w:val="center"/>
                </w:tcPr>
                <w:p w14:paraId="5711CC5A">
                  <w:pPr>
                    <w:spacing w:line="340" w:lineRule="exact"/>
                    <w:jc w:val="center"/>
                    <w:rPr>
                      <w:rFonts w:hint="default" w:ascii="Times New Roman" w:hAnsi="Times New Roman" w:eastAsia="宋体"/>
                      <w:caps w:val="0"/>
                      <w:color w:val="auto"/>
                      <w:kern w:val="21"/>
                      <w:sz w:val="21"/>
                      <w:szCs w:val="21"/>
                      <w:highlight w:val="none"/>
                      <w:lang w:val="en-US"/>
                    </w:rPr>
                  </w:pPr>
                  <w:r>
                    <w:rPr>
                      <w:rFonts w:hint="eastAsia"/>
                      <w:caps w:val="0"/>
                      <w:color w:val="auto"/>
                      <w:kern w:val="21"/>
                      <w:sz w:val="21"/>
                      <w:szCs w:val="21"/>
                      <w:highlight w:val="none"/>
                      <w:lang w:val="en-US" w:eastAsia="zh-CN"/>
                    </w:rPr>
                    <w:t>依托2#厂房，新增冲床等设备</w:t>
                  </w:r>
                </w:p>
              </w:tc>
              <w:tc>
                <w:tcPr>
                  <w:tcW w:w="1349" w:type="pct"/>
                  <w:tcBorders>
                    <w:tl2br w:val="nil"/>
                    <w:tr2bl w:val="nil"/>
                  </w:tcBorders>
                  <w:vAlign w:val="center"/>
                </w:tcPr>
                <w:p w14:paraId="73D50F4D">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ascii="Times New Roman" w:hAnsi="Times New Roman" w:eastAsia="宋体"/>
                      <w:caps w:val="0"/>
                      <w:color w:val="auto"/>
                      <w:kern w:val="21"/>
                      <w:sz w:val="21"/>
                      <w:szCs w:val="21"/>
                      <w:highlight w:val="none"/>
                    </w:rPr>
                    <w:t>位于1#厂房北侧，建筑面积2562.6m</w:t>
                  </w:r>
                  <w:r>
                    <w:rPr>
                      <w:rFonts w:hint="eastAsia" w:ascii="Times New Roman" w:hAnsi="Times New Roman" w:eastAsia="宋体"/>
                      <w:caps w:val="0"/>
                      <w:color w:val="auto"/>
                      <w:kern w:val="21"/>
                      <w:sz w:val="21"/>
                      <w:szCs w:val="21"/>
                      <w:highlight w:val="none"/>
                      <w:vertAlign w:val="superscript"/>
                    </w:rPr>
                    <w:t>2</w:t>
                  </w:r>
                  <w:r>
                    <w:rPr>
                      <w:rFonts w:hint="eastAsia" w:ascii="Times New Roman" w:hAnsi="Times New Roman" w:eastAsia="宋体"/>
                      <w:caps w:val="0"/>
                      <w:color w:val="auto"/>
                      <w:kern w:val="21"/>
                      <w:sz w:val="21"/>
                      <w:szCs w:val="21"/>
                      <w:highlight w:val="none"/>
                    </w:rPr>
                    <w:t>，主要布置冲床等生产设备。</w:t>
                  </w:r>
                </w:p>
              </w:tc>
              <w:tc>
                <w:tcPr>
                  <w:tcW w:w="539" w:type="pct"/>
                  <w:gridSpan w:val="2"/>
                  <w:tcBorders>
                    <w:tl2br w:val="nil"/>
                    <w:tr2bl w:val="nil"/>
                  </w:tcBorders>
                  <w:vAlign w:val="center"/>
                </w:tcPr>
                <w:p w14:paraId="36DA25C9">
                  <w:pPr>
                    <w:spacing w:line="340" w:lineRule="exact"/>
                    <w:jc w:val="both"/>
                    <w:rPr>
                      <w:rFonts w:hint="default" w:ascii="Times New Roman" w:hAnsi="Times New Roman" w:eastAsia="宋体"/>
                      <w:caps w:val="0"/>
                      <w:color w:val="auto"/>
                      <w:kern w:val="21"/>
                      <w:sz w:val="21"/>
                      <w:szCs w:val="21"/>
                      <w:highlight w:val="none"/>
                      <w:lang w:val="en-US" w:eastAsia="zh-CN"/>
                    </w:rPr>
                  </w:pPr>
                  <w:r>
                    <w:rPr>
                      <w:rFonts w:hint="default" w:ascii="Times New Roman" w:hAnsi="Times New Roman" w:eastAsia="宋体"/>
                      <w:caps w:val="0"/>
                      <w:color w:val="auto"/>
                      <w:kern w:val="21"/>
                      <w:sz w:val="21"/>
                      <w:szCs w:val="21"/>
                      <w:highlight w:val="none"/>
                      <w:lang w:val="en-US" w:eastAsia="zh-CN"/>
                    </w:rPr>
                    <w:t>依托现有厂房新增设备</w:t>
                  </w:r>
                </w:p>
              </w:tc>
            </w:tr>
            <w:tr w14:paraId="0B4619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7E121464">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78C14BE8">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3#厂房</w:t>
                  </w:r>
                </w:p>
              </w:tc>
              <w:tc>
                <w:tcPr>
                  <w:tcW w:w="1371" w:type="pct"/>
                  <w:gridSpan w:val="3"/>
                  <w:tcBorders>
                    <w:tl2br w:val="nil"/>
                    <w:tr2bl w:val="nil"/>
                  </w:tcBorders>
                  <w:vAlign w:val="center"/>
                </w:tcPr>
                <w:p w14:paraId="561D73E1">
                  <w:pPr>
                    <w:jc w:val="center"/>
                    <w:rPr>
                      <w:rFonts w:ascii="Times New Roman" w:hAnsi="Times New Roman" w:eastAsia="宋体"/>
                      <w:caps w:val="0"/>
                      <w:color w:val="auto"/>
                      <w:kern w:val="21"/>
                      <w:sz w:val="21"/>
                      <w:szCs w:val="21"/>
                      <w:highlight w:val="none"/>
                    </w:rPr>
                  </w:pPr>
                  <w:r>
                    <w:rPr>
                      <w:color w:val="auto"/>
                      <w:sz w:val="21"/>
                      <w:szCs w:val="21"/>
                    </w:rPr>
                    <w:t>1</w:t>
                  </w:r>
                  <w:r>
                    <w:rPr>
                      <w:rFonts w:hint="eastAsia"/>
                      <w:color w:val="auto"/>
                      <w:sz w:val="21"/>
                      <w:szCs w:val="21"/>
                    </w:rPr>
                    <w:t>F，</w:t>
                  </w:r>
                  <w:r>
                    <w:rPr>
                      <w:rFonts w:hint="eastAsia"/>
                      <w:snapToGrid w:val="0"/>
                      <w:color w:val="auto"/>
                      <w:sz w:val="21"/>
                      <w:szCs w:val="21"/>
                    </w:rPr>
                    <w:t>位于厂区东部南侧，</w:t>
                  </w:r>
                  <w:r>
                    <w:rPr>
                      <w:rFonts w:hint="eastAsia"/>
                      <w:caps w:val="0"/>
                      <w:color w:val="auto"/>
                      <w:kern w:val="21"/>
                      <w:sz w:val="21"/>
                      <w:szCs w:val="21"/>
                      <w:highlight w:val="none"/>
                      <w:lang w:val="en-US" w:eastAsia="zh-CN"/>
                    </w:rPr>
                    <w:t>建筑</w:t>
                  </w:r>
                  <w:r>
                    <w:rPr>
                      <w:rFonts w:hint="eastAsia"/>
                      <w:snapToGrid w:val="0"/>
                      <w:color w:val="auto"/>
                      <w:sz w:val="21"/>
                      <w:szCs w:val="21"/>
                    </w:rPr>
                    <w:t>面积4446.0m</w:t>
                  </w:r>
                  <w:r>
                    <w:rPr>
                      <w:rFonts w:hint="eastAsia"/>
                      <w:snapToGrid w:val="0"/>
                      <w:color w:val="auto"/>
                      <w:sz w:val="21"/>
                      <w:szCs w:val="21"/>
                      <w:vertAlign w:val="superscript"/>
                    </w:rPr>
                    <w:t>2</w:t>
                  </w:r>
                  <w:r>
                    <w:rPr>
                      <w:rFonts w:hint="eastAsia"/>
                      <w:snapToGrid w:val="0"/>
                      <w:color w:val="auto"/>
                      <w:sz w:val="21"/>
                      <w:szCs w:val="21"/>
                    </w:rPr>
                    <w:t>，</w:t>
                  </w:r>
                  <w:r>
                    <w:rPr>
                      <w:rFonts w:hint="eastAsia"/>
                      <w:color w:val="auto"/>
                      <w:sz w:val="21"/>
                      <w:szCs w:val="21"/>
                    </w:rPr>
                    <w:t>为闲置厂房</w:t>
                  </w:r>
                </w:p>
              </w:tc>
              <w:tc>
                <w:tcPr>
                  <w:tcW w:w="1022" w:type="pct"/>
                  <w:gridSpan w:val="2"/>
                  <w:tcBorders>
                    <w:tl2br w:val="nil"/>
                    <w:tr2bl w:val="nil"/>
                  </w:tcBorders>
                  <w:vAlign w:val="center"/>
                </w:tcPr>
                <w:p w14:paraId="34299AAD">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w:t>
                  </w:r>
                </w:p>
              </w:tc>
              <w:tc>
                <w:tcPr>
                  <w:tcW w:w="1349" w:type="pct"/>
                  <w:tcBorders>
                    <w:tl2br w:val="nil"/>
                    <w:tr2bl w:val="nil"/>
                  </w:tcBorders>
                  <w:vAlign w:val="center"/>
                </w:tcPr>
                <w:p w14:paraId="0EE4DC4E">
                  <w:pPr>
                    <w:jc w:val="center"/>
                    <w:rPr>
                      <w:rFonts w:ascii="Times New Roman" w:hAnsi="Times New Roman" w:eastAsia="宋体"/>
                      <w:caps w:val="0"/>
                      <w:color w:val="auto"/>
                      <w:kern w:val="21"/>
                      <w:sz w:val="21"/>
                      <w:szCs w:val="21"/>
                      <w:highlight w:val="none"/>
                    </w:rPr>
                  </w:pPr>
                  <w:r>
                    <w:rPr>
                      <w:color w:val="auto"/>
                      <w:sz w:val="21"/>
                      <w:szCs w:val="21"/>
                    </w:rPr>
                    <w:t>1</w:t>
                  </w:r>
                  <w:r>
                    <w:rPr>
                      <w:rFonts w:hint="eastAsia"/>
                      <w:color w:val="auto"/>
                      <w:sz w:val="21"/>
                      <w:szCs w:val="21"/>
                    </w:rPr>
                    <w:t>F，</w:t>
                  </w:r>
                  <w:r>
                    <w:rPr>
                      <w:rFonts w:hint="eastAsia"/>
                      <w:snapToGrid w:val="0"/>
                      <w:color w:val="auto"/>
                      <w:sz w:val="21"/>
                      <w:szCs w:val="21"/>
                    </w:rPr>
                    <w:t>位于厂区东部南侧，</w:t>
                  </w:r>
                  <w:r>
                    <w:rPr>
                      <w:rFonts w:hint="eastAsia"/>
                      <w:caps w:val="0"/>
                      <w:color w:val="auto"/>
                      <w:kern w:val="21"/>
                      <w:sz w:val="21"/>
                      <w:szCs w:val="21"/>
                      <w:highlight w:val="none"/>
                      <w:lang w:val="en-US" w:eastAsia="zh-CN"/>
                    </w:rPr>
                    <w:t>建筑</w:t>
                  </w:r>
                  <w:r>
                    <w:rPr>
                      <w:rFonts w:hint="eastAsia"/>
                      <w:snapToGrid w:val="0"/>
                      <w:color w:val="auto"/>
                      <w:sz w:val="21"/>
                      <w:szCs w:val="21"/>
                    </w:rPr>
                    <w:t>面积4446.0m</w:t>
                  </w:r>
                  <w:r>
                    <w:rPr>
                      <w:rFonts w:hint="eastAsia"/>
                      <w:snapToGrid w:val="0"/>
                      <w:color w:val="auto"/>
                      <w:sz w:val="21"/>
                      <w:szCs w:val="21"/>
                      <w:vertAlign w:val="superscript"/>
                    </w:rPr>
                    <w:t>2</w:t>
                  </w:r>
                  <w:r>
                    <w:rPr>
                      <w:rFonts w:hint="eastAsia"/>
                      <w:snapToGrid w:val="0"/>
                      <w:color w:val="auto"/>
                      <w:sz w:val="21"/>
                      <w:szCs w:val="21"/>
                    </w:rPr>
                    <w:t>，</w:t>
                  </w:r>
                  <w:r>
                    <w:rPr>
                      <w:rFonts w:hint="eastAsia"/>
                      <w:color w:val="auto"/>
                      <w:sz w:val="21"/>
                      <w:szCs w:val="21"/>
                    </w:rPr>
                    <w:t>为闲置厂房</w:t>
                  </w:r>
                </w:p>
              </w:tc>
              <w:tc>
                <w:tcPr>
                  <w:tcW w:w="539" w:type="pct"/>
                  <w:gridSpan w:val="2"/>
                  <w:tcBorders>
                    <w:tl2br w:val="nil"/>
                    <w:tr2bl w:val="nil"/>
                  </w:tcBorders>
                  <w:vAlign w:val="center"/>
                </w:tcPr>
                <w:p w14:paraId="7B60B66A">
                  <w:pPr>
                    <w:spacing w:line="340" w:lineRule="exact"/>
                    <w:jc w:val="center"/>
                    <w:rPr>
                      <w:rFonts w:hint="eastAsia" w:ascii="Times New Roman" w:hAnsi="Times New Roman" w:eastAsia="宋体"/>
                      <w:caps w:val="0"/>
                      <w:color w:val="auto"/>
                      <w:kern w:val="21"/>
                      <w:sz w:val="21"/>
                      <w:szCs w:val="21"/>
                      <w:highlight w:val="none"/>
                      <w:lang w:eastAsia="zh-CN"/>
                    </w:rPr>
                  </w:pPr>
                  <w:r>
                    <w:rPr>
                      <w:rFonts w:hint="eastAsia"/>
                      <w:caps w:val="0"/>
                      <w:color w:val="auto"/>
                      <w:kern w:val="21"/>
                      <w:sz w:val="21"/>
                      <w:szCs w:val="21"/>
                      <w:highlight w:val="none"/>
                      <w:lang w:val="en-US" w:eastAsia="zh-CN"/>
                    </w:rPr>
                    <w:t>不变</w:t>
                  </w:r>
                </w:p>
              </w:tc>
            </w:tr>
            <w:tr w14:paraId="16EF63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0E561F97">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78E896D6">
                  <w:pPr>
                    <w:jc w:val="center"/>
                    <w:rPr>
                      <w:rFonts w:hint="eastAsia" w:ascii="Times New Roman" w:hAnsi="Times New Roman" w:eastAsia="宋体"/>
                      <w:caps w:val="0"/>
                      <w:color w:val="auto"/>
                      <w:kern w:val="21"/>
                      <w:sz w:val="21"/>
                      <w:szCs w:val="21"/>
                      <w:highlight w:val="none"/>
                    </w:rPr>
                  </w:pPr>
                  <w:r>
                    <w:rPr>
                      <w:rFonts w:hint="eastAsia"/>
                      <w:snapToGrid w:val="0"/>
                      <w:color w:val="auto"/>
                      <w:sz w:val="21"/>
                      <w:szCs w:val="21"/>
                    </w:rPr>
                    <w:t>4#厂房</w:t>
                  </w:r>
                </w:p>
              </w:tc>
              <w:tc>
                <w:tcPr>
                  <w:tcW w:w="1371" w:type="pct"/>
                  <w:gridSpan w:val="3"/>
                  <w:tcBorders>
                    <w:tl2br w:val="nil"/>
                    <w:tr2bl w:val="nil"/>
                  </w:tcBorders>
                  <w:vAlign w:val="center"/>
                </w:tcPr>
                <w:p w14:paraId="54EDF31A">
                  <w:pPr>
                    <w:jc w:val="center"/>
                    <w:rPr>
                      <w:rFonts w:hint="eastAsia" w:ascii="Times New Roman" w:hAnsi="Times New Roman" w:eastAsia="宋体"/>
                      <w:caps w:val="0"/>
                      <w:color w:val="auto"/>
                      <w:kern w:val="21"/>
                      <w:sz w:val="21"/>
                      <w:szCs w:val="21"/>
                      <w:highlight w:val="none"/>
                      <w:lang w:eastAsia="zh-CN"/>
                    </w:rPr>
                  </w:pPr>
                  <w:r>
                    <w:rPr>
                      <w:rFonts w:hint="eastAsia"/>
                      <w:color w:val="auto"/>
                      <w:sz w:val="21"/>
                      <w:szCs w:val="21"/>
                    </w:rPr>
                    <w:t>位于3#厂房北侧，</w:t>
                  </w:r>
                  <w:r>
                    <w:rPr>
                      <w:rFonts w:hint="eastAsia"/>
                      <w:caps w:val="0"/>
                      <w:color w:val="auto"/>
                      <w:kern w:val="21"/>
                      <w:sz w:val="21"/>
                      <w:szCs w:val="21"/>
                      <w:highlight w:val="none"/>
                      <w:lang w:val="en-US" w:eastAsia="zh-CN"/>
                    </w:rPr>
                    <w:t>建筑</w:t>
                  </w:r>
                  <w:r>
                    <w:rPr>
                      <w:rFonts w:hint="eastAsia"/>
                      <w:color w:val="auto"/>
                      <w:sz w:val="21"/>
                      <w:szCs w:val="21"/>
                    </w:rPr>
                    <w:t>面积4446.0m</w:t>
                  </w:r>
                  <w:r>
                    <w:rPr>
                      <w:rFonts w:hint="eastAsia"/>
                      <w:color w:val="auto"/>
                      <w:sz w:val="21"/>
                      <w:szCs w:val="21"/>
                      <w:vertAlign w:val="superscript"/>
                    </w:rPr>
                    <w:t>2</w:t>
                  </w:r>
                  <w:r>
                    <w:rPr>
                      <w:rFonts w:hint="eastAsia"/>
                      <w:color w:val="auto"/>
                      <w:sz w:val="21"/>
                      <w:szCs w:val="21"/>
                    </w:rPr>
                    <w:t>，主要为装配区</w:t>
                  </w:r>
                  <w:r>
                    <w:rPr>
                      <w:rFonts w:hint="eastAsia"/>
                      <w:color w:val="auto"/>
                      <w:sz w:val="21"/>
                      <w:szCs w:val="21"/>
                      <w:lang w:eastAsia="zh-CN"/>
                    </w:rPr>
                    <w:t>，</w:t>
                  </w:r>
                  <w:r>
                    <w:rPr>
                      <w:rFonts w:hint="eastAsia"/>
                      <w:color w:val="auto"/>
                      <w:sz w:val="21"/>
                      <w:szCs w:val="21"/>
                    </w:rPr>
                    <w:t>布置全自动装配线4条</w:t>
                  </w:r>
                </w:p>
              </w:tc>
              <w:tc>
                <w:tcPr>
                  <w:tcW w:w="1022" w:type="pct"/>
                  <w:gridSpan w:val="2"/>
                  <w:tcBorders>
                    <w:tl2br w:val="nil"/>
                    <w:tr2bl w:val="nil"/>
                  </w:tcBorders>
                  <w:vAlign w:val="center"/>
                </w:tcPr>
                <w:p w14:paraId="1F7E75F8">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依托4#厂房，新增全自动装配线2条等</w:t>
                  </w:r>
                </w:p>
              </w:tc>
              <w:tc>
                <w:tcPr>
                  <w:tcW w:w="1349" w:type="pct"/>
                  <w:tcBorders>
                    <w:tl2br w:val="nil"/>
                    <w:tr2bl w:val="nil"/>
                  </w:tcBorders>
                  <w:vAlign w:val="center"/>
                </w:tcPr>
                <w:p w14:paraId="0AB3B58E">
                  <w:pPr>
                    <w:jc w:val="center"/>
                    <w:rPr>
                      <w:rFonts w:hint="eastAsia" w:ascii="Times New Roman" w:hAnsi="Times New Roman" w:eastAsia="宋体"/>
                      <w:caps w:val="0"/>
                      <w:color w:val="auto"/>
                      <w:kern w:val="21"/>
                      <w:sz w:val="21"/>
                      <w:szCs w:val="21"/>
                      <w:highlight w:val="none"/>
                    </w:rPr>
                  </w:pPr>
                  <w:r>
                    <w:rPr>
                      <w:rFonts w:hint="eastAsia"/>
                      <w:color w:val="auto"/>
                      <w:sz w:val="21"/>
                      <w:szCs w:val="21"/>
                    </w:rPr>
                    <w:t>位于3#厂房北侧，</w:t>
                  </w:r>
                  <w:r>
                    <w:rPr>
                      <w:rFonts w:hint="eastAsia"/>
                      <w:caps w:val="0"/>
                      <w:color w:val="auto"/>
                      <w:kern w:val="21"/>
                      <w:sz w:val="21"/>
                      <w:szCs w:val="21"/>
                      <w:highlight w:val="none"/>
                      <w:lang w:val="en-US" w:eastAsia="zh-CN"/>
                    </w:rPr>
                    <w:t>建筑</w:t>
                  </w:r>
                  <w:r>
                    <w:rPr>
                      <w:rFonts w:hint="eastAsia"/>
                      <w:color w:val="auto"/>
                      <w:sz w:val="21"/>
                      <w:szCs w:val="21"/>
                    </w:rPr>
                    <w:t>面积4446.0m</w:t>
                  </w:r>
                  <w:r>
                    <w:rPr>
                      <w:rFonts w:hint="eastAsia"/>
                      <w:color w:val="auto"/>
                      <w:sz w:val="21"/>
                      <w:szCs w:val="21"/>
                      <w:vertAlign w:val="superscript"/>
                    </w:rPr>
                    <w:t>2</w:t>
                  </w:r>
                  <w:r>
                    <w:rPr>
                      <w:rFonts w:hint="eastAsia"/>
                      <w:color w:val="auto"/>
                      <w:sz w:val="21"/>
                      <w:szCs w:val="21"/>
                    </w:rPr>
                    <w:t>，主要为装配区</w:t>
                  </w:r>
                  <w:r>
                    <w:rPr>
                      <w:rFonts w:hint="eastAsia"/>
                      <w:color w:val="auto"/>
                      <w:sz w:val="21"/>
                      <w:szCs w:val="21"/>
                      <w:lang w:eastAsia="zh-CN"/>
                    </w:rPr>
                    <w:t>，</w:t>
                  </w:r>
                  <w:r>
                    <w:rPr>
                      <w:rFonts w:hint="eastAsia"/>
                      <w:color w:val="auto"/>
                      <w:sz w:val="21"/>
                      <w:szCs w:val="21"/>
                    </w:rPr>
                    <w:t>布置全自动装配线</w:t>
                  </w:r>
                  <w:r>
                    <w:rPr>
                      <w:rFonts w:hint="eastAsia"/>
                      <w:color w:val="auto"/>
                      <w:sz w:val="21"/>
                      <w:szCs w:val="21"/>
                      <w:lang w:val="en-US" w:eastAsia="zh-CN"/>
                    </w:rPr>
                    <w:t>6</w:t>
                  </w:r>
                  <w:r>
                    <w:rPr>
                      <w:rFonts w:hint="eastAsia"/>
                      <w:color w:val="auto"/>
                      <w:sz w:val="21"/>
                      <w:szCs w:val="21"/>
                    </w:rPr>
                    <w:t>条</w:t>
                  </w:r>
                </w:p>
              </w:tc>
              <w:tc>
                <w:tcPr>
                  <w:tcW w:w="539" w:type="pct"/>
                  <w:gridSpan w:val="2"/>
                  <w:tcBorders>
                    <w:tl2br w:val="nil"/>
                    <w:tr2bl w:val="nil"/>
                  </w:tcBorders>
                  <w:vAlign w:val="center"/>
                </w:tcPr>
                <w:p w14:paraId="716780C3">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ascii="Times New Roman" w:hAnsi="Times New Roman" w:eastAsia="宋体"/>
                      <w:caps w:val="0"/>
                      <w:color w:val="auto"/>
                      <w:kern w:val="21"/>
                      <w:sz w:val="21"/>
                      <w:szCs w:val="21"/>
                      <w:highlight w:val="none"/>
                      <w:lang w:val="en-US" w:eastAsia="zh-CN"/>
                    </w:rPr>
                    <w:t>依托现有厂房新增设备</w:t>
                  </w:r>
                </w:p>
              </w:tc>
            </w:tr>
            <w:tr w14:paraId="65FF36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75652E12">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55AFC5CB">
                  <w:pPr>
                    <w:jc w:val="center"/>
                    <w:rPr>
                      <w:rFonts w:hint="eastAsia" w:ascii="Times New Roman" w:hAnsi="Times New Roman" w:eastAsia="宋体"/>
                      <w:caps w:val="0"/>
                      <w:color w:val="auto"/>
                      <w:kern w:val="21"/>
                      <w:sz w:val="21"/>
                      <w:szCs w:val="21"/>
                      <w:highlight w:val="none"/>
                    </w:rPr>
                  </w:pPr>
                  <w:r>
                    <w:rPr>
                      <w:rFonts w:hint="eastAsia"/>
                      <w:snapToGrid w:val="0"/>
                      <w:color w:val="auto"/>
                      <w:sz w:val="21"/>
                      <w:szCs w:val="21"/>
                    </w:rPr>
                    <w:t>5#厂房</w:t>
                  </w:r>
                </w:p>
              </w:tc>
              <w:tc>
                <w:tcPr>
                  <w:tcW w:w="1371" w:type="pct"/>
                  <w:gridSpan w:val="3"/>
                  <w:tcBorders>
                    <w:tl2br w:val="nil"/>
                    <w:tr2bl w:val="nil"/>
                  </w:tcBorders>
                  <w:vAlign w:val="center"/>
                </w:tcPr>
                <w:p w14:paraId="0354CA28">
                  <w:pPr>
                    <w:jc w:val="center"/>
                    <w:rPr>
                      <w:rFonts w:hint="eastAsia" w:ascii="Times New Roman" w:hAnsi="Times New Roman" w:eastAsia="宋体"/>
                      <w:caps w:val="0"/>
                      <w:color w:val="auto"/>
                      <w:kern w:val="21"/>
                      <w:sz w:val="21"/>
                      <w:szCs w:val="21"/>
                      <w:highlight w:val="none"/>
                    </w:rPr>
                  </w:pPr>
                  <w:r>
                    <w:rPr>
                      <w:rFonts w:hint="eastAsia"/>
                      <w:color w:val="auto"/>
                      <w:sz w:val="21"/>
                      <w:szCs w:val="21"/>
                    </w:rPr>
                    <w:t>位于4#厂房北侧，</w:t>
                  </w:r>
                  <w:r>
                    <w:rPr>
                      <w:rFonts w:hint="eastAsia"/>
                      <w:caps w:val="0"/>
                      <w:color w:val="auto"/>
                      <w:kern w:val="21"/>
                      <w:sz w:val="21"/>
                      <w:szCs w:val="21"/>
                      <w:highlight w:val="none"/>
                      <w:lang w:val="en-US" w:eastAsia="zh-CN"/>
                    </w:rPr>
                    <w:t>建筑</w:t>
                  </w:r>
                  <w:r>
                    <w:rPr>
                      <w:rFonts w:hint="eastAsia"/>
                      <w:color w:val="auto"/>
                      <w:sz w:val="21"/>
                      <w:szCs w:val="21"/>
                    </w:rPr>
                    <w:t>面积4446.0m</w:t>
                  </w:r>
                  <w:r>
                    <w:rPr>
                      <w:rFonts w:hint="eastAsia"/>
                      <w:color w:val="auto"/>
                      <w:sz w:val="21"/>
                      <w:szCs w:val="21"/>
                      <w:vertAlign w:val="superscript"/>
                    </w:rPr>
                    <w:t>2</w:t>
                  </w:r>
                  <w:r>
                    <w:rPr>
                      <w:rFonts w:hint="eastAsia"/>
                      <w:color w:val="auto"/>
                      <w:sz w:val="21"/>
                      <w:szCs w:val="21"/>
                    </w:rPr>
                    <w:t>，目前车间对外租赁</w:t>
                  </w:r>
                </w:p>
              </w:tc>
              <w:tc>
                <w:tcPr>
                  <w:tcW w:w="1022" w:type="pct"/>
                  <w:gridSpan w:val="2"/>
                  <w:tcBorders>
                    <w:tl2br w:val="nil"/>
                    <w:tr2bl w:val="nil"/>
                  </w:tcBorders>
                  <w:vAlign w:val="center"/>
                </w:tcPr>
                <w:p w14:paraId="32B98F6E">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w:t>
                  </w:r>
                </w:p>
              </w:tc>
              <w:tc>
                <w:tcPr>
                  <w:tcW w:w="1349" w:type="pct"/>
                  <w:tcBorders>
                    <w:tl2br w:val="nil"/>
                    <w:tr2bl w:val="nil"/>
                  </w:tcBorders>
                  <w:vAlign w:val="center"/>
                </w:tcPr>
                <w:p w14:paraId="01978DB5">
                  <w:pPr>
                    <w:jc w:val="center"/>
                    <w:rPr>
                      <w:rFonts w:hint="eastAsia" w:ascii="Times New Roman" w:hAnsi="Times New Roman" w:eastAsia="宋体"/>
                      <w:caps w:val="0"/>
                      <w:color w:val="auto"/>
                      <w:kern w:val="21"/>
                      <w:sz w:val="21"/>
                      <w:szCs w:val="21"/>
                      <w:highlight w:val="none"/>
                    </w:rPr>
                  </w:pPr>
                  <w:r>
                    <w:rPr>
                      <w:rFonts w:hint="eastAsia"/>
                      <w:color w:val="auto"/>
                      <w:sz w:val="21"/>
                      <w:szCs w:val="21"/>
                    </w:rPr>
                    <w:t>位于4#厂房北侧，</w:t>
                  </w:r>
                  <w:r>
                    <w:rPr>
                      <w:rFonts w:hint="eastAsia"/>
                      <w:caps w:val="0"/>
                      <w:color w:val="auto"/>
                      <w:kern w:val="21"/>
                      <w:sz w:val="21"/>
                      <w:szCs w:val="21"/>
                      <w:highlight w:val="none"/>
                      <w:lang w:val="en-US" w:eastAsia="zh-CN"/>
                    </w:rPr>
                    <w:t>建筑</w:t>
                  </w:r>
                  <w:r>
                    <w:rPr>
                      <w:rFonts w:hint="eastAsia"/>
                      <w:color w:val="auto"/>
                      <w:sz w:val="21"/>
                      <w:szCs w:val="21"/>
                    </w:rPr>
                    <w:t>面积4446.0m</w:t>
                  </w:r>
                  <w:r>
                    <w:rPr>
                      <w:rFonts w:hint="eastAsia"/>
                      <w:color w:val="auto"/>
                      <w:sz w:val="21"/>
                      <w:szCs w:val="21"/>
                      <w:vertAlign w:val="superscript"/>
                    </w:rPr>
                    <w:t>2</w:t>
                  </w:r>
                  <w:r>
                    <w:rPr>
                      <w:rFonts w:hint="eastAsia"/>
                      <w:color w:val="auto"/>
                      <w:sz w:val="21"/>
                      <w:szCs w:val="21"/>
                    </w:rPr>
                    <w:t>，目前车间对外租赁</w:t>
                  </w:r>
                </w:p>
              </w:tc>
              <w:tc>
                <w:tcPr>
                  <w:tcW w:w="539" w:type="pct"/>
                  <w:gridSpan w:val="2"/>
                  <w:tcBorders>
                    <w:tl2br w:val="nil"/>
                    <w:tr2bl w:val="nil"/>
                  </w:tcBorders>
                  <w:vAlign w:val="center"/>
                </w:tcPr>
                <w:p w14:paraId="5AC18600">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不变</w:t>
                  </w:r>
                </w:p>
              </w:tc>
            </w:tr>
            <w:tr w14:paraId="367E25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5E36C43A">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02C7D3E9">
                  <w:pPr>
                    <w:jc w:val="center"/>
                    <w:rPr>
                      <w:rFonts w:hint="eastAsia" w:ascii="Times New Roman" w:hAnsi="Times New Roman" w:eastAsia="宋体"/>
                      <w:caps w:val="0"/>
                      <w:color w:val="auto"/>
                      <w:kern w:val="21"/>
                      <w:sz w:val="21"/>
                      <w:szCs w:val="21"/>
                      <w:highlight w:val="none"/>
                    </w:rPr>
                  </w:pPr>
                  <w:r>
                    <w:rPr>
                      <w:rFonts w:hint="eastAsia"/>
                      <w:snapToGrid w:val="0"/>
                      <w:color w:val="auto"/>
                      <w:sz w:val="21"/>
                      <w:szCs w:val="21"/>
                    </w:rPr>
                    <w:t>6#厂房</w:t>
                  </w:r>
                </w:p>
              </w:tc>
              <w:tc>
                <w:tcPr>
                  <w:tcW w:w="1371" w:type="pct"/>
                  <w:gridSpan w:val="3"/>
                  <w:tcBorders>
                    <w:tl2br w:val="nil"/>
                    <w:tr2bl w:val="nil"/>
                  </w:tcBorders>
                  <w:vAlign w:val="center"/>
                </w:tcPr>
                <w:p w14:paraId="2CAF2F5F">
                  <w:pPr>
                    <w:jc w:val="center"/>
                    <w:rPr>
                      <w:rFonts w:hint="default" w:ascii="Times New Roman" w:hAnsi="Times New Roman" w:eastAsia="宋体"/>
                      <w:caps w:val="0"/>
                      <w:color w:val="auto"/>
                      <w:kern w:val="21"/>
                      <w:sz w:val="21"/>
                      <w:szCs w:val="21"/>
                      <w:highlight w:val="none"/>
                      <w:lang w:val="en-US" w:eastAsia="zh-CN"/>
                    </w:rPr>
                  </w:pPr>
                  <w:r>
                    <w:rPr>
                      <w:rFonts w:hint="eastAsia"/>
                      <w:color w:val="auto"/>
                      <w:sz w:val="21"/>
                      <w:szCs w:val="21"/>
                    </w:rPr>
                    <w:t>位于厂区中部北侧，</w:t>
                  </w:r>
                  <w:r>
                    <w:rPr>
                      <w:rFonts w:hint="eastAsia"/>
                      <w:caps w:val="0"/>
                      <w:color w:val="auto"/>
                      <w:kern w:val="21"/>
                      <w:sz w:val="21"/>
                      <w:szCs w:val="21"/>
                      <w:highlight w:val="none"/>
                      <w:lang w:val="en-US" w:eastAsia="zh-CN"/>
                    </w:rPr>
                    <w:t>建筑</w:t>
                  </w:r>
                  <w:r>
                    <w:rPr>
                      <w:rFonts w:hint="eastAsia"/>
                      <w:color w:val="auto"/>
                      <w:sz w:val="21"/>
                      <w:szCs w:val="21"/>
                    </w:rPr>
                    <w:t>面积5870.0m</w:t>
                  </w:r>
                  <w:r>
                    <w:rPr>
                      <w:rFonts w:hint="eastAsia"/>
                      <w:color w:val="auto"/>
                      <w:sz w:val="21"/>
                      <w:szCs w:val="21"/>
                      <w:vertAlign w:val="superscript"/>
                    </w:rPr>
                    <w:t>2</w:t>
                  </w:r>
                  <w:r>
                    <w:rPr>
                      <w:rFonts w:hint="eastAsia"/>
                      <w:color w:val="auto"/>
                      <w:sz w:val="21"/>
                      <w:szCs w:val="21"/>
                    </w:rPr>
                    <w:t>，破碎间</w:t>
                  </w:r>
                  <w:r>
                    <w:rPr>
                      <w:rFonts w:hint="eastAsia"/>
                      <w:color w:val="auto"/>
                      <w:sz w:val="21"/>
                      <w:szCs w:val="21"/>
                      <w:lang w:val="en-US" w:eastAsia="zh-CN"/>
                    </w:rPr>
                    <w:t>位于一层，二、三层为宿舍</w:t>
                  </w:r>
                </w:p>
              </w:tc>
              <w:tc>
                <w:tcPr>
                  <w:tcW w:w="1022" w:type="pct"/>
                  <w:gridSpan w:val="2"/>
                  <w:tcBorders>
                    <w:tl2br w:val="nil"/>
                    <w:tr2bl w:val="nil"/>
                  </w:tcBorders>
                  <w:vAlign w:val="center"/>
                </w:tcPr>
                <w:p w14:paraId="4BB40351">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依托现有破碎间、宿舍</w:t>
                  </w:r>
                </w:p>
              </w:tc>
              <w:tc>
                <w:tcPr>
                  <w:tcW w:w="1349" w:type="pct"/>
                  <w:tcBorders>
                    <w:tl2br w:val="nil"/>
                    <w:tr2bl w:val="nil"/>
                  </w:tcBorders>
                  <w:vAlign w:val="center"/>
                </w:tcPr>
                <w:p w14:paraId="1D6EC66F">
                  <w:pPr>
                    <w:jc w:val="center"/>
                    <w:rPr>
                      <w:rFonts w:hint="eastAsia" w:ascii="Times New Roman" w:hAnsi="Times New Roman" w:eastAsia="宋体"/>
                      <w:caps w:val="0"/>
                      <w:color w:val="auto"/>
                      <w:kern w:val="21"/>
                      <w:sz w:val="21"/>
                      <w:szCs w:val="21"/>
                      <w:highlight w:val="none"/>
                    </w:rPr>
                  </w:pPr>
                  <w:r>
                    <w:rPr>
                      <w:rFonts w:hint="eastAsia"/>
                      <w:color w:val="auto"/>
                      <w:sz w:val="21"/>
                      <w:szCs w:val="21"/>
                    </w:rPr>
                    <w:t>位于厂区中部北侧，</w:t>
                  </w:r>
                  <w:r>
                    <w:rPr>
                      <w:rFonts w:hint="eastAsia"/>
                      <w:caps w:val="0"/>
                      <w:color w:val="auto"/>
                      <w:kern w:val="21"/>
                      <w:sz w:val="21"/>
                      <w:szCs w:val="21"/>
                      <w:highlight w:val="none"/>
                      <w:lang w:val="en-US" w:eastAsia="zh-CN"/>
                    </w:rPr>
                    <w:t>建筑</w:t>
                  </w:r>
                  <w:r>
                    <w:rPr>
                      <w:rFonts w:hint="eastAsia"/>
                      <w:color w:val="auto"/>
                      <w:sz w:val="21"/>
                      <w:szCs w:val="21"/>
                    </w:rPr>
                    <w:t>面积5870.0m</w:t>
                  </w:r>
                  <w:r>
                    <w:rPr>
                      <w:rFonts w:hint="eastAsia"/>
                      <w:color w:val="auto"/>
                      <w:sz w:val="21"/>
                      <w:szCs w:val="21"/>
                      <w:vertAlign w:val="superscript"/>
                    </w:rPr>
                    <w:t>2</w:t>
                  </w:r>
                  <w:r>
                    <w:rPr>
                      <w:rFonts w:hint="eastAsia"/>
                      <w:color w:val="auto"/>
                      <w:sz w:val="21"/>
                      <w:szCs w:val="21"/>
                    </w:rPr>
                    <w:t>，破碎间</w:t>
                  </w:r>
                  <w:r>
                    <w:rPr>
                      <w:rFonts w:hint="eastAsia"/>
                      <w:color w:val="auto"/>
                      <w:sz w:val="21"/>
                      <w:szCs w:val="21"/>
                      <w:lang w:val="en-US" w:eastAsia="zh-CN"/>
                    </w:rPr>
                    <w:t>位于一层，二、三层为宿舍</w:t>
                  </w:r>
                </w:p>
              </w:tc>
              <w:tc>
                <w:tcPr>
                  <w:tcW w:w="539" w:type="pct"/>
                  <w:gridSpan w:val="2"/>
                  <w:tcBorders>
                    <w:tl2br w:val="nil"/>
                    <w:tr2bl w:val="nil"/>
                  </w:tcBorders>
                  <w:vAlign w:val="center"/>
                </w:tcPr>
                <w:p w14:paraId="53A59A0C">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依托</w:t>
                  </w:r>
                  <w:r>
                    <w:rPr>
                      <w:rFonts w:hint="eastAsia"/>
                      <w:color w:val="auto"/>
                      <w:lang w:val="en-US" w:eastAsia="zh-CN"/>
                    </w:rPr>
                    <w:t>现有厂房</w:t>
                  </w:r>
                </w:p>
              </w:tc>
            </w:tr>
            <w:tr w14:paraId="37D01F0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1EEFCC8E">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60795888">
                  <w:pPr>
                    <w:jc w:val="center"/>
                    <w:rPr>
                      <w:rFonts w:hint="eastAsia" w:ascii="Times New Roman" w:hAnsi="Times New Roman" w:eastAsia="宋体"/>
                      <w:caps w:val="0"/>
                      <w:color w:val="auto"/>
                      <w:kern w:val="21"/>
                      <w:sz w:val="21"/>
                      <w:szCs w:val="21"/>
                      <w:highlight w:val="none"/>
                    </w:rPr>
                  </w:pPr>
                  <w:r>
                    <w:rPr>
                      <w:rFonts w:hint="eastAsia"/>
                      <w:snapToGrid w:val="0"/>
                      <w:color w:val="auto"/>
                      <w:sz w:val="21"/>
                      <w:szCs w:val="21"/>
                    </w:rPr>
                    <w:t>7#厂房</w:t>
                  </w:r>
                </w:p>
              </w:tc>
              <w:tc>
                <w:tcPr>
                  <w:tcW w:w="1371" w:type="pct"/>
                  <w:gridSpan w:val="3"/>
                  <w:tcBorders>
                    <w:tl2br w:val="nil"/>
                    <w:tr2bl w:val="nil"/>
                  </w:tcBorders>
                  <w:vAlign w:val="center"/>
                </w:tcPr>
                <w:p w14:paraId="4BBC6814">
                  <w:pPr>
                    <w:jc w:val="center"/>
                    <w:rPr>
                      <w:rFonts w:hint="eastAsia" w:ascii="Times New Roman" w:hAnsi="Times New Roman" w:eastAsia="宋体"/>
                      <w:caps w:val="0"/>
                      <w:color w:val="auto"/>
                      <w:kern w:val="21"/>
                      <w:sz w:val="21"/>
                      <w:szCs w:val="21"/>
                      <w:highlight w:val="none"/>
                    </w:rPr>
                  </w:pPr>
                  <w:r>
                    <w:rPr>
                      <w:rFonts w:hint="eastAsia"/>
                      <w:color w:val="auto"/>
                      <w:sz w:val="21"/>
                      <w:szCs w:val="21"/>
                    </w:rPr>
                    <w:t>位于6#厂房南侧，建筑面积4446.0m</w:t>
                  </w:r>
                  <w:r>
                    <w:rPr>
                      <w:rFonts w:hint="eastAsia"/>
                      <w:color w:val="auto"/>
                      <w:sz w:val="21"/>
                      <w:szCs w:val="21"/>
                      <w:vertAlign w:val="superscript"/>
                    </w:rPr>
                    <w:t>2</w:t>
                  </w:r>
                  <w:r>
                    <w:rPr>
                      <w:rFonts w:hint="eastAsia"/>
                      <w:color w:val="auto"/>
                      <w:sz w:val="21"/>
                      <w:szCs w:val="21"/>
                    </w:rPr>
                    <w:t>，主要设有为机加工、装配工序</w:t>
                  </w:r>
                </w:p>
              </w:tc>
              <w:tc>
                <w:tcPr>
                  <w:tcW w:w="1022" w:type="pct"/>
                  <w:gridSpan w:val="2"/>
                  <w:tcBorders>
                    <w:tl2br w:val="nil"/>
                    <w:tr2bl w:val="nil"/>
                  </w:tcBorders>
                  <w:vAlign w:val="center"/>
                </w:tcPr>
                <w:p w14:paraId="1C554870">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依托7#厂房，新增机加工等设备</w:t>
                  </w:r>
                </w:p>
              </w:tc>
              <w:tc>
                <w:tcPr>
                  <w:tcW w:w="1349" w:type="pct"/>
                  <w:tcBorders>
                    <w:tl2br w:val="nil"/>
                    <w:tr2bl w:val="nil"/>
                  </w:tcBorders>
                  <w:vAlign w:val="center"/>
                </w:tcPr>
                <w:p w14:paraId="7C9C1B3C">
                  <w:pPr>
                    <w:jc w:val="center"/>
                    <w:rPr>
                      <w:rFonts w:hint="eastAsia" w:ascii="Times New Roman" w:hAnsi="Times New Roman" w:eastAsia="宋体"/>
                      <w:caps w:val="0"/>
                      <w:color w:val="auto"/>
                      <w:kern w:val="21"/>
                      <w:sz w:val="21"/>
                      <w:szCs w:val="21"/>
                      <w:highlight w:val="none"/>
                    </w:rPr>
                  </w:pPr>
                  <w:r>
                    <w:rPr>
                      <w:rFonts w:hint="eastAsia"/>
                      <w:color w:val="auto"/>
                      <w:sz w:val="21"/>
                      <w:szCs w:val="21"/>
                    </w:rPr>
                    <w:t>位于6#厂房南侧，建筑面积4446.0m</w:t>
                  </w:r>
                  <w:r>
                    <w:rPr>
                      <w:rFonts w:hint="eastAsia"/>
                      <w:color w:val="auto"/>
                      <w:sz w:val="21"/>
                      <w:szCs w:val="21"/>
                      <w:vertAlign w:val="superscript"/>
                    </w:rPr>
                    <w:t>2</w:t>
                  </w:r>
                  <w:r>
                    <w:rPr>
                      <w:rFonts w:hint="eastAsia"/>
                      <w:color w:val="auto"/>
                      <w:sz w:val="21"/>
                      <w:szCs w:val="21"/>
                    </w:rPr>
                    <w:t>，主要设有为机加工、装配工序</w:t>
                  </w:r>
                </w:p>
              </w:tc>
              <w:tc>
                <w:tcPr>
                  <w:tcW w:w="539" w:type="pct"/>
                  <w:gridSpan w:val="2"/>
                  <w:tcBorders>
                    <w:tl2br w:val="nil"/>
                    <w:tr2bl w:val="nil"/>
                  </w:tcBorders>
                  <w:vAlign w:val="center"/>
                </w:tcPr>
                <w:p w14:paraId="1751E71B">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依托现有厂房新增设备</w:t>
                  </w:r>
                </w:p>
              </w:tc>
            </w:tr>
            <w:tr w14:paraId="3F0FB2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91" w:hRule="atLeast"/>
                <w:jc w:val="center"/>
              </w:trPr>
              <w:tc>
                <w:tcPr>
                  <w:tcW w:w="294" w:type="pct"/>
                  <w:gridSpan w:val="2"/>
                  <w:vMerge w:val="continue"/>
                  <w:tcBorders>
                    <w:tl2br w:val="nil"/>
                    <w:tr2bl w:val="nil"/>
                  </w:tcBorders>
                  <w:vAlign w:val="center"/>
                </w:tcPr>
                <w:p w14:paraId="6F857276">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00B35E3A">
                  <w:pPr>
                    <w:jc w:val="center"/>
                    <w:rPr>
                      <w:rFonts w:hint="eastAsia" w:ascii="Times New Roman" w:hAnsi="Times New Roman" w:eastAsia="宋体"/>
                      <w:caps w:val="0"/>
                      <w:color w:val="auto"/>
                      <w:kern w:val="21"/>
                      <w:sz w:val="21"/>
                      <w:szCs w:val="21"/>
                      <w:highlight w:val="none"/>
                    </w:rPr>
                  </w:pPr>
                  <w:r>
                    <w:rPr>
                      <w:rFonts w:hint="eastAsia"/>
                      <w:snapToGrid w:val="0"/>
                      <w:color w:val="auto"/>
                      <w:sz w:val="21"/>
                      <w:szCs w:val="21"/>
                    </w:rPr>
                    <w:t>8#厂房</w:t>
                  </w:r>
                </w:p>
              </w:tc>
              <w:tc>
                <w:tcPr>
                  <w:tcW w:w="1371" w:type="pct"/>
                  <w:gridSpan w:val="3"/>
                  <w:tcBorders>
                    <w:tl2br w:val="nil"/>
                    <w:tr2bl w:val="nil"/>
                  </w:tcBorders>
                  <w:vAlign w:val="center"/>
                </w:tcPr>
                <w:p w14:paraId="3CA195A8">
                  <w:pPr>
                    <w:jc w:val="center"/>
                    <w:rPr>
                      <w:rFonts w:hint="eastAsia" w:ascii="Times New Roman" w:hAnsi="Times New Roman" w:eastAsia="宋体"/>
                      <w:caps w:val="0"/>
                      <w:color w:val="auto"/>
                      <w:kern w:val="21"/>
                      <w:sz w:val="21"/>
                      <w:szCs w:val="21"/>
                      <w:highlight w:val="none"/>
                    </w:rPr>
                  </w:pPr>
                  <w:r>
                    <w:rPr>
                      <w:rFonts w:hint="eastAsia"/>
                      <w:color w:val="auto"/>
                      <w:sz w:val="21"/>
                      <w:szCs w:val="21"/>
                    </w:rPr>
                    <w:t>位于1#厂房南侧，建筑面积2562.6m</w:t>
                  </w:r>
                  <w:r>
                    <w:rPr>
                      <w:rFonts w:hint="eastAsia"/>
                      <w:color w:val="auto"/>
                      <w:sz w:val="21"/>
                      <w:szCs w:val="21"/>
                      <w:vertAlign w:val="superscript"/>
                    </w:rPr>
                    <w:t>2</w:t>
                  </w:r>
                  <w:r>
                    <w:rPr>
                      <w:rFonts w:hint="eastAsia"/>
                      <w:color w:val="auto"/>
                      <w:sz w:val="21"/>
                      <w:szCs w:val="21"/>
                    </w:rPr>
                    <w:t>，主要用于成品仓库</w:t>
                  </w:r>
                </w:p>
              </w:tc>
              <w:tc>
                <w:tcPr>
                  <w:tcW w:w="1022" w:type="pct"/>
                  <w:gridSpan w:val="2"/>
                  <w:tcBorders>
                    <w:tl2br w:val="nil"/>
                    <w:tr2bl w:val="nil"/>
                  </w:tcBorders>
                  <w:vAlign w:val="center"/>
                </w:tcPr>
                <w:p w14:paraId="28D24F9A">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w:t>
                  </w:r>
                </w:p>
              </w:tc>
              <w:tc>
                <w:tcPr>
                  <w:tcW w:w="1349" w:type="pct"/>
                  <w:tcBorders>
                    <w:tl2br w:val="nil"/>
                    <w:tr2bl w:val="nil"/>
                  </w:tcBorders>
                  <w:vAlign w:val="center"/>
                </w:tcPr>
                <w:p w14:paraId="4979972D">
                  <w:pPr>
                    <w:jc w:val="center"/>
                    <w:rPr>
                      <w:rFonts w:hint="eastAsia" w:ascii="Times New Roman" w:hAnsi="Times New Roman" w:eastAsia="宋体"/>
                      <w:caps w:val="0"/>
                      <w:color w:val="auto"/>
                      <w:kern w:val="21"/>
                      <w:sz w:val="21"/>
                      <w:szCs w:val="21"/>
                      <w:highlight w:val="none"/>
                    </w:rPr>
                  </w:pPr>
                  <w:r>
                    <w:rPr>
                      <w:rFonts w:hint="eastAsia"/>
                      <w:color w:val="auto"/>
                      <w:sz w:val="21"/>
                      <w:szCs w:val="21"/>
                    </w:rPr>
                    <w:t>位于1#厂房南侧，建筑面积2562.6m</w:t>
                  </w:r>
                  <w:r>
                    <w:rPr>
                      <w:rFonts w:hint="eastAsia"/>
                      <w:color w:val="auto"/>
                      <w:sz w:val="21"/>
                      <w:szCs w:val="21"/>
                      <w:vertAlign w:val="superscript"/>
                    </w:rPr>
                    <w:t>2</w:t>
                  </w:r>
                  <w:r>
                    <w:rPr>
                      <w:rFonts w:hint="eastAsia"/>
                      <w:color w:val="auto"/>
                      <w:sz w:val="21"/>
                      <w:szCs w:val="21"/>
                    </w:rPr>
                    <w:t>，主要用于成品仓库</w:t>
                  </w:r>
                </w:p>
              </w:tc>
              <w:tc>
                <w:tcPr>
                  <w:tcW w:w="539" w:type="pct"/>
                  <w:gridSpan w:val="2"/>
                  <w:tcBorders>
                    <w:tl2br w:val="nil"/>
                    <w:tr2bl w:val="nil"/>
                  </w:tcBorders>
                  <w:vAlign w:val="center"/>
                </w:tcPr>
                <w:p w14:paraId="1957C699">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不变</w:t>
                  </w:r>
                </w:p>
              </w:tc>
            </w:tr>
            <w:tr w14:paraId="3F13C0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759E454C">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0163100B">
                  <w:pPr>
                    <w:jc w:val="center"/>
                    <w:rPr>
                      <w:rFonts w:hint="eastAsia" w:ascii="Times New Roman" w:hAnsi="Times New Roman" w:eastAsia="宋体"/>
                      <w:caps w:val="0"/>
                      <w:color w:val="auto"/>
                      <w:kern w:val="21"/>
                      <w:sz w:val="21"/>
                      <w:szCs w:val="21"/>
                      <w:highlight w:val="none"/>
                    </w:rPr>
                  </w:pPr>
                  <w:r>
                    <w:rPr>
                      <w:rFonts w:hint="eastAsia"/>
                      <w:snapToGrid w:val="0"/>
                      <w:color w:val="auto"/>
                      <w:sz w:val="21"/>
                      <w:szCs w:val="21"/>
                    </w:rPr>
                    <w:t>9#厂房</w:t>
                  </w:r>
                </w:p>
              </w:tc>
              <w:tc>
                <w:tcPr>
                  <w:tcW w:w="1371" w:type="pct"/>
                  <w:gridSpan w:val="3"/>
                  <w:tcBorders>
                    <w:tl2br w:val="nil"/>
                    <w:tr2bl w:val="nil"/>
                  </w:tcBorders>
                  <w:vAlign w:val="center"/>
                </w:tcPr>
                <w:p w14:paraId="1D7F174D">
                  <w:pPr>
                    <w:jc w:val="center"/>
                    <w:rPr>
                      <w:rFonts w:hint="eastAsia" w:ascii="Times New Roman" w:hAnsi="Times New Roman" w:eastAsia="宋体"/>
                      <w:caps w:val="0"/>
                      <w:color w:val="auto"/>
                      <w:kern w:val="21"/>
                      <w:sz w:val="21"/>
                      <w:szCs w:val="21"/>
                      <w:highlight w:val="none"/>
                    </w:rPr>
                  </w:pPr>
                  <w:r>
                    <w:rPr>
                      <w:rFonts w:hint="eastAsia"/>
                      <w:color w:val="auto"/>
                      <w:sz w:val="21"/>
                      <w:szCs w:val="21"/>
                    </w:rPr>
                    <w:t>位于1#厂房东南侧，建筑面积4387.5m</w:t>
                  </w:r>
                  <w:r>
                    <w:rPr>
                      <w:rFonts w:hint="eastAsia"/>
                      <w:color w:val="auto"/>
                      <w:sz w:val="21"/>
                      <w:szCs w:val="21"/>
                      <w:vertAlign w:val="superscript"/>
                    </w:rPr>
                    <w:t>2</w:t>
                  </w:r>
                  <w:r>
                    <w:rPr>
                      <w:rFonts w:hint="eastAsia"/>
                      <w:color w:val="auto"/>
                      <w:sz w:val="21"/>
                      <w:szCs w:val="21"/>
                    </w:rPr>
                    <w:t>，对外租赁</w:t>
                  </w:r>
                </w:p>
              </w:tc>
              <w:tc>
                <w:tcPr>
                  <w:tcW w:w="1022" w:type="pct"/>
                  <w:gridSpan w:val="2"/>
                  <w:tcBorders>
                    <w:tl2br w:val="nil"/>
                    <w:tr2bl w:val="nil"/>
                  </w:tcBorders>
                  <w:vAlign w:val="center"/>
                </w:tcPr>
                <w:p w14:paraId="14C8AC20">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w:t>
                  </w:r>
                </w:p>
              </w:tc>
              <w:tc>
                <w:tcPr>
                  <w:tcW w:w="1349" w:type="pct"/>
                  <w:tcBorders>
                    <w:tl2br w:val="nil"/>
                    <w:tr2bl w:val="nil"/>
                  </w:tcBorders>
                  <w:vAlign w:val="center"/>
                </w:tcPr>
                <w:p w14:paraId="1E970052">
                  <w:pPr>
                    <w:jc w:val="center"/>
                    <w:rPr>
                      <w:rFonts w:hint="eastAsia" w:ascii="Times New Roman" w:hAnsi="Times New Roman" w:eastAsia="宋体"/>
                      <w:caps w:val="0"/>
                      <w:color w:val="auto"/>
                      <w:kern w:val="21"/>
                      <w:sz w:val="21"/>
                      <w:szCs w:val="21"/>
                      <w:highlight w:val="none"/>
                    </w:rPr>
                  </w:pPr>
                  <w:r>
                    <w:rPr>
                      <w:rFonts w:hint="eastAsia"/>
                      <w:color w:val="auto"/>
                      <w:sz w:val="21"/>
                      <w:szCs w:val="21"/>
                    </w:rPr>
                    <w:t>位于1#厂房东南侧，建筑面积4387.5m</w:t>
                  </w:r>
                  <w:r>
                    <w:rPr>
                      <w:rFonts w:hint="eastAsia"/>
                      <w:color w:val="auto"/>
                      <w:sz w:val="21"/>
                      <w:szCs w:val="21"/>
                      <w:vertAlign w:val="superscript"/>
                    </w:rPr>
                    <w:t>2</w:t>
                  </w:r>
                  <w:r>
                    <w:rPr>
                      <w:rFonts w:hint="eastAsia"/>
                      <w:color w:val="auto"/>
                      <w:sz w:val="21"/>
                      <w:szCs w:val="21"/>
                    </w:rPr>
                    <w:t>，对外租赁</w:t>
                  </w:r>
                </w:p>
              </w:tc>
              <w:tc>
                <w:tcPr>
                  <w:tcW w:w="539" w:type="pct"/>
                  <w:gridSpan w:val="2"/>
                  <w:tcBorders>
                    <w:tl2br w:val="nil"/>
                    <w:tr2bl w:val="nil"/>
                  </w:tcBorders>
                  <w:vAlign w:val="center"/>
                </w:tcPr>
                <w:p w14:paraId="7A5B91B3">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不变</w:t>
                  </w:r>
                </w:p>
              </w:tc>
            </w:tr>
            <w:tr w14:paraId="3921D3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4E23015F">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06918ADB">
                  <w:pPr>
                    <w:jc w:val="center"/>
                    <w:rPr>
                      <w:rFonts w:hint="eastAsia" w:ascii="Times New Roman" w:hAnsi="Times New Roman" w:eastAsia="宋体"/>
                      <w:caps w:val="0"/>
                      <w:color w:val="auto"/>
                      <w:kern w:val="21"/>
                      <w:sz w:val="21"/>
                      <w:szCs w:val="21"/>
                      <w:highlight w:val="none"/>
                    </w:rPr>
                  </w:pPr>
                  <w:r>
                    <w:rPr>
                      <w:rFonts w:hint="eastAsia"/>
                      <w:snapToGrid w:val="0"/>
                      <w:color w:val="auto"/>
                      <w:sz w:val="21"/>
                      <w:szCs w:val="21"/>
                      <w:lang w:val="en-US" w:eastAsia="zh-CN"/>
                    </w:rPr>
                    <w:t>10</w:t>
                  </w:r>
                  <w:r>
                    <w:rPr>
                      <w:rFonts w:hint="eastAsia"/>
                      <w:snapToGrid w:val="0"/>
                      <w:color w:val="auto"/>
                      <w:sz w:val="21"/>
                      <w:szCs w:val="21"/>
                    </w:rPr>
                    <w:t>#厂房</w:t>
                  </w:r>
                </w:p>
              </w:tc>
              <w:tc>
                <w:tcPr>
                  <w:tcW w:w="1371" w:type="pct"/>
                  <w:gridSpan w:val="3"/>
                  <w:tcBorders>
                    <w:tl2br w:val="nil"/>
                    <w:tr2bl w:val="nil"/>
                  </w:tcBorders>
                  <w:vAlign w:val="center"/>
                </w:tcPr>
                <w:p w14:paraId="22CA88C3">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w:t>
                  </w:r>
                </w:p>
              </w:tc>
              <w:tc>
                <w:tcPr>
                  <w:tcW w:w="1022" w:type="pct"/>
                  <w:gridSpan w:val="2"/>
                  <w:tcBorders>
                    <w:tl2br w:val="nil"/>
                    <w:tr2bl w:val="nil"/>
                  </w:tcBorders>
                  <w:vAlign w:val="center"/>
                </w:tcPr>
                <w:p w14:paraId="225DD010">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新增，位于6#厂房东侧，建筑面积为9528</w:t>
                  </w:r>
                  <w:r>
                    <w:rPr>
                      <w:rFonts w:hint="eastAsia"/>
                      <w:color w:val="auto"/>
                      <w:sz w:val="21"/>
                      <w:szCs w:val="21"/>
                    </w:rPr>
                    <w:t>m</w:t>
                  </w:r>
                  <w:r>
                    <w:rPr>
                      <w:rFonts w:hint="eastAsia"/>
                      <w:color w:val="auto"/>
                      <w:sz w:val="21"/>
                      <w:szCs w:val="21"/>
                      <w:vertAlign w:val="superscript"/>
                    </w:rPr>
                    <w:t>2</w:t>
                  </w:r>
                  <w:r>
                    <w:rPr>
                      <w:rFonts w:hint="eastAsia"/>
                      <w:color w:val="auto"/>
                      <w:sz w:val="21"/>
                      <w:szCs w:val="21"/>
                    </w:rPr>
                    <w:t>，</w:t>
                  </w:r>
                  <w:r>
                    <w:rPr>
                      <w:rFonts w:hint="eastAsia"/>
                      <w:color w:val="auto"/>
                      <w:sz w:val="21"/>
                      <w:szCs w:val="21"/>
                      <w:lang w:val="en-US" w:eastAsia="zh-CN"/>
                    </w:rPr>
                    <w:t>1F、2F为注塑区，3F、4F为装配区，新增年产20万套高压线束</w:t>
                  </w:r>
                </w:p>
              </w:tc>
              <w:tc>
                <w:tcPr>
                  <w:tcW w:w="1349" w:type="pct"/>
                  <w:tcBorders>
                    <w:tl2br w:val="nil"/>
                    <w:tr2bl w:val="nil"/>
                  </w:tcBorders>
                  <w:vAlign w:val="center"/>
                </w:tcPr>
                <w:p w14:paraId="4F5C9BF4">
                  <w:pPr>
                    <w:spacing w:line="340" w:lineRule="exact"/>
                    <w:jc w:val="center"/>
                    <w:rPr>
                      <w:rFonts w:hint="eastAsia" w:ascii="Times New Roman" w:hAnsi="Times New Roman" w:eastAsia="宋体"/>
                      <w:caps w:val="0"/>
                      <w:color w:val="auto"/>
                      <w:kern w:val="21"/>
                      <w:sz w:val="21"/>
                      <w:szCs w:val="21"/>
                      <w:highlight w:val="none"/>
                    </w:rPr>
                  </w:pPr>
                  <w:r>
                    <w:rPr>
                      <w:rFonts w:hint="eastAsia"/>
                      <w:caps w:val="0"/>
                      <w:color w:val="auto"/>
                      <w:kern w:val="21"/>
                      <w:sz w:val="21"/>
                      <w:szCs w:val="21"/>
                      <w:highlight w:val="none"/>
                      <w:lang w:val="en-US" w:eastAsia="zh-CN"/>
                    </w:rPr>
                    <w:t>位于6#厂房东侧，建筑面积为9528</w:t>
                  </w:r>
                  <w:r>
                    <w:rPr>
                      <w:rFonts w:hint="eastAsia"/>
                      <w:color w:val="auto"/>
                      <w:sz w:val="21"/>
                      <w:szCs w:val="21"/>
                    </w:rPr>
                    <w:t>m</w:t>
                  </w:r>
                  <w:r>
                    <w:rPr>
                      <w:rFonts w:hint="eastAsia"/>
                      <w:color w:val="auto"/>
                      <w:sz w:val="21"/>
                      <w:szCs w:val="21"/>
                      <w:vertAlign w:val="superscript"/>
                    </w:rPr>
                    <w:t>2</w:t>
                  </w:r>
                  <w:r>
                    <w:rPr>
                      <w:rFonts w:hint="eastAsia"/>
                      <w:color w:val="auto"/>
                      <w:sz w:val="21"/>
                      <w:szCs w:val="21"/>
                    </w:rPr>
                    <w:t>，</w:t>
                  </w:r>
                  <w:r>
                    <w:rPr>
                      <w:rFonts w:hint="eastAsia"/>
                      <w:color w:val="auto"/>
                      <w:sz w:val="21"/>
                      <w:szCs w:val="21"/>
                      <w:lang w:val="en-US" w:eastAsia="zh-CN"/>
                    </w:rPr>
                    <w:t>1F、2F为注塑区，3F、4F为装配区，新增年产20万套高压线束</w:t>
                  </w:r>
                </w:p>
              </w:tc>
              <w:tc>
                <w:tcPr>
                  <w:tcW w:w="539" w:type="pct"/>
                  <w:gridSpan w:val="2"/>
                  <w:tcBorders>
                    <w:tl2br w:val="nil"/>
                    <w:tr2bl w:val="nil"/>
                  </w:tcBorders>
                  <w:vAlign w:val="center"/>
                </w:tcPr>
                <w:p w14:paraId="01C2B5F8">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新增</w:t>
                  </w:r>
                </w:p>
              </w:tc>
            </w:tr>
            <w:tr w14:paraId="33CC203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6B1CED46">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6B8A7790">
                  <w:pPr>
                    <w:jc w:val="center"/>
                    <w:rPr>
                      <w:rFonts w:hint="eastAsia" w:ascii="Times New Roman" w:hAnsi="Times New Roman" w:eastAsia="宋体"/>
                      <w:caps w:val="0"/>
                      <w:color w:val="auto"/>
                      <w:kern w:val="21"/>
                      <w:sz w:val="21"/>
                      <w:szCs w:val="21"/>
                      <w:highlight w:val="none"/>
                    </w:rPr>
                  </w:pPr>
                  <w:r>
                    <w:rPr>
                      <w:rFonts w:hint="eastAsia"/>
                      <w:snapToGrid w:val="0"/>
                      <w:color w:val="auto"/>
                      <w:sz w:val="21"/>
                      <w:szCs w:val="21"/>
                      <w:lang w:val="en-US" w:eastAsia="zh-CN"/>
                    </w:rPr>
                    <w:t>11</w:t>
                  </w:r>
                  <w:r>
                    <w:rPr>
                      <w:rFonts w:hint="eastAsia"/>
                      <w:snapToGrid w:val="0"/>
                      <w:color w:val="auto"/>
                      <w:sz w:val="21"/>
                      <w:szCs w:val="21"/>
                    </w:rPr>
                    <w:t>#厂房</w:t>
                  </w:r>
                </w:p>
              </w:tc>
              <w:tc>
                <w:tcPr>
                  <w:tcW w:w="1371" w:type="pct"/>
                  <w:gridSpan w:val="3"/>
                  <w:tcBorders>
                    <w:tl2br w:val="nil"/>
                    <w:tr2bl w:val="nil"/>
                  </w:tcBorders>
                  <w:vAlign w:val="center"/>
                </w:tcPr>
                <w:p w14:paraId="0FCFE37A">
                  <w:pPr>
                    <w:spacing w:line="340" w:lineRule="exact"/>
                    <w:jc w:val="center"/>
                    <w:rPr>
                      <w:rFonts w:hint="eastAsia"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w:t>
                  </w:r>
                </w:p>
              </w:tc>
              <w:tc>
                <w:tcPr>
                  <w:tcW w:w="1022" w:type="pct"/>
                  <w:gridSpan w:val="2"/>
                  <w:tcBorders>
                    <w:tl2br w:val="nil"/>
                    <w:tr2bl w:val="nil"/>
                  </w:tcBorders>
                  <w:vAlign w:val="center"/>
                </w:tcPr>
                <w:p w14:paraId="39CB73DD">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新增，位于厂区东侧，</w:t>
                  </w:r>
                  <w:r>
                    <w:rPr>
                      <w:rFonts w:hint="eastAsia"/>
                      <w:color w:val="auto"/>
                      <w:sz w:val="21"/>
                      <w:szCs w:val="21"/>
                      <w:lang w:val="en-US" w:eastAsia="zh-CN"/>
                    </w:rPr>
                    <w:t>1F为办公区，2F、3F、4F为仓库，</w:t>
                  </w:r>
                  <w:r>
                    <w:rPr>
                      <w:rFonts w:hint="eastAsia"/>
                      <w:caps w:val="0"/>
                      <w:color w:val="auto"/>
                      <w:kern w:val="21"/>
                      <w:sz w:val="21"/>
                      <w:szCs w:val="21"/>
                      <w:highlight w:val="none"/>
                      <w:lang w:val="en-US" w:eastAsia="zh-CN"/>
                    </w:rPr>
                    <w:t>建筑面积为4729.73</w:t>
                  </w:r>
                  <w:r>
                    <w:rPr>
                      <w:rFonts w:hint="eastAsia"/>
                      <w:color w:val="auto"/>
                      <w:sz w:val="21"/>
                      <w:szCs w:val="21"/>
                    </w:rPr>
                    <w:t>m</w:t>
                  </w:r>
                  <w:r>
                    <w:rPr>
                      <w:rFonts w:hint="eastAsia"/>
                      <w:color w:val="auto"/>
                      <w:sz w:val="21"/>
                      <w:szCs w:val="21"/>
                      <w:vertAlign w:val="superscript"/>
                    </w:rPr>
                    <w:t>2</w:t>
                  </w:r>
                </w:p>
              </w:tc>
              <w:tc>
                <w:tcPr>
                  <w:tcW w:w="1349" w:type="pct"/>
                  <w:tcBorders>
                    <w:tl2br w:val="nil"/>
                    <w:tr2bl w:val="nil"/>
                  </w:tcBorders>
                  <w:vAlign w:val="center"/>
                </w:tcPr>
                <w:p w14:paraId="3F07F944">
                  <w:pPr>
                    <w:spacing w:line="340" w:lineRule="exact"/>
                    <w:jc w:val="center"/>
                    <w:rPr>
                      <w:rFonts w:hint="eastAsia" w:ascii="Times New Roman" w:hAnsi="Times New Roman" w:eastAsia="宋体"/>
                      <w:caps w:val="0"/>
                      <w:color w:val="auto"/>
                      <w:kern w:val="21"/>
                      <w:sz w:val="21"/>
                      <w:szCs w:val="21"/>
                      <w:highlight w:val="none"/>
                    </w:rPr>
                  </w:pPr>
                  <w:r>
                    <w:rPr>
                      <w:rFonts w:hint="eastAsia"/>
                      <w:caps w:val="0"/>
                      <w:color w:val="auto"/>
                      <w:kern w:val="21"/>
                      <w:sz w:val="21"/>
                      <w:szCs w:val="21"/>
                      <w:highlight w:val="none"/>
                      <w:lang w:val="en-US" w:eastAsia="zh-CN"/>
                    </w:rPr>
                    <w:t>位于厂区东侧，</w:t>
                  </w:r>
                  <w:r>
                    <w:rPr>
                      <w:rFonts w:hint="eastAsia"/>
                      <w:color w:val="auto"/>
                      <w:sz w:val="21"/>
                      <w:szCs w:val="21"/>
                      <w:lang w:val="en-US" w:eastAsia="zh-CN"/>
                    </w:rPr>
                    <w:t>1F为办公区，2F、3F、4F为仓库，</w:t>
                  </w:r>
                  <w:r>
                    <w:rPr>
                      <w:rFonts w:hint="eastAsia"/>
                      <w:caps w:val="0"/>
                      <w:color w:val="auto"/>
                      <w:kern w:val="21"/>
                      <w:sz w:val="21"/>
                      <w:szCs w:val="21"/>
                      <w:highlight w:val="none"/>
                      <w:lang w:val="en-US" w:eastAsia="zh-CN"/>
                    </w:rPr>
                    <w:t>建筑面积为4729.73</w:t>
                  </w:r>
                  <w:r>
                    <w:rPr>
                      <w:rFonts w:hint="eastAsia"/>
                      <w:color w:val="auto"/>
                      <w:sz w:val="21"/>
                      <w:szCs w:val="21"/>
                    </w:rPr>
                    <w:t>m</w:t>
                  </w:r>
                  <w:r>
                    <w:rPr>
                      <w:rFonts w:hint="eastAsia"/>
                      <w:color w:val="auto"/>
                      <w:sz w:val="21"/>
                      <w:szCs w:val="21"/>
                      <w:vertAlign w:val="superscript"/>
                    </w:rPr>
                    <w:t>2</w:t>
                  </w:r>
                </w:p>
              </w:tc>
              <w:tc>
                <w:tcPr>
                  <w:tcW w:w="539" w:type="pct"/>
                  <w:gridSpan w:val="2"/>
                  <w:tcBorders>
                    <w:tl2br w:val="nil"/>
                    <w:tr2bl w:val="nil"/>
                  </w:tcBorders>
                  <w:vAlign w:val="center"/>
                </w:tcPr>
                <w:p w14:paraId="73A2BE06">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新增</w:t>
                  </w:r>
                </w:p>
              </w:tc>
            </w:tr>
            <w:tr w14:paraId="651587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083" w:hRule="atLeast"/>
                <w:jc w:val="center"/>
              </w:trPr>
              <w:tc>
                <w:tcPr>
                  <w:tcW w:w="294" w:type="pct"/>
                  <w:gridSpan w:val="2"/>
                  <w:tcBorders>
                    <w:tl2br w:val="nil"/>
                    <w:tr2bl w:val="nil"/>
                  </w:tcBorders>
                  <w:vAlign w:val="center"/>
                </w:tcPr>
                <w:p w14:paraId="4534FC61">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辅助工程</w:t>
                  </w:r>
                </w:p>
              </w:tc>
              <w:tc>
                <w:tcPr>
                  <w:tcW w:w="422" w:type="pct"/>
                  <w:gridSpan w:val="2"/>
                  <w:tcBorders>
                    <w:tl2br w:val="nil"/>
                    <w:tr2bl w:val="nil"/>
                  </w:tcBorders>
                  <w:vAlign w:val="center"/>
                </w:tcPr>
                <w:p w14:paraId="681FBBB2">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办公楼</w:t>
                  </w:r>
                </w:p>
              </w:tc>
              <w:tc>
                <w:tcPr>
                  <w:tcW w:w="1371" w:type="pct"/>
                  <w:gridSpan w:val="3"/>
                  <w:tcBorders>
                    <w:tl2br w:val="nil"/>
                    <w:tr2bl w:val="nil"/>
                  </w:tcBorders>
                  <w:vAlign w:val="center"/>
                </w:tcPr>
                <w:p w14:paraId="1ADEBECC">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位于1#厂房西北侧，建筑面积3540m</w:t>
                  </w:r>
                  <w:r>
                    <w:rPr>
                      <w:rFonts w:hint="eastAsia" w:ascii="Times New Roman" w:hAnsi="Times New Roman" w:eastAsia="宋体"/>
                      <w:caps w:val="0"/>
                      <w:color w:val="auto"/>
                      <w:kern w:val="21"/>
                      <w:sz w:val="21"/>
                      <w:szCs w:val="21"/>
                      <w:highlight w:val="none"/>
                      <w:vertAlign w:val="superscript"/>
                    </w:rPr>
                    <w:t>2</w:t>
                  </w:r>
                  <w:r>
                    <w:rPr>
                      <w:rFonts w:hint="eastAsia" w:ascii="Times New Roman" w:hAnsi="Times New Roman" w:eastAsia="宋体"/>
                      <w:caps w:val="0"/>
                      <w:color w:val="auto"/>
                      <w:kern w:val="21"/>
                      <w:sz w:val="21"/>
                      <w:szCs w:val="21"/>
                      <w:highlight w:val="none"/>
                    </w:rPr>
                    <w:t>，用于办公、会议室等</w:t>
                  </w:r>
                </w:p>
              </w:tc>
              <w:tc>
                <w:tcPr>
                  <w:tcW w:w="1022" w:type="pct"/>
                  <w:gridSpan w:val="2"/>
                  <w:tcBorders>
                    <w:tl2br w:val="nil"/>
                    <w:tr2bl w:val="nil"/>
                  </w:tcBorders>
                  <w:vAlign w:val="center"/>
                </w:tcPr>
                <w:p w14:paraId="1768F9C2">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ascii="Times New Roman" w:hAnsi="Times New Roman" w:eastAsia="宋体"/>
                      <w:caps w:val="0"/>
                      <w:color w:val="auto"/>
                      <w:kern w:val="21"/>
                      <w:sz w:val="21"/>
                      <w:szCs w:val="21"/>
                      <w:highlight w:val="none"/>
                      <w:lang w:val="en-US" w:eastAsia="zh-CN"/>
                    </w:rPr>
                    <w:t>依托现有</w:t>
                  </w:r>
                </w:p>
              </w:tc>
              <w:tc>
                <w:tcPr>
                  <w:tcW w:w="1349" w:type="pct"/>
                  <w:tcBorders>
                    <w:tl2br w:val="nil"/>
                    <w:tr2bl w:val="nil"/>
                  </w:tcBorders>
                  <w:vAlign w:val="center"/>
                </w:tcPr>
                <w:p w14:paraId="3850AADA">
                  <w:pPr>
                    <w:spacing w:line="340" w:lineRule="exact"/>
                    <w:jc w:val="center"/>
                    <w:rPr>
                      <w:rFonts w:ascii="Times New Roman" w:hAnsi="Times New Roman" w:eastAsia="宋体"/>
                      <w:caps w:val="0"/>
                      <w:color w:val="auto"/>
                      <w:kern w:val="21"/>
                      <w:sz w:val="21"/>
                      <w:szCs w:val="21"/>
                      <w:highlight w:val="none"/>
                    </w:rPr>
                  </w:pPr>
                  <w:r>
                    <w:rPr>
                      <w:rFonts w:hint="eastAsia"/>
                      <w:color w:val="auto"/>
                      <w:sz w:val="21"/>
                      <w:szCs w:val="21"/>
                    </w:rPr>
                    <w:t>位于1#厂房西北侧，建筑面积3540m</w:t>
                  </w:r>
                  <w:r>
                    <w:rPr>
                      <w:rFonts w:hint="eastAsia"/>
                      <w:color w:val="auto"/>
                      <w:sz w:val="21"/>
                      <w:szCs w:val="21"/>
                      <w:vertAlign w:val="superscript"/>
                    </w:rPr>
                    <w:t>2</w:t>
                  </w:r>
                  <w:r>
                    <w:rPr>
                      <w:rFonts w:hint="eastAsia"/>
                      <w:color w:val="auto"/>
                      <w:sz w:val="21"/>
                      <w:szCs w:val="21"/>
                    </w:rPr>
                    <w:t>，用于办公、会议室等</w:t>
                  </w:r>
                </w:p>
              </w:tc>
              <w:tc>
                <w:tcPr>
                  <w:tcW w:w="539" w:type="pct"/>
                  <w:gridSpan w:val="2"/>
                  <w:tcBorders>
                    <w:tl2br w:val="nil"/>
                    <w:tr2bl w:val="nil"/>
                  </w:tcBorders>
                  <w:vAlign w:val="center"/>
                </w:tcPr>
                <w:p w14:paraId="0FECAF2E">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lang w:val="en-US" w:eastAsia="zh-CN"/>
                    </w:rPr>
                    <w:t>依托现有</w:t>
                  </w:r>
                </w:p>
              </w:tc>
            </w:tr>
            <w:tr w14:paraId="5E35FFB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restart"/>
                  <w:tcBorders>
                    <w:tl2br w:val="nil"/>
                    <w:tr2bl w:val="nil"/>
                  </w:tcBorders>
                  <w:vAlign w:val="center"/>
                </w:tcPr>
                <w:p w14:paraId="420994CA">
                  <w:pPr>
                    <w:spacing w:line="340" w:lineRule="exact"/>
                    <w:rPr>
                      <w:rFonts w:ascii="Times New Roman" w:hAnsi="Times New Roman" w:eastAsia="宋体"/>
                      <w:caps w:val="0"/>
                      <w:color w:val="auto"/>
                      <w:kern w:val="21"/>
                      <w:sz w:val="21"/>
                      <w:szCs w:val="21"/>
                      <w:highlight w:val="none"/>
                    </w:rPr>
                  </w:pPr>
                  <w:r>
                    <w:rPr>
                      <w:rFonts w:ascii="Times New Roman" w:hAnsi="Times New Roman" w:eastAsia="宋体"/>
                      <w:caps w:val="0"/>
                      <w:color w:val="auto"/>
                      <w:kern w:val="21"/>
                      <w:sz w:val="21"/>
                      <w:szCs w:val="21"/>
                      <w:highlight w:val="none"/>
                    </w:rPr>
                    <w:t>储运工程</w:t>
                  </w:r>
                </w:p>
              </w:tc>
              <w:tc>
                <w:tcPr>
                  <w:tcW w:w="422" w:type="pct"/>
                  <w:gridSpan w:val="2"/>
                  <w:tcBorders>
                    <w:tl2br w:val="nil"/>
                    <w:tr2bl w:val="nil"/>
                  </w:tcBorders>
                  <w:vAlign w:val="center"/>
                </w:tcPr>
                <w:p w14:paraId="37CBB237">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原材料库</w:t>
                  </w:r>
                </w:p>
              </w:tc>
              <w:tc>
                <w:tcPr>
                  <w:tcW w:w="1371" w:type="pct"/>
                  <w:gridSpan w:val="3"/>
                  <w:tcBorders>
                    <w:tl2br w:val="nil"/>
                    <w:tr2bl w:val="nil"/>
                  </w:tcBorders>
                  <w:vAlign w:val="center"/>
                </w:tcPr>
                <w:p w14:paraId="2865DFE8">
                  <w:pPr>
                    <w:pStyle w:val="31"/>
                    <w:jc w:val="center"/>
                    <w:rPr>
                      <w:rFonts w:ascii="Times New Roman" w:hAnsi="Times New Roman" w:eastAsia="宋体"/>
                      <w:caps w:val="0"/>
                      <w:color w:val="auto"/>
                      <w:kern w:val="21"/>
                      <w:sz w:val="21"/>
                      <w:szCs w:val="21"/>
                      <w:highlight w:val="none"/>
                    </w:rPr>
                  </w:pPr>
                  <w:r>
                    <w:rPr>
                      <w:rFonts w:hint="eastAsia" w:ascii="Times New Roman" w:cs="Times New Roman"/>
                      <w:color w:val="auto"/>
                      <w:sz w:val="21"/>
                      <w:szCs w:val="21"/>
                    </w:rPr>
                    <w:t>位于1#厂房</w:t>
                  </w:r>
                </w:p>
              </w:tc>
              <w:tc>
                <w:tcPr>
                  <w:tcW w:w="1022" w:type="pct"/>
                  <w:gridSpan w:val="2"/>
                  <w:tcBorders>
                    <w:tl2br w:val="nil"/>
                    <w:tr2bl w:val="nil"/>
                  </w:tcBorders>
                  <w:vAlign w:val="center"/>
                </w:tcPr>
                <w:p w14:paraId="34BD442A">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ascii="Times New Roman" w:hAnsi="Times New Roman" w:eastAsia="宋体"/>
                      <w:caps w:val="0"/>
                      <w:color w:val="auto"/>
                      <w:kern w:val="21"/>
                      <w:sz w:val="21"/>
                      <w:szCs w:val="21"/>
                      <w:highlight w:val="none"/>
                      <w:lang w:val="en-US" w:eastAsia="zh-CN"/>
                    </w:rPr>
                    <w:t>依托现有</w:t>
                  </w:r>
                </w:p>
              </w:tc>
              <w:tc>
                <w:tcPr>
                  <w:tcW w:w="1349" w:type="pct"/>
                  <w:tcBorders>
                    <w:tl2br w:val="nil"/>
                    <w:tr2bl w:val="nil"/>
                  </w:tcBorders>
                  <w:vAlign w:val="center"/>
                </w:tcPr>
                <w:p w14:paraId="7A3BB09D">
                  <w:pPr>
                    <w:pStyle w:val="31"/>
                    <w:jc w:val="center"/>
                    <w:rPr>
                      <w:rFonts w:hint="default" w:ascii="Times New Roman" w:hAnsi="Times New Roman" w:eastAsia="宋体"/>
                      <w:caps w:val="0"/>
                      <w:color w:val="auto"/>
                      <w:kern w:val="21"/>
                      <w:sz w:val="21"/>
                      <w:szCs w:val="21"/>
                      <w:highlight w:val="none"/>
                      <w:lang w:val="en-US" w:eastAsia="zh-CN"/>
                    </w:rPr>
                  </w:pPr>
                  <w:r>
                    <w:rPr>
                      <w:rFonts w:hint="eastAsia" w:ascii="Times New Roman" w:cs="Times New Roman"/>
                      <w:color w:val="auto"/>
                      <w:sz w:val="21"/>
                      <w:szCs w:val="21"/>
                    </w:rPr>
                    <w:t>位于1#厂房</w:t>
                  </w:r>
                </w:p>
              </w:tc>
              <w:tc>
                <w:tcPr>
                  <w:tcW w:w="539" w:type="pct"/>
                  <w:gridSpan w:val="2"/>
                  <w:tcBorders>
                    <w:tl2br w:val="nil"/>
                    <w:tr2bl w:val="nil"/>
                  </w:tcBorders>
                  <w:vAlign w:val="center"/>
                </w:tcPr>
                <w:p w14:paraId="065C08F5">
                  <w:pPr>
                    <w:spacing w:line="340" w:lineRule="exact"/>
                    <w:jc w:val="center"/>
                    <w:rPr>
                      <w:rFonts w:hint="eastAsia" w:ascii="Times New Roman" w:hAnsi="Times New Roman" w:eastAsia="宋体"/>
                      <w:caps w:val="0"/>
                      <w:color w:val="auto"/>
                      <w:kern w:val="21"/>
                      <w:sz w:val="21"/>
                      <w:szCs w:val="21"/>
                      <w:highlight w:val="none"/>
                      <w:lang w:eastAsia="zh-CN"/>
                    </w:rPr>
                  </w:pPr>
                  <w:r>
                    <w:rPr>
                      <w:rFonts w:hint="eastAsia" w:ascii="Times New Roman" w:hAnsi="Times New Roman" w:eastAsia="宋体"/>
                      <w:caps w:val="0"/>
                      <w:color w:val="auto"/>
                      <w:kern w:val="21"/>
                      <w:sz w:val="21"/>
                      <w:szCs w:val="21"/>
                      <w:highlight w:val="none"/>
                      <w:lang w:val="en-US" w:eastAsia="zh-CN"/>
                    </w:rPr>
                    <w:t>依托现有</w:t>
                  </w:r>
                </w:p>
              </w:tc>
            </w:tr>
            <w:tr w14:paraId="182C80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01B963F5">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791F36F5">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成品库</w:t>
                  </w:r>
                </w:p>
              </w:tc>
              <w:tc>
                <w:tcPr>
                  <w:tcW w:w="1371" w:type="pct"/>
                  <w:gridSpan w:val="3"/>
                  <w:tcBorders>
                    <w:tl2br w:val="nil"/>
                    <w:tr2bl w:val="nil"/>
                  </w:tcBorders>
                  <w:vAlign w:val="center"/>
                </w:tcPr>
                <w:p w14:paraId="0D404553">
                  <w:pPr>
                    <w:pStyle w:val="31"/>
                    <w:jc w:val="center"/>
                    <w:rPr>
                      <w:rFonts w:ascii="Times New Roman" w:hAnsi="Times New Roman" w:eastAsia="宋体"/>
                      <w:caps w:val="0"/>
                      <w:color w:val="auto"/>
                      <w:kern w:val="21"/>
                      <w:sz w:val="21"/>
                      <w:szCs w:val="21"/>
                      <w:highlight w:val="none"/>
                    </w:rPr>
                  </w:pPr>
                  <w:r>
                    <w:rPr>
                      <w:rFonts w:hint="eastAsia" w:ascii="Times New Roman" w:cs="Times New Roman"/>
                      <w:color w:val="auto"/>
                      <w:sz w:val="21"/>
                      <w:szCs w:val="21"/>
                    </w:rPr>
                    <w:t>位于厂区</w:t>
                  </w:r>
                  <w:r>
                    <w:rPr>
                      <w:rFonts w:ascii="Times New Roman" w:cs="Times New Roman"/>
                      <w:color w:val="auto"/>
                      <w:sz w:val="21"/>
                      <w:szCs w:val="21"/>
                    </w:rPr>
                    <w:t>8</w:t>
                  </w:r>
                  <w:r>
                    <w:rPr>
                      <w:rFonts w:hint="eastAsia" w:ascii="Times New Roman" w:cs="Times New Roman"/>
                      <w:color w:val="auto"/>
                      <w:sz w:val="21"/>
                      <w:szCs w:val="21"/>
                    </w:rPr>
                    <w:t>#车间，用于存放成品</w:t>
                  </w:r>
                </w:p>
              </w:tc>
              <w:tc>
                <w:tcPr>
                  <w:tcW w:w="1022" w:type="pct"/>
                  <w:gridSpan w:val="2"/>
                  <w:tcBorders>
                    <w:tl2br w:val="nil"/>
                    <w:tr2bl w:val="nil"/>
                  </w:tcBorders>
                  <w:vAlign w:val="center"/>
                </w:tcPr>
                <w:p w14:paraId="71D64391">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lang w:val="en-US" w:eastAsia="zh-CN"/>
                    </w:rPr>
                    <w:t>依托现有</w:t>
                  </w:r>
                </w:p>
              </w:tc>
              <w:tc>
                <w:tcPr>
                  <w:tcW w:w="1349" w:type="pct"/>
                  <w:tcBorders>
                    <w:tl2br w:val="nil"/>
                    <w:tr2bl w:val="nil"/>
                  </w:tcBorders>
                  <w:vAlign w:val="center"/>
                </w:tcPr>
                <w:p w14:paraId="5F9EE967">
                  <w:pPr>
                    <w:pStyle w:val="31"/>
                    <w:jc w:val="center"/>
                    <w:rPr>
                      <w:rFonts w:ascii="Times New Roman" w:hAnsi="Times New Roman" w:eastAsia="宋体"/>
                      <w:caps w:val="0"/>
                      <w:color w:val="auto"/>
                      <w:kern w:val="21"/>
                      <w:sz w:val="21"/>
                      <w:szCs w:val="21"/>
                      <w:highlight w:val="none"/>
                    </w:rPr>
                  </w:pPr>
                  <w:r>
                    <w:rPr>
                      <w:rFonts w:hint="eastAsia" w:ascii="Times New Roman" w:cs="Times New Roman"/>
                      <w:color w:val="auto"/>
                      <w:sz w:val="21"/>
                      <w:szCs w:val="21"/>
                    </w:rPr>
                    <w:t>位于厂区</w:t>
                  </w:r>
                  <w:r>
                    <w:rPr>
                      <w:rFonts w:ascii="Times New Roman" w:cs="Times New Roman"/>
                      <w:color w:val="auto"/>
                      <w:sz w:val="21"/>
                      <w:szCs w:val="21"/>
                    </w:rPr>
                    <w:t>8</w:t>
                  </w:r>
                  <w:r>
                    <w:rPr>
                      <w:rFonts w:hint="eastAsia" w:ascii="Times New Roman" w:cs="Times New Roman"/>
                      <w:color w:val="auto"/>
                      <w:sz w:val="21"/>
                      <w:szCs w:val="21"/>
                    </w:rPr>
                    <w:t>#车间，用于存放成品</w:t>
                  </w:r>
                </w:p>
              </w:tc>
              <w:tc>
                <w:tcPr>
                  <w:tcW w:w="539" w:type="pct"/>
                  <w:gridSpan w:val="2"/>
                  <w:tcBorders>
                    <w:tl2br w:val="nil"/>
                    <w:tr2bl w:val="nil"/>
                  </w:tcBorders>
                  <w:vAlign w:val="center"/>
                </w:tcPr>
                <w:p w14:paraId="0A4115B4">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lang w:val="en-US" w:eastAsia="zh-CN"/>
                    </w:rPr>
                    <w:t>依托现有</w:t>
                  </w:r>
                </w:p>
              </w:tc>
            </w:tr>
            <w:tr w14:paraId="436D458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restart"/>
                  <w:tcBorders>
                    <w:tl2br w:val="nil"/>
                    <w:tr2bl w:val="nil"/>
                  </w:tcBorders>
                  <w:vAlign w:val="center"/>
                </w:tcPr>
                <w:p w14:paraId="38502DA7">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kern w:val="21"/>
                      <w:sz w:val="21"/>
                      <w:szCs w:val="21"/>
                      <w:highlight w:val="none"/>
                    </w:rPr>
                    <w:t>公用工程</w:t>
                  </w:r>
                </w:p>
              </w:tc>
              <w:tc>
                <w:tcPr>
                  <w:tcW w:w="422" w:type="pct"/>
                  <w:gridSpan w:val="2"/>
                  <w:tcBorders>
                    <w:tl2br w:val="nil"/>
                    <w:tr2bl w:val="nil"/>
                  </w:tcBorders>
                  <w:vAlign w:val="center"/>
                </w:tcPr>
                <w:p w14:paraId="7E8A385C">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kern w:val="21"/>
                      <w:sz w:val="21"/>
                      <w:szCs w:val="21"/>
                      <w:highlight w:val="none"/>
                    </w:rPr>
                    <w:t>供水</w:t>
                  </w:r>
                </w:p>
              </w:tc>
              <w:tc>
                <w:tcPr>
                  <w:tcW w:w="1371" w:type="pct"/>
                  <w:gridSpan w:val="3"/>
                  <w:tcBorders>
                    <w:tl2br w:val="nil"/>
                    <w:tr2bl w:val="nil"/>
                  </w:tcBorders>
                  <w:vAlign w:val="center"/>
                </w:tcPr>
                <w:p w14:paraId="218D5DAF">
                  <w:pPr>
                    <w:pStyle w:val="31"/>
                    <w:jc w:val="center"/>
                    <w:rPr>
                      <w:rFonts w:ascii="Times New Roman" w:hAnsi="Times New Roman" w:eastAsia="宋体"/>
                      <w:caps w:val="0"/>
                      <w:color w:val="auto"/>
                      <w:kern w:val="21"/>
                      <w:sz w:val="21"/>
                      <w:szCs w:val="21"/>
                      <w:highlight w:val="none"/>
                    </w:rPr>
                  </w:pPr>
                  <w:r>
                    <w:rPr>
                      <w:rFonts w:ascii="Times New Roman" w:cs="Times New Roman"/>
                      <w:color w:val="auto"/>
                      <w:sz w:val="21"/>
                      <w:szCs w:val="21"/>
                    </w:rPr>
                    <w:t>由开发区给水管网直接供给</w:t>
                  </w:r>
                </w:p>
              </w:tc>
              <w:tc>
                <w:tcPr>
                  <w:tcW w:w="1022" w:type="pct"/>
                  <w:gridSpan w:val="2"/>
                  <w:tcBorders>
                    <w:tl2br w:val="nil"/>
                    <w:tr2bl w:val="nil"/>
                  </w:tcBorders>
                  <w:vAlign w:val="center"/>
                </w:tcPr>
                <w:p w14:paraId="53DB0E89">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本项目新增年用水量</w:t>
                  </w:r>
                  <w:r>
                    <w:rPr>
                      <w:rFonts w:hint="eastAsia"/>
                      <w:caps w:val="0"/>
                      <w:color w:val="auto"/>
                      <w:kern w:val="21"/>
                      <w:sz w:val="21"/>
                      <w:szCs w:val="21"/>
                      <w:highlight w:val="none"/>
                      <w:lang w:val="en-US" w:eastAsia="zh-CN"/>
                    </w:rPr>
                    <w:t>5839.6</w:t>
                  </w:r>
                  <w:r>
                    <w:rPr>
                      <w:rFonts w:ascii="Times New Roman" w:hAnsi="Times New Roman" w:eastAsia="宋体"/>
                      <w:caps w:val="0"/>
                      <w:color w:val="auto"/>
                      <w:kern w:val="21"/>
                      <w:sz w:val="21"/>
                      <w:szCs w:val="21"/>
                      <w:highlight w:val="none"/>
                    </w:rPr>
                    <w:t>t</w:t>
                  </w:r>
                </w:p>
              </w:tc>
              <w:tc>
                <w:tcPr>
                  <w:tcW w:w="1349" w:type="pct"/>
                  <w:tcBorders>
                    <w:tl2br w:val="nil"/>
                    <w:tr2bl w:val="nil"/>
                  </w:tcBorders>
                  <w:vAlign w:val="center"/>
                </w:tcPr>
                <w:p w14:paraId="0AB6A6AF">
                  <w:pPr>
                    <w:pStyle w:val="31"/>
                    <w:jc w:val="center"/>
                    <w:rPr>
                      <w:rFonts w:ascii="Times New Roman" w:hAnsi="Times New Roman" w:eastAsia="宋体"/>
                      <w:caps w:val="0"/>
                      <w:color w:val="auto"/>
                      <w:kern w:val="21"/>
                      <w:sz w:val="21"/>
                      <w:szCs w:val="21"/>
                      <w:highlight w:val="none"/>
                    </w:rPr>
                  </w:pPr>
                  <w:r>
                    <w:rPr>
                      <w:rFonts w:ascii="Times New Roman" w:cs="Times New Roman"/>
                      <w:color w:val="auto"/>
                      <w:sz w:val="21"/>
                      <w:szCs w:val="21"/>
                    </w:rPr>
                    <w:t>由开发区给水管网直接供给</w:t>
                  </w:r>
                </w:p>
              </w:tc>
              <w:tc>
                <w:tcPr>
                  <w:tcW w:w="539" w:type="pct"/>
                  <w:gridSpan w:val="2"/>
                  <w:tcBorders>
                    <w:tl2br w:val="nil"/>
                    <w:tr2bl w:val="nil"/>
                  </w:tcBorders>
                  <w:vAlign w:val="center"/>
                </w:tcPr>
                <w:p w14:paraId="52C69BF8">
                  <w:pPr>
                    <w:ind w:left="-105" w:leftChars="-50" w:right="-105" w:rightChars="-50"/>
                    <w:jc w:val="center"/>
                    <w:rPr>
                      <w:rFonts w:ascii="Times New Roman" w:hAnsi="Times New Roman" w:eastAsia="宋体"/>
                      <w:caps w:val="0"/>
                      <w:color w:val="auto"/>
                      <w:kern w:val="21"/>
                      <w:sz w:val="21"/>
                      <w:szCs w:val="21"/>
                      <w:highlight w:val="none"/>
                    </w:rPr>
                  </w:pPr>
                  <w:r>
                    <w:rPr>
                      <w:rFonts w:hint="eastAsia"/>
                      <w:color w:val="auto"/>
                      <w:sz w:val="21"/>
                      <w:szCs w:val="21"/>
                    </w:rPr>
                    <w:t>依托现有</w:t>
                  </w:r>
                </w:p>
              </w:tc>
            </w:tr>
            <w:tr w14:paraId="009B89B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4A9733AE">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152292E7">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kern w:val="21"/>
                      <w:sz w:val="21"/>
                      <w:szCs w:val="21"/>
                      <w:highlight w:val="none"/>
                    </w:rPr>
                    <w:t>排水</w:t>
                  </w:r>
                </w:p>
              </w:tc>
              <w:tc>
                <w:tcPr>
                  <w:tcW w:w="1371" w:type="pct"/>
                  <w:gridSpan w:val="3"/>
                  <w:tcBorders>
                    <w:tl2br w:val="nil"/>
                    <w:tr2bl w:val="nil"/>
                  </w:tcBorders>
                  <w:vAlign w:val="center"/>
                </w:tcPr>
                <w:p w14:paraId="749E1679">
                  <w:pPr>
                    <w:pStyle w:val="31"/>
                    <w:jc w:val="center"/>
                    <w:rPr>
                      <w:rFonts w:ascii="Times New Roman" w:hAnsi="Times New Roman" w:eastAsia="宋体"/>
                      <w:caps w:val="0"/>
                      <w:color w:val="auto"/>
                      <w:kern w:val="21"/>
                      <w:sz w:val="21"/>
                      <w:szCs w:val="21"/>
                      <w:highlight w:val="none"/>
                    </w:rPr>
                  </w:pPr>
                  <w:r>
                    <w:rPr>
                      <w:rFonts w:ascii="Times New Roman" w:cs="Times New Roman"/>
                      <w:color w:val="auto"/>
                      <w:sz w:val="21"/>
                      <w:szCs w:val="21"/>
                    </w:rPr>
                    <w:t>采用雨、污分流制，</w:t>
                  </w:r>
                  <w:r>
                    <w:rPr>
                      <w:rFonts w:hint="eastAsia" w:ascii="Times New Roman" w:cs="Times New Roman"/>
                      <w:color w:val="auto"/>
                      <w:sz w:val="21"/>
                      <w:szCs w:val="21"/>
                    </w:rPr>
                    <w:t>雨水排入市政雨水管网；</w:t>
                  </w:r>
                  <w:r>
                    <w:rPr>
                      <w:rFonts w:hint="eastAsia"/>
                      <w:color w:val="auto"/>
                      <w:sz w:val="21"/>
                      <w:szCs w:val="21"/>
                    </w:rPr>
                    <w:t>生活污水经隔油池+化粪池处理，废水处理后经市政管网排入芜湖市城南污水处理厂处理</w:t>
                  </w:r>
                </w:p>
              </w:tc>
              <w:tc>
                <w:tcPr>
                  <w:tcW w:w="1022" w:type="pct"/>
                  <w:gridSpan w:val="2"/>
                  <w:tcBorders>
                    <w:tl2br w:val="nil"/>
                    <w:tr2bl w:val="nil"/>
                  </w:tcBorders>
                  <w:vAlign w:val="center"/>
                </w:tcPr>
                <w:p w14:paraId="4E2BC1DB">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依托现有雨水管网；潮湿废水经沉淀池处理后与生活污水经隔油池+化粪池处理，废水处理后经市政管网排入芜湖市城南污水处理厂处理</w:t>
                  </w:r>
                </w:p>
              </w:tc>
              <w:tc>
                <w:tcPr>
                  <w:tcW w:w="1349" w:type="pct"/>
                  <w:tcBorders>
                    <w:tl2br w:val="nil"/>
                    <w:tr2bl w:val="nil"/>
                  </w:tcBorders>
                  <w:vAlign w:val="center"/>
                </w:tcPr>
                <w:p w14:paraId="7B8EC1F2">
                  <w:pPr>
                    <w:pStyle w:val="31"/>
                    <w:jc w:val="center"/>
                    <w:rPr>
                      <w:rFonts w:ascii="Times New Roman" w:hAnsi="Times New Roman" w:eastAsia="宋体"/>
                      <w:caps w:val="0"/>
                      <w:color w:val="auto"/>
                      <w:kern w:val="21"/>
                      <w:sz w:val="21"/>
                      <w:szCs w:val="21"/>
                      <w:highlight w:val="none"/>
                    </w:rPr>
                  </w:pPr>
                  <w:r>
                    <w:rPr>
                      <w:rFonts w:ascii="Times New Roman" w:cs="Times New Roman"/>
                      <w:color w:val="auto"/>
                      <w:sz w:val="21"/>
                      <w:szCs w:val="21"/>
                    </w:rPr>
                    <w:t>采用雨、污分流制，</w:t>
                  </w:r>
                  <w:r>
                    <w:rPr>
                      <w:rFonts w:hint="eastAsia" w:ascii="Times New Roman" w:cs="Times New Roman"/>
                      <w:color w:val="auto"/>
                      <w:sz w:val="21"/>
                      <w:szCs w:val="21"/>
                    </w:rPr>
                    <w:t>雨水排入市政雨水管网；</w:t>
                  </w:r>
                  <w:r>
                    <w:rPr>
                      <w:rFonts w:hint="eastAsia"/>
                      <w:color w:val="auto"/>
                      <w:sz w:val="21"/>
                      <w:szCs w:val="21"/>
                    </w:rPr>
                    <w:t>生活污水经隔油池+化粪池处理，废水处理后经市政管网排入芜湖市城南污水处理厂处理</w:t>
                  </w:r>
                </w:p>
              </w:tc>
              <w:tc>
                <w:tcPr>
                  <w:tcW w:w="539" w:type="pct"/>
                  <w:gridSpan w:val="2"/>
                  <w:tcBorders>
                    <w:tl2br w:val="nil"/>
                    <w:tr2bl w:val="nil"/>
                  </w:tcBorders>
                  <w:vAlign w:val="center"/>
                </w:tcPr>
                <w:p w14:paraId="31DE5C5E">
                  <w:pPr>
                    <w:ind w:left="-105" w:leftChars="-50" w:right="-105" w:rightChars="-50"/>
                    <w:jc w:val="center"/>
                    <w:rPr>
                      <w:rFonts w:hint="default" w:ascii="Times New Roman" w:hAnsi="Times New Roman" w:eastAsia="宋体"/>
                      <w:caps w:val="0"/>
                      <w:color w:val="auto"/>
                      <w:kern w:val="21"/>
                      <w:sz w:val="21"/>
                      <w:szCs w:val="21"/>
                      <w:highlight w:val="none"/>
                      <w:lang w:val="en-US" w:eastAsia="zh-CN"/>
                    </w:rPr>
                  </w:pPr>
                  <w:r>
                    <w:rPr>
                      <w:rFonts w:hint="eastAsia"/>
                      <w:color w:val="auto"/>
                      <w:sz w:val="21"/>
                      <w:szCs w:val="21"/>
                    </w:rPr>
                    <w:t>雨污水管网依托现有</w:t>
                  </w:r>
                </w:p>
              </w:tc>
            </w:tr>
            <w:tr w14:paraId="27E8A0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47FF0412">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6C716CBE">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kern w:val="21"/>
                      <w:sz w:val="21"/>
                      <w:szCs w:val="21"/>
                      <w:highlight w:val="none"/>
                    </w:rPr>
                    <w:t>供电</w:t>
                  </w:r>
                </w:p>
              </w:tc>
              <w:tc>
                <w:tcPr>
                  <w:tcW w:w="1371" w:type="pct"/>
                  <w:gridSpan w:val="3"/>
                  <w:tcBorders>
                    <w:tl2br w:val="nil"/>
                    <w:tr2bl w:val="nil"/>
                  </w:tcBorders>
                  <w:vAlign w:val="center"/>
                </w:tcPr>
                <w:p w14:paraId="579D4A57">
                  <w:pPr>
                    <w:pStyle w:val="31"/>
                    <w:jc w:val="center"/>
                    <w:rPr>
                      <w:rFonts w:ascii="Times New Roman" w:hAnsi="Times New Roman" w:eastAsia="宋体"/>
                      <w:caps w:val="0"/>
                      <w:color w:val="auto"/>
                      <w:kern w:val="21"/>
                      <w:sz w:val="21"/>
                      <w:szCs w:val="21"/>
                      <w:highlight w:val="none"/>
                    </w:rPr>
                  </w:pPr>
                  <w:r>
                    <w:rPr>
                      <w:rFonts w:ascii="Times New Roman" w:cs="Times New Roman"/>
                      <w:color w:val="auto"/>
                      <w:sz w:val="21"/>
                      <w:szCs w:val="21"/>
                    </w:rPr>
                    <w:t>由</w:t>
                  </w:r>
                  <w:r>
                    <w:rPr>
                      <w:rFonts w:hint="eastAsia" w:ascii="Times New Roman" w:cs="Times New Roman"/>
                      <w:color w:val="auto"/>
                      <w:sz w:val="21"/>
                      <w:szCs w:val="21"/>
                    </w:rPr>
                    <w:t>开发区</w:t>
                  </w:r>
                  <w:r>
                    <w:rPr>
                      <w:rFonts w:ascii="Times New Roman" w:cs="Times New Roman"/>
                      <w:color w:val="auto"/>
                      <w:sz w:val="21"/>
                      <w:szCs w:val="21"/>
                    </w:rPr>
                    <w:t>供电</w:t>
                  </w:r>
                  <w:r>
                    <w:rPr>
                      <w:rFonts w:hint="eastAsia" w:ascii="Times New Roman" w:cs="Times New Roman"/>
                      <w:color w:val="auto"/>
                      <w:sz w:val="21"/>
                      <w:szCs w:val="21"/>
                    </w:rPr>
                    <w:t>系统</w:t>
                  </w:r>
                  <w:r>
                    <w:rPr>
                      <w:rFonts w:ascii="Times New Roman" w:cs="Times New Roman"/>
                      <w:color w:val="auto"/>
                      <w:sz w:val="21"/>
                      <w:szCs w:val="21"/>
                    </w:rPr>
                    <w:t>供给</w:t>
                  </w:r>
                </w:p>
              </w:tc>
              <w:tc>
                <w:tcPr>
                  <w:tcW w:w="1022" w:type="pct"/>
                  <w:gridSpan w:val="2"/>
                  <w:tcBorders>
                    <w:tl2br w:val="nil"/>
                    <w:tr2bl w:val="nil"/>
                  </w:tcBorders>
                  <w:vAlign w:val="center"/>
                </w:tcPr>
                <w:p w14:paraId="6EAD7BC6">
                  <w:pPr>
                    <w:spacing w:line="340" w:lineRule="exact"/>
                    <w:jc w:val="center"/>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本项目新增用电量</w:t>
                  </w:r>
                  <w:r>
                    <w:rPr>
                      <w:rFonts w:hint="eastAsia"/>
                      <w:bCs/>
                      <w:caps w:val="0"/>
                      <w:color w:val="auto"/>
                      <w:sz w:val="21"/>
                      <w:szCs w:val="21"/>
                      <w:highlight w:val="none"/>
                      <w:lang w:val="en-US" w:eastAsia="zh-CN"/>
                    </w:rPr>
                    <w:t>2</w:t>
                  </w:r>
                  <w:r>
                    <w:rPr>
                      <w:rFonts w:hint="eastAsia" w:ascii="Times New Roman" w:hAnsi="Times New Roman" w:eastAsia="宋体"/>
                      <w:bCs/>
                      <w:caps w:val="0"/>
                      <w:color w:val="auto"/>
                      <w:sz w:val="21"/>
                      <w:szCs w:val="21"/>
                      <w:highlight w:val="none"/>
                    </w:rPr>
                    <w:t>0万</w:t>
                  </w:r>
                  <w:r>
                    <w:rPr>
                      <w:rFonts w:ascii="Times New Roman" w:hAnsi="Times New Roman" w:eastAsia="宋体"/>
                      <w:bCs/>
                      <w:caps w:val="0"/>
                      <w:color w:val="auto"/>
                      <w:sz w:val="21"/>
                      <w:szCs w:val="21"/>
                      <w:highlight w:val="none"/>
                    </w:rPr>
                    <w:t>kW•h</w:t>
                  </w:r>
                </w:p>
              </w:tc>
              <w:tc>
                <w:tcPr>
                  <w:tcW w:w="1349" w:type="pct"/>
                  <w:tcBorders>
                    <w:tl2br w:val="nil"/>
                    <w:tr2bl w:val="nil"/>
                  </w:tcBorders>
                  <w:vAlign w:val="center"/>
                </w:tcPr>
                <w:p w14:paraId="58CCE3F0">
                  <w:pPr>
                    <w:pStyle w:val="31"/>
                    <w:jc w:val="center"/>
                    <w:rPr>
                      <w:rFonts w:ascii="Times New Roman" w:hAnsi="Times New Roman" w:eastAsia="宋体"/>
                      <w:caps w:val="0"/>
                      <w:color w:val="auto"/>
                      <w:kern w:val="21"/>
                      <w:sz w:val="21"/>
                      <w:szCs w:val="21"/>
                      <w:highlight w:val="none"/>
                    </w:rPr>
                  </w:pPr>
                  <w:r>
                    <w:rPr>
                      <w:rFonts w:ascii="Times New Roman" w:cs="Times New Roman"/>
                      <w:color w:val="auto"/>
                      <w:sz w:val="21"/>
                      <w:szCs w:val="21"/>
                    </w:rPr>
                    <w:t>由</w:t>
                  </w:r>
                  <w:r>
                    <w:rPr>
                      <w:rFonts w:hint="eastAsia" w:ascii="Times New Roman" w:cs="Times New Roman"/>
                      <w:color w:val="auto"/>
                      <w:sz w:val="21"/>
                      <w:szCs w:val="21"/>
                    </w:rPr>
                    <w:t>开发区</w:t>
                  </w:r>
                  <w:r>
                    <w:rPr>
                      <w:rFonts w:ascii="Times New Roman" w:cs="Times New Roman"/>
                      <w:color w:val="auto"/>
                      <w:sz w:val="21"/>
                      <w:szCs w:val="21"/>
                    </w:rPr>
                    <w:t>供电</w:t>
                  </w:r>
                  <w:r>
                    <w:rPr>
                      <w:rFonts w:hint="eastAsia" w:ascii="Times New Roman" w:cs="Times New Roman"/>
                      <w:color w:val="auto"/>
                      <w:sz w:val="21"/>
                      <w:szCs w:val="21"/>
                    </w:rPr>
                    <w:t>系统</w:t>
                  </w:r>
                  <w:r>
                    <w:rPr>
                      <w:rFonts w:ascii="Times New Roman" w:cs="Times New Roman"/>
                      <w:color w:val="auto"/>
                      <w:sz w:val="21"/>
                      <w:szCs w:val="21"/>
                    </w:rPr>
                    <w:t>供给</w:t>
                  </w:r>
                </w:p>
              </w:tc>
              <w:tc>
                <w:tcPr>
                  <w:tcW w:w="539" w:type="pct"/>
                  <w:gridSpan w:val="2"/>
                  <w:tcBorders>
                    <w:tl2br w:val="nil"/>
                    <w:tr2bl w:val="nil"/>
                  </w:tcBorders>
                  <w:vAlign w:val="center"/>
                </w:tcPr>
                <w:p w14:paraId="581F6BA0">
                  <w:pPr>
                    <w:ind w:left="-105" w:leftChars="-50" w:right="-105" w:rightChars="-50"/>
                    <w:jc w:val="center"/>
                    <w:rPr>
                      <w:rFonts w:ascii="Times New Roman" w:hAnsi="Times New Roman" w:eastAsia="宋体"/>
                      <w:caps w:val="0"/>
                      <w:color w:val="auto"/>
                      <w:kern w:val="21"/>
                      <w:sz w:val="21"/>
                      <w:szCs w:val="21"/>
                      <w:highlight w:val="none"/>
                    </w:rPr>
                  </w:pPr>
                  <w:r>
                    <w:rPr>
                      <w:rFonts w:hint="eastAsia"/>
                      <w:color w:val="auto"/>
                      <w:sz w:val="21"/>
                      <w:szCs w:val="21"/>
                    </w:rPr>
                    <w:t>依托现有</w:t>
                  </w:r>
                </w:p>
              </w:tc>
            </w:tr>
            <w:tr w14:paraId="742F3A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4" w:hRule="atLeast"/>
                <w:jc w:val="center"/>
              </w:trPr>
              <w:tc>
                <w:tcPr>
                  <w:tcW w:w="294" w:type="pct"/>
                  <w:gridSpan w:val="2"/>
                  <w:tcBorders>
                    <w:tl2br w:val="nil"/>
                    <w:tr2bl w:val="nil"/>
                  </w:tcBorders>
                  <w:vAlign w:val="center"/>
                </w:tcPr>
                <w:p w14:paraId="6C11E691">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kern w:val="21"/>
                      <w:sz w:val="21"/>
                      <w:szCs w:val="21"/>
                      <w:highlight w:val="none"/>
                    </w:rPr>
                    <w:t>环保工程</w:t>
                  </w:r>
                </w:p>
              </w:tc>
              <w:tc>
                <w:tcPr>
                  <w:tcW w:w="422" w:type="pct"/>
                  <w:gridSpan w:val="2"/>
                  <w:tcBorders>
                    <w:tl2br w:val="nil"/>
                    <w:tr2bl w:val="nil"/>
                  </w:tcBorders>
                  <w:vAlign w:val="center"/>
                </w:tcPr>
                <w:p w14:paraId="57D8E67B">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kern w:val="21"/>
                      <w:sz w:val="21"/>
                      <w:szCs w:val="21"/>
                      <w:highlight w:val="none"/>
                    </w:rPr>
                    <w:t>废水</w:t>
                  </w:r>
                </w:p>
              </w:tc>
              <w:tc>
                <w:tcPr>
                  <w:tcW w:w="1371" w:type="pct"/>
                  <w:gridSpan w:val="3"/>
                  <w:tcBorders>
                    <w:tl2br w:val="nil"/>
                    <w:tr2bl w:val="nil"/>
                  </w:tcBorders>
                  <w:vAlign w:val="center"/>
                </w:tcPr>
                <w:p w14:paraId="16CC2B32">
                  <w:pPr>
                    <w:spacing w:line="340" w:lineRule="exact"/>
                    <w:jc w:val="center"/>
                    <w:rPr>
                      <w:rFonts w:ascii="Times New Roman" w:hAnsi="Times New Roman" w:eastAsia="宋体"/>
                      <w:bCs/>
                      <w:caps w:val="0"/>
                      <w:color w:val="auto"/>
                      <w:sz w:val="21"/>
                      <w:szCs w:val="21"/>
                      <w:highlight w:val="none"/>
                    </w:rPr>
                  </w:pPr>
                  <w:r>
                    <w:rPr>
                      <w:rFonts w:hint="eastAsia" w:ascii="Times New Roman" w:hAnsi="Times New Roman" w:eastAsia="宋体"/>
                      <w:caps w:val="0"/>
                      <w:color w:val="auto"/>
                      <w:kern w:val="21"/>
                      <w:sz w:val="21"/>
                      <w:szCs w:val="21"/>
                      <w:highlight w:val="none"/>
                    </w:rPr>
                    <w:t>潮湿工序循环水池废水经沉淀处理后每周排放一次，生活污水经隔油池+化粪池处理，废水处理后经市政管网排入芜湖市城南污水处理厂处理</w:t>
                  </w:r>
                </w:p>
              </w:tc>
              <w:tc>
                <w:tcPr>
                  <w:tcW w:w="1022" w:type="pct"/>
                  <w:gridSpan w:val="2"/>
                  <w:tcBorders>
                    <w:tl2br w:val="nil"/>
                    <w:tr2bl w:val="nil"/>
                  </w:tcBorders>
                  <w:vAlign w:val="center"/>
                </w:tcPr>
                <w:p w14:paraId="07CF2FF3">
                  <w:pPr>
                    <w:spacing w:line="340" w:lineRule="exact"/>
                    <w:jc w:val="center"/>
                    <w:rPr>
                      <w:rFonts w:hint="default" w:ascii="Times New Roman" w:hAnsi="Times New Roman" w:eastAsia="宋体"/>
                      <w:bCs/>
                      <w:caps w:val="0"/>
                      <w:color w:val="auto"/>
                      <w:sz w:val="21"/>
                      <w:szCs w:val="21"/>
                      <w:highlight w:val="none"/>
                      <w:lang w:val="en-US" w:eastAsia="zh-CN"/>
                    </w:rPr>
                  </w:pPr>
                  <w:r>
                    <w:rPr>
                      <w:rFonts w:hint="eastAsia" w:ascii="Times New Roman" w:hAnsi="Times New Roman" w:eastAsia="宋体"/>
                      <w:bCs/>
                      <w:caps w:val="0"/>
                      <w:color w:val="auto"/>
                      <w:sz w:val="21"/>
                      <w:szCs w:val="21"/>
                      <w:highlight w:val="none"/>
                      <w:lang w:val="en-US" w:eastAsia="zh-CN"/>
                    </w:rPr>
                    <w:t>新增</w:t>
                  </w:r>
                  <w:r>
                    <w:rPr>
                      <w:rFonts w:hint="eastAsia"/>
                      <w:bCs/>
                      <w:caps w:val="0"/>
                      <w:color w:val="auto"/>
                      <w:sz w:val="21"/>
                      <w:szCs w:val="21"/>
                      <w:highlight w:val="none"/>
                      <w:lang w:val="en-US" w:eastAsia="zh-CN"/>
                    </w:rPr>
                    <w:t>生活污水</w:t>
                  </w:r>
                  <w:r>
                    <w:rPr>
                      <w:rFonts w:hint="eastAsia" w:ascii="Times New Roman" w:hAnsi="Times New Roman" w:eastAsia="宋体"/>
                      <w:bCs/>
                      <w:caps w:val="0"/>
                      <w:color w:val="auto"/>
                      <w:sz w:val="21"/>
                      <w:szCs w:val="21"/>
                      <w:highlight w:val="none"/>
                      <w:lang w:val="en-US" w:eastAsia="zh-CN"/>
                    </w:rPr>
                    <w:t>排放量</w:t>
                  </w:r>
                  <w:r>
                    <w:rPr>
                      <w:rFonts w:hint="eastAsia"/>
                      <w:bCs/>
                      <w:caps w:val="0"/>
                      <w:color w:val="auto"/>
                      <w:sz w:val="21"/>
                      <w:szCs w:val="21"/>
                      <w:highlight w:val="none"/>
                      <w:lang w:val="en-US" w:eastAsia="zh-CN"/>
                    </w:rPr>
                    <w:t>3960</w:t>
                  </w:r>
                  <w:r>
                    <w:rPr>
                      <w:rFonts w:hint="eastAsia" w:ascii="Times New Roman" w:hAnsi="Times New Roman" w:eastAsia="宋体"/>
                      <w:bCs/>
                      <w:caps w:val="0"/>
                      <w:color w:val="auto"/>
                      <w:sz w:val="21"/>
                      <w:szCs w:val="21"/>
                      <w:highlight w:val="none"/>
                      <w:lang w:val="en-US" w:eastAsia="zh-CN"/>
                    </w:rPr>
                    <w:t>t/a</w:t>
                  </w:r>
                  <w:r>
                    <w:rPr>
                      <w:rFonts w:hint="eastAsia"/>
                      <w:color w:val="auto"/>
                      <w:lang w:eastAsia="zh-CN"/>
                    </w:rPr>
                    <w:t>，</w:t>
                  </w:r>
                  <w:r>
                    <w:rPr>
                      <w:rFonts w:hint="eastAsia"/>
                      <w:color w:val="auto"/>
                      <w:lang w:val="en-US" w:eastAsia="zh-CN"/>
                    </w:rPr>
                    <w:t>潮湿废水104t/a</w:t>
                  </w:r>
                </w:p>
              </w:tc>
              <w:tc>
                <w:tcPr>
                  <w:tcW w:w="1349" w:type="pct"/>
                  <w:tcBorders>
                    <w:tl2br w:val="nil"/>
                    <w:tr2bl w:val="nil"/>
                  </w:tcBorders>
                  <w:vAlign w:val="center"/>
                </w:tcPr>
                <w:p w14:paraId="59ACCC20">
                  <w:pPr>
                    <w:spacing w:line="340" w:lineRule="exact"/>
                    <w:jc w:val="center"/>
                    <w:rPr>
                      <w:rFonts w:ascii="Times New Roman" w:hAnsi="Times New Roman" w:eastAsia="宋体"/>
                      <w:bCs/>
                      <w:caps w:val="0"/>
                      <w:color w:val="auto"/>
                      <w:sz w:val="21"/>
                      <w:szCs w:val="21"/>
                      <w:highlight w:val="none"/>
                    </w:rPr>
                  </w:pPr>
                  <w:r>
                    <w:rPr>
                      <w:rFonts w:hint="eastAsia" w:ascii="Times New Roman" w:hAnsi="Times New Roman" w:eastAsia="宋体"/>
                      <w:caps w:val="0"/>
                      <w:color w:val="auto"/>
                      <w:kern w:val="21"/>
                      <w:sz w:val="21"/>
                      <w:szCs w:val="21"/>
                      <w:highlight w:val="none"/>
                      <w:lang w:val="en-US" w:eastAsia="zh-CN"/>
                    </w:rPr>
                    <w:t>潮湿废水经沉淀</w:t>
                  </w:r>
                  <w:r>
                    <w:rPr>
                      <w:rFonts w:hint="eastAsia"/>
                      <w:caps w:val="0"/>
                      <w:color w:val="auto"/>
                      <w:kern w:val="21"/>
                      <w:sz w:val="21"/>
                      <w:szCs w:val="21"/>
                      <w:highlight w:val="none"/>
                      <w:lang w:val="en-US" w:eastAsia="zh-CN"/>
                    </w:rPr>
                    <w:t>池</w:t>
                  </w:r>
                  <w:r>
                    <w:rPr>
                      <w:rFonts w:hint="eastAsia" w:ascii="Times New Roman" w:hAnsi="Times New Roman" w:eastAsia="宋体"/>
                      <w:caps w:val="0"/>
                      <w:color w:val="auto"/>
                      <w:kern w:val="21"/>
                      <w:sz w:val="21"/>
                      <w:szCs w:val="21"/>
                      <w:highlight w:val="none"/>
                      <w:lang w:val="en-US" w:eastAsia="zh-CN"/>
                    </w:rPr>
                    <w:t>处理后每周排放</w:t>
                  </w:r>
                  <w:r>
                    <w:rPr>
                      <w:rFonts w:hint="eastAsia"/>
                      <w:caps w:val="0"/>
                      <w:color w:val="auto"/>
                      <w:kern w:val="21"/>
                      <w:sz w:val="21"/>
                      <w:szCs w:val="21"/>
                      <w:highlight w:val="none"/>
                      <w:lang w:val="en-US" w:eastAsia="zh-CN"/>
                    </w:rPr>
                    <w:t>一次，</w:t>
                  </w:r>
                  <w:r>
                    <w:rPr>
                      <w:rFonts w:hint="eastAsia" w:ascii="Times New Roman" w:hAnsi="Times New Roman" w:eastAsia="宋体"/>
                      <w:caps w:val="0"/>
                      <w:color w:val="auto"/>
                      <w:kern w:val="21"/>
                      <w:sz w:val="21"/>
                      <w:szCs w:val="21"/>
                      <w:highlight w:val="none"/>
                      <w:lang w:val="en-US" w:eastAsia="zh-CN"/>
                    </w:rPr>
                    <w:t>生活污水经隔油池+化粪池</w:t>
                  </w:r>
                  <w:r>
                    <w:rPr>
                      <w:rFonts w:hint="eastAsia"/>
                      <w:caps w:val="0"/>
                      <w:color w:val="auto"/>
                      <w:kern w:val="21"/>
                      <w:sz w:val="21"/>
                      <w:szCs w:val="21"/>
                      <w:highlight w:val="none"/>
                      <w:lang w:val="en-US" w:eastAsia="zh-CN"/>
                    </w:rPr>
                    <w:t>预</w:t>
                  </w:r>
                  <w:r>
                    <w:rPr>
                      <w:rFonts w:hint="eastAsia" w:ascii="Times New Roman" w:hAnsi="Times New Roman" w:eastAsia="宋体"/>
                      <w:caps w:val="0"/>
                      <w:color w:val="auto"/>
                      <w:kern w:val="21"/>
                      <w:sz w:val="21"/>
                      <w:szCs w:val="21"/>
                      <w:highlight w:val="none"/>
                      <w:lang w:val="en-US" w:eastAsia="zh-CN"/>
                    </w:rPr>
                    <w:t>处理，</w:t>
                  </w:r>
                  <w:r>
                    <w:rPr>
                      <w:rFonts w:hint="eastAsia"/>
                      <w:caps w:val="0"/>
                      <w:color w:val="auto"/>
                      <w:kern w:val="21"/>
                      <w:sz w:val="21"/>
                      <w:szCs w:val="21"/>
                      <w:highlight w:val="none"/>
                      <w:lang w:val="en-US" w:eastAsia="zh-CN"/>
                    </w:rPr>
                    <w:t>经处理后的潮湿废水与生活污水一并</w:t>
                  </w:r>
                  <w:r>
                    <w:rPr>
                      <w:rFonts w:hint="eastAsia" w:ascii="Times New Roman" w:hAnsi="Times New Roman" w:eastAsia="宋体"/>
                      <w:caps w:val="0"/>
                      <w:color w:val="auto"/>
                      <w:kern w:val="21"/>
                      <w:sz w:val="21"/>
                      <w:szCs w:val="21"/>
                      <w:highlight w:val="none"/>
                      <w:lang w:val="en-US" w:eastAsia="zh-CN"/>
                    </w:rPr>
                    <w:t>经市政管网排入芜湖市城南污水处理厂处理</w:t>
                  </w:r>
                </w:p>
              </w:tc>
              <w:tc>
                <w:tcPr>
                  <w:tcW w:w="539" w:type="pct"/>
                  <w:gridSpan w:val="2"/>
                  <w:tcBorders>
                    <w:tl2br w:val="nil"/>
                    <w:tr2bl w:val="nil"/>
                  </w:tcBorders>
                  <w:vAlign w:val="center"/>
                </w:tcPr>
                <w:p w14:paraId="62E5575C">
                  <w:pPr>
                    <w:spacing w:line="340" w:lineRule="exact"/>
                    <w:jc w:val="center"/>
                    <w:rPr>
                      <w:rFonts w:hint="default" w:ascii="Times New Roman" w:hAnsi="Times New Roman" w:eastAsia="宋体"/>
                      <w:bCs/>
                      <w:caps w:val="0"/>
                      <w:color w:val="auto"/>
                      <w:sz w:val="21"/>
                      <w:szCs w:val="21"/>
                      <w:highlight w:val="none"/>
                      <w:lang w:val="en-US" w:eastAsia="zh-CN"/>
                    </w:rPr>
                  </w:pPr>
                  <w:r>
                    <w:rPr>
                      <w:rFonts w:hint="eastAsia"/>
                      <w:bCs/>
                      <w:caps w:val="0"/>
                      <w:color w:val="auto"/>
                      <w:sz w:val="21"/>
                      <w:szCs w:val="21"/>
                      <w:highlight w:val="none"/>
                      <w:lang w:val="en-US" w:eastAsia="zh-CN"/>
                    </w:rPr>
                    <w:t>依托现有隔油池、化粪池、沉淀池</w:t>
                  </w:r>
                </w:p>
              </w:tc>
            </w:tr>
            <w:tr w14:paraId="4DBD24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3" w:type="pct"/>
                <w:trHeight w:val="283" w:hRule="atLeast"/>
                <w:jc w:val="center"/>
              </w:trPr>
              <w:tc>
                <w:tcPr>
                  <w:tcW w:w="293" w:type="pct"/>
                  <w:vMerge w:val="restart"/>
                  <w:tcBorders>
                    <w:tl2br w:val="nil"/>
                    <w:tr2bl w:val="nil"/>
                  </w:tcBorders>
                  <w:vAlign w:val="center"/>
                </w:tcPr>
                <w:p w14:paraId="2D4CD798">
                  <w:pPr>
                    <w:spacing w:line="340" w:lineRule="exact"/>
                    <w:ind w:firstLine="420"/>
                    <w:jc w:val="center"/>
                    <w:rPr>
                      <w:rFonts w:ascii="Times New Roman" w:hAnsi="Times New Roman" w:eastAsia="宋体"/>
                      <w:caps w:val="0"/>
                      <w:color w:val="auto"/>
                      <w:kern w:val="21"/>
                      <w:sz w:val="21"/>
                      <w:szCs w:val="21"/>
                      <w:highlight w:val="none"/>
                    </w:rPr>
                  </w:pPr>
                </w:p>
              </w:tc>
              <w:tc>
                <w:tcPr>
                  <w:tcW w:w="421" w:type="pct"/>
                  <w:gridSpan w:val="2"/>
                  <w:vMerge w:val="restart"/>
                  <w:tcBorders>
                    <w:tl2br w:val="nil"/>
                    <w:tr2bl w:val="nil"/>
                  </w:tcBorders>
                  <w:vAlign w:val="center"/>
                </w:tcPr>
                <w:p w14:paraId="650370D9">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kern w:val="21"/>
                      <w:sz w:val="21"/>
                      <w:szCs w:val="21"/>
                      <w:highlight w:val="none"/>
                    </w:rPr>
                    <w:t>废气</w:t>
                  </w:r>
                </w:p>
              </w:tc>
              <w:tc>
                <w:tcPr>
                  <w:tcW w:w="617" w:type="pct"/>
                  <w:gridSpan w:val="2"/>
                  <w:tcBorders>
                    <w:tl2br w:val="nil"/>
                    <w:tr2bl w:val="nil"/>
                  </w:tcBorders>
                  <w:vAlign w:val="center"/>
                </w:tcPr>
                <w:p w14:paraId="0A9A49EC">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sz w:val="21"/>
                      <w:szCs w:val="21"/>
                      <w:highlight w:val="none"/>
                      <w:lang w:val="en-US" w:eastAsia="zh-CN"/>
                    </w:rPr>
                    <w:t>注塑废气</w:t>
                  </w:r>
                </w:p>
              </w:tc>
              <w:tc>
                <w:tcPr>
                  <w:tcW w:w="751" w:type="pct"/>
                  <w:tcBorders>
                    <w:tl2br w:val="nil"/>
                    <w:tr2bl w:val="nil"/>
                  </w:tcBorders>
                  <w:vAlign w:val="center"/>
                </w:tcPr>
                <w:p w14:paraId="48554255">
                  <w:pPr>
                    <w:spacing w:line="340" w:lineRule="exact"/>
                    <w:jc w:val="center"/>
                    <w:rPr>
                      <w:rFonts w:ascii="Times New Roman" w:hAnsi="Times New Roman" w:eastAsia="宋体"/>
                      <w:caps w:val="0"/>
                      <w:color w:val="auto"/>
                      <w:sz w:val="21"/>
                      <w:szCs w:val="21"/>
                      <w:highlight w:val="none"/>
                    </w:rPr>
                  </w:pPr>
                  <w:r>
                    <w:rPr>
                      <w:rFonts w:hint="eastAsia" w:ascii="Times New Roman" w:hAnsi="Times New Roman" w:eastAsia="宋体"/>
                      <w:caps w:val="0"/>
                      <w:color w:val="auto"/>
                      <w:sz w:val="21"/>
                      <w:szCs w:val="21"/>
                      <w:highlight w:val="none"/>
                    </w:rPr>
                    <w:t>经1套两级活性炭吸附装置处理后于1根15m高排气筒排放</w:t>
                  </w:r>
                </w:p>
              </w:tc>
              <w:tc>
                <w:tcPr>
                  <w:tcW w:w="1021" w:type="pct"/>
                  <w:gridSpan w:val="2"/>
                  <w:tcBorders>
                    <w:tl2br w:val="nil"/>
                    <w:tr2bl w:val="nil"/>
                  </w:tcBorders>
                  <w:vAlign w:val="center"/>
                </w:tcPr>
                <w:p w14:paraId="718A0DC9">
                  <w:pPr>
                    <w:spacing w:line="340" w:lineRule="exact"/>
                    <w:jc w:val="center"/>
                    <w:rPr>
                      <w:rFonts w:hint="default" w:ascii="Times New Roman" w:hAnsi="Times New Roman" w:eastAsia="宋体"/>
                      <w:caps w:val="0"/>
                      <w:color w:val="auto"/>
                      <w:sz w:val="21"/>
                      <w:szCs w:val="21"/>
                      <w:highlight w:val="none"/>
                      <w:lang w:val="en-US" w:eastAsia="zh-CN"/>
                    </w:rPr>
                  </w:pPr>
                  <w:r>
                    <w:rPr>
                      <w:rFonts w:hint="eastAsia" w:ascii="Times New Roman" w:hAnsi="Times New Roman" w:eastAsia="宋体"/>
                      <w:caps w:val="0"/>
                      <w:color w:val="auto"/>
                      <w:sz w:val="21"/>
                      <w:szCs w:val="21"/>
                      <w:highlight w:val="none"/>
                      <w:lang w:val="en-US" w:eastAsia="zh-CN"/>
                    </w:rPr>
                    <w:t>10#厂房新增</w:t>
                  </w:r>
                  <w:r>
                    <w:rPr>
                      <w:rFonts w:hint="eastAsia" w:ascii="Times New Roman" w:hAnsi="Times New Roman" w:eastAsia="宋体"/>
                      <w:caps w:val="0"/>
                      <w:color w:val="auto"/>
                      <w:sz w:val="21"/>
                      <w:szCs w:val="21"/>
                      <w:highlight w:val="none"/>
                    </w:rPr>
                    <w:t>1套两级活性炭吸附装置处理后于1根15m高排气筒排放</w:t>
                  </w:r>
                </w:p>
              </w:tc>
              <w:tc>
                <w:tcPr>
                  <w:tcW w:w="1352" w:type="pct"/>
                  <w:gridSpan w:val="2"/>
                  <w:tcBorders>
                    <w:tl2br w:val="nil"/>
                    <w:tr2bl w:val="nil"/>
                  </w:tcBorders>
                  <w:vAlign w:val="center"/>
                </w:tcPr>
                <w:p w14:paraId="76EF5A17">
                  <w:pPr>
                    <w:spacing w:line="340" w:lineRule="exact"/>
                    <w:jc w:val="center"/>
                    <w:rPr>
                      <w:rFonts w:ascii="Times New Roman" w:hAnsi="Times New Roman" w:eastAsia="宋体"/>
                      <w:caps w:val="0"/>
                      <w:color w:val="auto"/>
                      <w:sz w:val="21"/>
                      <w:szCs w:val="21"/>
                      <w:highlight w:val="none"/>
                    </w:rPr>
                  </w:pPr>
                  <w:r>
                    <w:rPr>
                      <w:rFonts w:hint="eastAsia" w:ascii="Times New Roman" w:hAnsi="Times New Roman" w:eastAsia="宋体"/>
                      <w:caps w:val="0"/>
                      <w:color w:val="auto"/>
                      <w:sz w:val="21"/>
                      <w:szCs w:val="21"/>
                      <w:highlight w:val="none"/>
                      <w:lang w:val="en-US" w:eastAsia="zh-CN"/>
                    </w:rPr>
                    <w:t>共2</w:t>
                  </w:r>
                  <w:r>
                    <w:rPr>
                      <w:rFonts w:hint="eastAsia" w:ascii="Times New Roman" w:hAnsi="Times New Roman" w:eastAsia="宋体"/>
                      <w:caps w:val="0"/>
                      <w:color w:val="auto"/>
                      <w:sz w:val="21"/>
                      <w:szCs w:val="21"/>
                      <w:highlight w:val="none"/>
                    </w:rPr>
                    <w:t>套两级活性炭吸附装置</w:t>
                  </w:r>
                  <w:r>
                    <w:rPr>
                      <w:rFonts w:hint="eastAsia" w:ascii="Times New Roman" w:hAnsi="Times New Roman" w:eastAsia="宋体"/>
                      <w:caps w:val="0"/>
                      <w:color w:val="auto"/>
                      <w:sz w:val="21"/>
                      <w:szCs w:val="21"/>
                      <w:highlight w:val="none"/>
                      <w:lang w:eastAsia="zh-CN"/>
                    </w:rPr>
                    <w:t>；</w:t>
                  </w:r>
                  <w:r>
                    <w:rPr>
                      <w:rFonts w:hint="eastAsia" w:ascii="Times New Roman" w:hAnsi="Times New Roman" w:eastAsia="宋体"/>
                      <w:caps w:val="0"/>
                      <w:color w:val="auto"/>
                      <w:sz w:val="21"/>
                      <w:szCs w:val="21"/>
                      <w:highlight w:val="none"/>
                      <w:lang w:val="en-US" w:eastAsia="zh-CN"/>
                    </w:rPr>
                    <w:t>两</w:t>
                  </w:r>
                  <w:r>
                    <w:rPr>
                      <w:rFonts w:hint="eastAsia" w:ascii="Times New Roman" w:hAnsi="Times New Roman" w:eastAsia="宋体"/>
                      <w:caps w:val="0"/>
                      <w:color w:val="auto"/>
                      <w:sz w:val="21"/>
                      <w:szCs w:val="21"/>
                      <w:highlight w:val="none"/>
                    </w:rPr>
                    <w:t>根15m高排气筒</w:t>
                  </w:r>
                </w:p>
              </w:tc>
              <w:tc>
                <w:tcPr>
                  <w:tcW w:w="515" w:type="pct"/>
                  <w:tcBorders>
                    <w:tl2br w:val="nil"/>
                    <w:tr2bl w:val="nil"/>
                  </w:tcBorders>
                  <w:vAlign w:val="center"/>
                </w:tcPr>
                <w:p w14:paraId="10AAE64A">
                  <w:pPr>
                    <w:spacing w:line="340" w:lineRule="exact"/>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新增</w:t>
                  </w:r>
                </w:p>
              </w:tc>
            </w:tr>
            <w:tr w14:paraId="1E5D83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3" w:type="pct"/>
                <w:trHeight w:val="283" w:hRule="atLeast"/>
                <w:jc w:val="center"/>
              </w:trPr>
              <w:tc>
                <w:tcPr>
                  <w:tcW w:w="293" w:type="pct"/>
                  <w:vMerge w:val="continue"/>
                  <w:tcBorders>
                    <w:tl2br w:val="nil"/>
                    <w:tr2bl w:val="nil"/>
                  </w:tcBorders>
                  <w:vAlign w:val="center"/>
                </w:tcPr>
                <w:p w14:paraId="3FBBC294">
                  <w:pPr>
                    <w:spacing w:line="340" w:lineRule="exact"/>
                    <w:ind w:firstLine="420"/>
                    <w:jc w:val="center"/>
                    <w:rPr>
                      <w:rFonts w:ascii="Times New Roman" w:hAnsi="Times New Roman" w:eastAsia="宋体"/>
                      <w:caps w:val="0"/>
                      <w:color w:val="auto"/>
                      <w:kern w:val="21"/>
                      <w:sz w:val="21"/>
                      <w:szCs w:val="21"/>
                      <w:highlight w:val="none"/>
                    </w:rPr>
                  </w:pPr>
                </w:p>
              </w:tc>
              <w:tc>
                <w:tcPr>
                  <w:tcW w:w="421" w:type="pct"/>
                  <w:gridSpan w:val="2"/>
                  <w:vMerge w:val="continue"/>
                  <w:tcBorders>
                    <w:tl2br w:val="nil"/>
                    <w:tr2bl w:val="nil"/>
                  </w:tcBorders>
                  <w:vAlign w:val="center"/>
                </w:tcPr>
                <w:p w14:paraId="65E251A9">
                  <w:pPr>
                    <w:spacing w:line="340" w:lineRule="exact"/>
                    <w:jc w:val="center"/>
                    <w:rPr>
                      <w:rFonts w:ascii="Times New Roman" w:hAnsi="Times New Roman" w:eastAsia="宋体"/>
                      <w:caps w:val="0"/>
                      <w:color w:val="auto"/>
                      <w:kern w:val="21"/>
                      <w:sz w:val="21"/>
                      <w:szCs w:val="21"/>
                      <w:highlight w:val="none"/>
                    </w:rPr>
                  </w:pPr>
                </w:p>
              </w:tc>
              <w:tc>
                <w:tcPr>
                  <w:tcW w:w="617" w:type="pct"/>
                  <w:gridSpan w:val="2"/>
                  <w:tcBorders>
                    <w:tl2br w:val="nil"/>
                    <w:tr2bl w:val="nil"/>
                  </w:tcBorders>
                  <w:vAlign w:val="center"/>
                </w:tcPr>
                <w:p w14:paraId="5677E68E">
                  <w:pPr>
                    <w:spacing w:line="340" w:lineRule="exact"/>
                    <w:jc w:val="center"/>
                    <w:rPr>
                      <w:rFonts w:hint="default" w:ascii="Times New Roman" w:hAnsi="Times New Roman" w:eastAsia="宋体"/>
                      <w:caps w:val="0"/>
                      <w:color w:val="auto"/>
                      <w:kern w:val="0"/>
                      <w:sz w:val="21"/>
                      <w:szCs w:val="21"/>
                      <w:highlight w:val="none"/>
                      <w:lang w:val="en-US" w:eastAsia="zh-CN"/>
                    </w:rPr>
                  </w:pPr>
                  <w:r>
                    <w:rPr>
                      <w:rFonts w:hint="eastAsia"/>
                      <w:caps w:val="0"/>
                      <w:color w:val="auto"/>
                      <w:kern w:val="0"/>
                      <w:sz w:val="21"/>
                      <w:szCs w:val="21"/>
                      <w:highlight w:val="none"/>
                      <w:lang w:val="en-US" w:eastAsia="zh-CN"/>
                    </w:rPr>
                    <w:t>破碎废气</w:t>
                  </w:r>
                </w:p>
              </w:tc>
              <w:tc>
                <w:tcPr>
                  <w:tcW w:w="751" w:type="pct"/>
                  <w:tcBorders>
                    <w:tl2br w:val="nil"/>
                    <w:tr2bl w:val="nil"/>
                  </w:tcBorders>
                  <w:vAlign w:val="center"/>
                </w:tcPr>
                <w:p w14:paraId="4A46F6F5">
                  <w:pPr>
                    <w:spacing w:line="340" w:lineRule="exact"/>
                    <w:jc w:val="center"/>
                    <w:rPr>
                      <w:rFonts w:ascii="Times New Roman" w:hAnsi="Times New Roman" w:eastAsia="宋体"/>
                      <w:caps w:val="0"/>
                      <w:color w:val="auto"/>
                      <w:kern w:val="0"/>
                      <w:sz w:val="21"/>
                      <w:szCs w:val="21"/>
                      <w:highlight w:val="none"/>
                    </w:rPr>
                  </w:pPr>
                  <w:r>
                    <w:rPr>
                      <w:rFonts w:hint="eastAsia" w:ascii="Times New Roman" w:hAnsi="Times New Roman" w:eastAsia="宋体"/>
                      <w:caps w:val="0"/>
                      <w:color w:val="auto"/>
                      <w:sz w:val="21"/>
                      <w:szCs w:val="21"/>
                      <w:highlight w:val="none"/>
                    </w:rPr>
                    <w:t>破碎于密闭破碎间内进行</w:t>
                  </w:r>
                </w:p>
              </w:tc>
              <w:tc>
                <w:tcPr>
                  <w:tcW w:w="1021" w:type="pct"/>
                  <w:gridSpan w:val="2"/>
                  <w:tcBorders>
                    <w:tl2br w:val="nil"/>
                    <w:tr2bl w:val="nil"/>
                  </w:tcBorders>
                  <w:vAlign w:val="center"/>
                </w:tcPr>
                <w:p w14:paraId="5A4183F5">
                  <w:pPr>
                    <w:spacing w:line="340" w:lineRule="exact"/>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新增一台滤筒除尘器</w:t>
                  </w:r>
                </w:p>
              </w:tc>
              <w:tc>
                <w:tcPr>
                  <w:tcW w:w="1352" w:type="pct"/>
                  <w:gridSpan w:val="2"/>
                  <w:tcBorders>
                    <w:tl2br w:val="nil"/>
                    <w:tr2bl w:val="nil"/>
                  </w:tcBorders>
                  <w:vAlign w:val="center"/>
                </w:tcPr>
                <w:p w14:paraId="115EC032">
                  <w:pPr>
                    <w:spacing w:line="340" w:lineRule="exact"/>
                    <w:jc w:val="center"/>
                    <w:rPr>
                      <w:rFonts w:hint="default"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粉尘经工业滤筒除尘器处理后无组织排放</w:t>
                  </w:r>
                </w:p>
              </w:tc>
              <w:tc>
                <w:tcPr>
                  <w:tcW w:w="515" w:type="pct"/>
                  <w:tcBorders>
                    <w:tl2br w:val="nil"/>
                    <w:tr2bl w:val="nil"/>
                  </w:tcBorders>
                  <w:vAlign w:val="center"/>
                </w:tcPr>
                <w:p w14:paraId="7F451BEB">
                  <w:pPr>
                    <w:spacing w:line="340" w:lineRule="exact"/>
                    <w:jc w:val="center"/>
                    <w:rPr>
                      <w:rFonts w:hint="eastAsia" w:ascii="Times New Roman" w:hAnsi="Times New Roman" w:eastAsia="宋体"/>
                      <w:caps w:val="0"/>
                      <w:color w:val="auto"/>
                      <w:sz w:val="21"/>
                      <w:szCs w:val="21"/>
                      <w:highlight w:val="none"/>
                      <w:lang w:val="en-US" w:eastAsia="zh-CN"/>
                    </w:rPr>
                  </w:pPr>
                  <w:r>
                    <w:rPr>
                      <w:rFonts w:hint="eastAsia"/>
                      <w:caps w:val="0"/>
                      <w:color w:val="auto"/>
                      <w:sz w:val="21"/>
                      <w:szCs w:val="21"/>
                      <w:highlight w:val="none"/>
                      <w:lang w:val="en-US" w:eastAsia="zh-CN"/>
                    </w:rPr>
                    <w:t>新增</w:t>
                  </w:r>
                </w:p>
              </w:tc>
            </w:tr>
            <w:tr w14:paraId="162DC3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restart"/>
                  <w:tcBorders>
                    <w:tl2br w:val="nil"/>
                    <w:tr2bl w:val="nil"/>
                  </w:tcBorders>
                  <w:vAlign w:val="center"/>
                </w:tcPr>
                <w:p w14:paraId="0CF39841">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6A99AD8C">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kern w:val="21"/>
                      <w:sz w:val="21"/>
                      <w:szCs w:val="21"/>
                      <w:highlight w:val="none"/>
                    </w:rPr>
                    <w:t>噪声</w:t>
                  </w:r>
                </w:p>
              </w:tc>
              <w:tc>
                <w:tcPr>
                  <w:tcW w:w="1371" w:type="pct"/>
                  <w:gridSpan w:val="3"/>
                  <w:tcBorders>
                    <w:tl2br w:val="nil"/>
                    <w:tr2bl w:val="nil"/>
                  </w:tcBorders>
                  <w:vAlign w:val="center"/>
                </w:tcPr>
                <w:p w14:paraId="1C6EA978">
                  <w:pPr>
                    <w:spacing w:line="340" w:lineRule="exact"/>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生产中产生的噪声主要是</w:t>
                  </w:r>
                  <w:r>
                    <w:rPr>
                      <w:rFonts w:hint="eastAsia" w:ascii="Times New Roman" w:hAnsi="Times New Roman" w:eastAsia="宋体"/>
                      <w:caps w:val="0"/>
                      <w:color w:val="auto"/>
                      <w:sz w:val="21"/>
                      <w:szCs w:val="21"/>
                      <w:highlight w:val="none"/>
                    </w:rPr>
                    <w:t>生产设备的机械噪声</w:t>
                  </w:r>
                  <w:r>
                    <w:rPr>
                      <w:rFonts w:hint="eastAsia" w:ascii="Times New Roman" w:hAnsi="Times New Roman" w:eastAsia="宋体"/>
                      <w:caps w:val="0"/>
                      <w:color w:val="auto"/>
                      <w:kern w:val="21"/>
                      <w:sz w:val="21"/>
                      <w:szCs w:val="21"/>
                      <w:highlight w:val="none"/>
                    </w:rPr>
                    <w:t>，主要通过加强设备管理，厂房隔声，定期维修保养设备等措施降低噪声。</w:t>
                  </w:r>
                </w:p>
              </w:tc>
              <w:tc>
                <w:tcPr>
                  <w:tcW w:w="1022" w:type="pct"/>
                  <w:gridSpan w:val="2"/>
                  <w:tcBorders>
                    <w:tl2br w:val="nil"/>
                    <w:tr2bl w:val="nil"/>
                  </w:tcBorders>
                  <w:vAlign w:val="center"/>
                </w:tcPr>
                <w:p w14:paraId="7382888D">
                  <w:pPr>
                    <w:spacing w:line="340" w:lineRule="exact"/>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隔声、减振等</w:t>
                  </w:r>
                </w:p>
              </w:tc>
              <w:tc>
                <w:tcPr>
                  <w:tcW w:w="1349" w:type="pct"/>
                  <w:tcBorders>
                    <w:tl2br w:val="nil"/>
                    <w:tr2bl w:val="nil"/>
                  </w:tcBorders>
                  <w:vAlign w:val="center"/>
                </w:tcPr>
                <w:p w14:paraId="14AB5203">
                  <w:pPr>
                    <w:spacing w:line="340" w:lineRule="exact"/>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kern w:val="21"/>
                      <w:sz w:val="21"/>
                      <w:szCs w:val="21"/>
                      <w:highlight w:val="none"/>
                    </w:rPr>
                    <w:t>生产中产生的噪声主要是</w:t>
                  </w:r>
                  <w:r>
                    <w:rPr>
                      <w:rFonts w:hint="eastAsia" w:ascii="Times New Roman" w:hAnsi="Times New Roman" w:eastAsia="宋体"/>
                      <w:caps w:val="0"/>
                      <w:color w:val="auto"/>
                      <w:sz w:val="21"/>
                      <w:szCs w:val="21"/>
                      <w:highlight w:val="none"/>
                    </w:rPr>
                    <w:t>生产设备的机械噪声</w:t>
                  </w:r>
                  <w:r>
                    <w:rPr>
                      <w:rFonts w:hint="eastAsia" w:ascii="Times New Roman" w:hAnsi="Times New Roman" w:eastAsia="宋体"/>
                      <w:caps w:val="0"/>
                      <w:color w:val="auto"/>
                      <w:kern w:val="21"/>
                      <w:sz w:val="21"/>
                      <w:szCs w:val="21"/>
                      <w:highlight w:val="none"/>
                    </w:rPr>
                    <w:t>，主要通过加强设备管理，厂房隔声，定期维修保养设备等措施降低噪声。</w:t>
                  </w:r>
                </w:p>
              </w:tc>
              <w:tc>
                <w:tcPr>
                  <w:tcW w:w="539" w:type="pct"/>
                  <w:gridSpan w:val="2"/>
                  <w:tcBorders>
                    <w:tl2br w:val="nil"/>
                    <w:tr2bl w:val="nil"/>
                  </w:tcBorders>
                  <w:vAlign w:val="center"/>
                </w:tcPr>
                <w:p w14:paraId="747978BD">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sz w:val="21"/>
                      <w:szCs w:val="21"/>
                      <w:highlight w:val="none"/>
                      <w:lang w:val="en-US" w:eastAsia="zh-CN"/>
                    </w:rPr>
                    <w:t>新增</w:t>
                  </w:r>
                </w:p>
              </w:tc>
            </w:tr>
            <w:tr w14:paraId="0B8D80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23" w:hRule="atLeast"/>
                <w:jc w:val="center"/>
              </w:trPr>
              <w:tc>
                <w:tcPr>
                  <w:tcW w:w="294" w:type="pct"/>
                  <w:gridSpan w:val="2"/>
                  <w:vMerge w:val="continue"/>
                  <w:tcBorders>
                    <w:tl2br w:val="nil"/>
                    <w:tr2bl w:val="nil"/>
                  </w:tcBorders>
                  <w:vAlign w:val="center"/>
                </w:tcPr>
                <w:p w14:paraId="6002C0F8">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vMerge w:val="restart"/>
                  <w:tcBorders>
                    <w:tl2br w:val="nil"/>
                    <w:tr2bl w:val="nil"/>
                  </w:tcBorders>
                  <w:vAlign w:val="center"/>
                </w:tcPr>
                <w:p w14:paraId="3EB5CFEA">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kern w:val="21"/>
                      <w:sz w:val="21"/>
                      <w:szCs w:val="21"/>
                      <w:highlight w:val="none"/>
                    </w:rPr>
                    <w:t>固体废物</w:t>
                  </w:r>
                </w:p>
              </w:tc>
              <w:tc>
                <w:tcPr>
                  <w:tcW w:w="1371" w:type="pct"/>
                  <w:gridSpan w:val="3"/>
                  <w:tcBorders>
                    <w:tl2br w:val="nil"/>
                    <w:tr2bl w:val="nil"/>
                  </w:tcBorders>
                  <w:vAlign w:val="center"/>
                </w:tcPr>
                <w:p w14:paraId="06C62048">
                  <w:pPr>
                    <w:jc w:val="center"/>
                    <w:rPr>
                      <w:rFonts w:ascii="Times New Roman" w:hAnsi="Times New Roman" w:eastAsia="宋体"/>
                      <w:caps w:val="0"/>
                      <w:color w:val="auto"/>
                      <w:kern w:val="21"/>
                      <w:sz w:val="21"/>
                      <w:szCs w:val="21"/>
                      <w:highlight w:val="none"/>
                    </w:rPr>
                  </w:pPr>
                  <w:r>
                    <w:rPr>
                      <w:rFonts w:hint="eastAsia"/>
                      <w:snapToGrid w:val="0"/>
                      <w:color w:val="auto"/>
                      <w:sz w:val="21"/>
                      <w:szCs w:val="21"/>
                    </w:rPr>
                    <w:t>生活垃圾交由环卫部门统一处理</w:t>
                  </w:r>
                </w:p>
              </w:tc>
              <w:tc>
                <w:tcPr>
                  <w:tcW w:w="1022" w:type="pct"/>
                  <w:gridSpan w:val="2"/>
                  <w:tcBorders>
                    <w:tl2br w:val="nil"/>
                    <w:tr2bl w:val="nil"/>
                  </w:tcBorders>
                  <w:vAlign w:val="center"/>
                </w:tcPr>
                <w:p w14:paraId="6F9DC15F">
                  <w:pPr>
                    <w:jc w:val="center"/>
                    <w:rPr>
                      <w:rFonts w:hint="eastAsia" w:ascii="Times New Roman" w:hAnsi="Times New Roman" w:eastAsia="宋体"/>
                      <w:caps w:val="0"/>
                      <w:color w:val="auto"/>
                      <w:kern w:val="21"/>
                      <w:sz w:val="21"/>
                      <w:szCs w:val="21"/>
                      <w:highlight w:val="none"/>
                      <w:lang w:val="en-US" w:eastAsia="zh-CN"/>
                    </w:rPr>
                  </w:pPr>
                  <w:r>
                    <w:rPr>
                      <w:rFonts w:hint="eastAsia"/>
                      <w:color w:val="auto"/>
                      <w:sz w:val="21"/>
                      <w:szCs w:val="21"/>
                    </w:rPr>
                    <w:t>依托现有</w:t>
                  </w:r>
                </w:p>
              </w:tc>
              <w:tc>
                <w:tcPr>
                  <w:tcW w:w="1349" w:type="pct"/>
                  <w:tcBorders>
                    <w:tl2br w:val="nil"/>
                    <w:tr2bl w:val="nil"/>
                  </w:tcBorders>
                  <w:vAlign w:val="center"/>
                </w:tcPr>
                <w:p w14:paraId="27C4A2F6">
                  <w:pPr>
                    <w:jc w:val="center"/>
                    <w:rPr>
                      <w:rFonts w:ascii="Times New Roman" w:hAnsi="Times New Roman" w:eastAsia="宋体"/>
                      <w:caps w:val="0"/>
                      <w:color w:val="auto"/>
                      <w:kern w:val="21"/>
                      <w:sz w:val="21"/>
                      <w:szCs w:val="21"/>
                      <w:highlight w:val="none"/>
                    </w:rPr>
                  </w:pPr>
                  <w:r>
                    <w:rPr>
                      <w:rFonts w:hint="eastAsia"/>
                      <w:snapToGrid w:val="0"/>
                      <w:color w:val="auto"/>
                      <w:sz w:val="21"/>
                      <w:szCs w:val="21"/>
                    </w:rPr>
                    <w:t>生活垃圾交由环卫部门统一处理</w:t>
                  </w:r>
                </w:p>
              </w:tc>
              <w:tc>
                <w:tcPr>
                  <w:tcW w:w="539" w:type="pct"/>
                  <w:gridSpan w:val="2"/>
                  <w:tcBorders>
                    <w:tl2br w:val="nil"/>
                    <w:tr2bl w:val="nil"/>
                  </w:tcBorders>
                  <w:vAlign w:val="center"/>
                </w:tcPr>
                <w:p w14:paraId="718D4215">
                  <w:pPr>
                    <w:jc w:val="center"/>
                    <w:rPr>
                      <w:rFonts w:hint="default" w:ascii="Times New Roman" w:hAnsi="Times New Roman" w:eastAsia="宋体"/>
                      <w:caps w:val="0"/>
                      <w:color w:val="auto"/>
                      <w:kern w:val="21"/>
                      <w:sz w:val="21"/>
                      <w:szCs w:val="21"/>
                      <w:highlight w:val="none"/>
                      <w:lang w:val="en-US" w:eastAsia="zh-CN"/>
                    </w:rPr>
                  </w:pPr>
                  <w:r>
                    <w:rPr>
                      <w:rFonts w:hint="eastAsia"/>
                      <w:color w:val="auto"/>
                      <w:sz w:val="21"/>
                      <w:szCs w:val="21"/>
                    </w:rPr>
                    <w:t>依托现有</w:t>
                  </w:r>
                </w:p>
              </w:tc>
            </w:tr>
            <w:tr w14:paraId="28B1C9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23" w:hRule="atLeast"/>
                <w:jc w:val="center"/>
              </w:trPr>
              <w:tc>
                <w:tcPr>
                  <w:tcW w:w="294" w:type="pct"/>
                  <w:gridSpan w:val="2"/>
                  <w:vMerge w:val="continue"/>
                  <w:tcBorders>
                    <w:tl2br w:val="nil"/>
                    <w:tr2bl w:val="nil"/>
                  </w:tcBorders>
                  <w:vAlign w:val="center"/>
                </w:tcPr>
                <w:p w14:paraId="3165C349">
                  <w:pPr>
                    <w:spacing w:line="340" w:lineRule="exact"/>
                    <w:rPr>
                      <w:color w:val="auto"/>
                      <w:sz w:val="21"/>
                      <w:szCs w:val="21"/>
                    </w:rPr>
                  </w:pPr>
                </w:p>
              </w:tc>
              <w:tc>
                <w:tcPr>
                  <w:tcW w:w="422" w:type="pct"/>
                  <w:gridSpan w:val="2"/>
                  <w:vMerge w:val="continue"/>
                  <w:tcBorders>
                    <w:tl2br w:val="nil"/>
                    <w:tr2bl w:val="nil"/>
                  </w:tcBorders>
                  <w:vAlign w:val="center"/>
                </w:tcPr>
                <w:p w14:paraId="74401735">
                  <w:pPr>
                    <w:spacing w:line="340" w:lineRule="exact"/>
                    <w:rPr>
                      <w:color w:val="auto"/>
                      <w:sz w:val="21"/>
                      <w:szCs w:val="21"/>
                    </w:rPr>
                  </w:pPr>
                </w:p>
              </w:tc>
              <w:tc>
                <w:tcPr>
                  <w:tcW w:w="1371" w:type="pct"/>
                  <w:gridSpan w:val="3"/>
                  <w:tcBorders>
                    <w:tl2br w:val="nil"/>
                    <w:tr2bl w:val="nil"/>
                  </w:tcBorders>
                  <w:vAlign w:val="center"/>
                </w:tcPr>
                <w:p w14:paraId="5D937C76">
                  <w:pPr>
                    <w:jc w:val="center"/>
                    <w:rPr>
                      <w:rFonts w:ascii="Times New Roman" w:hAnsi="Times New Roman" w:eastAsia="宋体"/>
                      <w:caps w:val="0"/>
                      <w:color w:val="auto"/>
                      <w:kern w:val="21"/>
                      <w:sz w:val="21"/>
                      <w:szCs w:val="21"/>
                      <w:highlight w:val="none"/>
                    </w:rPr>
                  </w:pPr>
                  <w:r>
                    <w:rPr>
                      <w:rFonts w:hint="eastAsia"/>
                      <w:snapToGrid w:val="0"/>
                      <w:color w:val="auto"/>
                      <w:sz w:val="21"/>
                      <w:szCs w:val="21"/>
                    </w:rPr>
                    <w:t>设一般固废暂存间，</w:t>
                  </w:r>
                  <w:r>
                    <w:rPr>
                      <w:rFonts w:hint="eastAsia"/>
                      <w:snapToGrid w:val="0"/>
                      <w:color w:val="auto"/>
                      <w:sz w:val="21"/>
                      <w:szCs w:val="21"/>
                      <w:lang w:val="en-US" w:eastAsia="zh-CN"/>
                    </w:rPr>
                    <w:t>位于厂区西南侧，</w:t>
                  </w:r>
                  <w:r>
                    <w:rPr>
                      <w:rFonts w:hint="eastAsia"/>
                      <w:snapToGrid w:val="0"/>
                      <w:color w:val="auto"/>
                      <w:sz w:val="21"/>
                      <w:szCs w:val="21"/>
                    </w:rPr>
                    <w:t>占地面积</w:t>
                  </w:r>
                  <w:r>
                    <w:rPr>
                      <w:rFonts w:hint="eastAsia"/>
                      <w:snapToGrid w:val="0"/>
                      <w:color w:val="auto"/>
                      <w:sz w:val="21"/>
                      <w:szCs w:val="21"/>
                      <w:lang w:val="en-US" w:eastAsia="zh-CN"/>
                    </w:rPr>
                    <w:t>2</w:t>
                  </w:r>
                  <w:r>
                    <w:rPr>
                      <w:rFonts w:hint="eastAsia"/>
                      <w:snapToGrid w:val="0"/>
                      <w:color w:val="auto"/>
                      <w:sz w:val="21"/>
                      <w:szCs w:val="21"/>
                    </w:rPr>
                    <w:t>0m</w:t>
                  </w:r>
                  <w:r>
                    <w:rPr>
                      <w:rFonts w:hint="eastAsia"/>
                      <w:snapToGrid w:val="0"/>
                      <w:color w:val="auto"/>
                      <w:sz w:val="21"/>
                      <w:szCs w:val="21"/>
                      <w:vertAlign w:val="superscript"/>
                    </w:rPr>
                    <w:t>2</w:t>
                  </w:r>
                </w:p>
              </w:tc>
              <w:tc>
                <w:tcPr>
                  <w:tcW w:w="1022" w:type="pct"/>
                  <w:gridSpan w:val="2"/>
                  <w:tcBorders>
                    <w:tl2br w:val="nil"/>
                    <w:tr2bl w:val="nil"/>
                  </w:tcBorders>
                  <w:vAlign w:val="center"/>
                </w:tcPr>
                <w:p w14:paraId="1CDE7884">
                  <w:pPr>
                    <w:jc w:val="center"/>
                    <w:rPr>
                      <w:rFonts w:hint="eastAsia" w:ascii="Times New Roman" w:hAnsi="Times New Roman" w:eastAsia="宋体"/>
                      <w:caps w:val="0"/>
                      <w:color w:val="auto"/>
                      <w:kern w:val="21"/>
                      <w:sz w:val="21"/>
                      <w:szCs w:val="21"/>
                      <w:highlight w:val="none"/>
                      <w:lang w:val="en-US" w:eastAsia="zh-CN"/>
                    </w:rPr>
                  </w:pPr>
                  <w:r>
                    <w:rPr>
                      <w:rFonts w:hint="eastAsia"/>
                      <w:color w:val="auto"/>
                      <w:sz w:val="21"/>
                      <w:szCs w:val="21"/>
                    </w:rPr>
                    <w:t>依托现有</w:t>
                  </w:r>
                </w:p>
              </w:tc>
              <w:tc>
                <w:tcPr>
                  <w:tcW w:w="1349" w:type="pct"/>
                  <w:tcBorders>
                    <w:tl2br w:val="nil"/>
                    <w:tr2bl w:val="nil"/>
                  </w:tcBorders>
                  <w:vAlign w:val="center"/>
                </w:tcPr>
                <w:p w14:paraId="4179F3B2">
                  <w:pPr>
                    <w:jc w:val="center"/>
                    <w:rPr>
                      <w:rFonts w:ascii="Times New Roman" w:hAnsi="Times New Roman" w:eastAsia="宋体"/>
                      <w:caps w:val="0"/>
                      <w:color w:val="auto"/>
                      <w:kern w:val="21"/>
                      <w:sz w:val="21"/>
                      <w:szCs w:val="21"/>
                      <w:highlight w:val="none"/>
                    </w:rPr>
                  </w:pPr>
                  <w:r>
                    <w:rPr>
                      <w:rFonts w:hint="eastAsia"/>
                      <w:snapToGrid w:val="0"/>
                      <w:color w:val="auto"/>
                      <w:sz w:val="21"/>
                      <w:szCs w:val="21"/>
                    </w:rPr>
                    <w:t>设一般固废暂存间，位于</w:t>
                  </w:r>
                  <w:r>
                    <w:rPr>
                      <w:rFonts w:hint="eastAsia"/>
                      <w:snapToGrid w:val="0"/>
                      <w:color w:val="auto"/>
                      <w:sz w:val="21"/>
                      <w:szCs w:val="21"/>
                      <w:lang w:val="en-US" w:eastAsia="zh-CN"/>
                    </w:rPr>
                    <w:t>厂区西南侧</w:t>
                  </w:r>
                  <w:r>
                    <w:rPr>
                      <w:rFonts w:hint="eastAsia"/>
                      <w:snapToGrid w:val="0"/>
                      <w:color w:val="auto"/>
                      <w:sz w:val="21"/>
                      <w:szCs w:val="21"/>
                    </w:rPr>
                    <w:t>，占地面积</w:t>
                  </w:r>
                  <w:r>
                    <w:rPr>
                      <w:rFonts w:hint="eastAsia"/>
                      <w:snapToGrid w:val="0"/>
                      <w:color w:val="auto"/>
                      <w:sz w:val="21"/>
                      <w:szCs w:val="21"/>
                      <w:lang w:val="en-US" w:eastAsia="zh-CN"/>
                    </w:rPr>
                    <w:t>2</w:t>
                  </w:r>
                  <w:r>
                    <w:rPr>
                      <w:rFonts w:hint="eastAsia"/>
                      <w:snapToGrid w:val="0"/>
                      <w:color w:val="auto"/>
                      <w:sz w:val="21"/>
                      <w:szCs w:val="21"/>
                    </w:rPr>
                    <w:t>0m</w:t>
                  </w:r>
                  <w:r>
                    <w:rPr>
                      <w:rFonts w:hint="eastAsia"/>
                      <w:snapToGrid w:val="0"/>
                      <w:color w:val="auto"/>
                      <w:sz w:val="21"/>
                      <w:szCs w:val="21"/>
                      <w:vertAlign w:val="superscript"/>
                    </w:rPr>
                    <w:t>2</w:t>
                  </w:r>
                </w:p>
              </w:tc>
              <w:tc>
                <w:tcPr>
                  <w:tcW w:w="539" w:type="pct"/>
                  <w:gridSpan w:val="2"/>
                  <w:tcBorders>
                    <w:tl2br w:val="nil"/>
                    <w:tr2bl w:val="nil"/>
                  </w:tcBorders>
                  <w:vAlign w:val="center"/>
                </w:tcPr>
                <w:p w14:paraId="5DC6E1A9">
                  <w:pPr>
                    <w:jc w:val="center"/>
                    <w:rPr>
                      <w:rFonts w:ascii="Times New Roman" w:hAnsi="Times New Roman" w:eastAsia="宋体"/>
                      <w:caps w:val="0"/>
                      <w:color w:val="auto"/>
                      <w:kern w:val="21"/>
                      <w:sz w:val="21"/>
                      <w:szCs w:val="21"/>
                      <w:highlight w:val="none"/>
                    </w:rPr>
                  </w:pPr>
                  <w:r>
                    <w:rPr>
                      <w:rFonts w:hint="eastAsia"/>
                      <w:color w:val="auto"/>
                      <w:sz w:val="21"/>
                      <w:szCs w:val="21"/>
                    </w:rPr>
                    <w:t>依托现有</w:t>
                  </w:r>
                </w:p>
              </w:tc>
            </w:tr>
            <w:tr w14:paraId="484EF16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23" w:hRule="atLeast"/>
                <w:jc w:val="center"/>
              </w:trPr>
              <w:tc>
                <w:tcPr>
                  <w:tcW w:w="294" w:type="pct"/>
                  <w:gridSpan w:val="2"/>
                  <w:vMerge w:val="continue"/>
                  <w:tcBorders>
                    <w:tl2br w:val="nil"/>
                    <w:tr2bl w:val="nil"/>
                  </w:tcBorders>
                  <w:vAlign w:val="center"/>
                </w:tcPr>
                <w:p w14:paraId="3C96B802">
                  <w:pPr>
                    <w:spacing w:line="340" w:lineRule="exact"/>
                    <w:rPr>
                      <w:rFonts w:ascii="Times New Roman" w:hAnsi="Times New Roman" w:eastAsia="宋体"/>
                      <w:caps w:val="0"/>
                      <w:color w:val="auto"/>
                      <w:kern w:val="21"/>
                      <w:sz w:val="21"/>
                      <w:szCs w:val="21"/>
                      <w:highlight w:val="none"/>
                    </w:rPr>
                  </w:pPr>
                </w:p>
              </w:tc>
              <w:tc>
                <w:tcPr>
                  <w:tcW w:w="422" w:type="pct"/>
                  <w:gridSpan w:val="2"/>
                  <w:vMerge w:val="continue"/>
                  <w:tcBorders>
                    <w:tl2br w:val="nil"/>
                    <w:tr2bl w:val="nil"/>
                  </w:tcBorders>
                  <w:vAlign w:val="center"/>
                </w:tcPr>
                <w:p w14:paraId="406951CE">
                  <w:pPr>
                    <w:spacing w:line="340" w:lineRule="exact"/>
                    <w:rPr>
                      <w:rFonts w:ascii="Times New Roman" w:hAnsi="Times New Roman" w:eastAsia="宋体"/>
                      <w:caps w:val="0"/>
                      <w:color w:val="auto"/>
                      <w:kern w:val="21"/>
                      <w:sz w:val="21"/>
                      <w:szCs w:val="21"/>
                      <w:highlight w:val="none"/>
                    </w:rPr>
                  </w:pPr>
                </w:p>
              </w:tc>
              <w:tc>
                <w:tcPr>
                  <w:tcW w:w="1371" w:type="pct"/>
                  <w:gridSpan w:val="3"/>
                  <w:tcBorders>
                    <w:tl2br w:val="nil"/>
                    <w:tr2bl w:val="nil"/>
                  </w:tcBorders>
                  <w:vAlign w:val="center"/>
                </w:tcPr>
                <w:p w14:paraId="3A64C793">
                  <w:pPr>
                    <w:spacing w:line="340" w:lineRule="exact"/>
                    <w:rPr>
                      <w:rFonts w:ascii="Times New Roman" w:hAnsi="Times New Roman" w:eastAsia="宋体"/>
                      <w:caps w:val="0"/>
                      <w:color w:val="auto"/>
                      <w:kern w:val="21"/>
                      <w:sz w:val="21"/>
                      <w:szCs w:val="21"/>
                      <w:highlight w:val="none"/>
                    </w:rPr>
                  </w:pPr>
                  <w:r>
                    <w:rPr>
                      <w:rFonts w:hint="eastAsia"/>
                      <w:snapToGrid w:val="0"/>
                      <w:color w:val="auto"/>
                      <w:sz w:val="21"/>
                      <w:szCs w:val="21"/>
                      <w:lang w:val="en-US" w:eastAsia="zh-CN"/>
                    </w:rPr>
                    <w:t>设</w:t>
                  </w:r>
                  <w:r>
                    <w:rPr>
                      <w:rFonts w:hint="eastAsia"/>
                      <w:snapToGrid w:val="0"/>
                      <w:color w:val="auto"/>
                      <w:sz w:val="21"/>
                      <w:szCs w:val="21"/>
                    </w:rPr>
                    <w:t>危废暂存库，位于厂区西南侧，占地面积</w:t>
                  </w:r>
                  <w:r>
                    <w:rPr>
                      <w:snapToGrid w:val="0"/>
                      <w:color w:val="auto"/>
                      <w:sz w:val="21"/>
                      <w:szCs w:val="21"/>
                    </w:rPr>
                    <w:t>20</w:t>
                  </w:r>
                  <w:r>
                    <w:rPr>
                      <w:rFonts w:hint="eastAsia"/>
                      <w:snapToGrid w:val="0"/>
                      <w:color w:val="auto"/>
                      <w:sz w:val="21"/>
                      <w:szCs w:val="21"/>
                    </w:rPr>
                    <w:t>m</w:t>
                  </w:r>
                  <w:r>
                    <w:rPr>
                      <w:snapToGrid w:val="0"/>
                      <w:color w:val="auto"/>
                      <w:sz w:val="21"/>
                      <w:szCs w:val="21"/>
                      <w:vertAlign w:val="superscript"/>
                    </w:rPr>
                    <w:t>2</w:t>
                  </w:r>
                </w:p>
              </w:tc>
              <w:tc>
                <w:tcPr>
                  <w:tcW w:w="1022" w:type="pct"/>
                  <w:gridSpan w:val="2"/>
                  <w:tcBorders>
                    <w:tl2br w:val="nil"/>
                    <w:tr2bl w:val="nil"/>
                  </w:tcBorders>
                  <w:vAlign w:val="center"/>
                </w:tcPr>
                <w:p w14:paraId="42CB75E5">
                  <w:pPr>
                    <w:jc w:val="center"/>
                    <w:rPr>
                      <w:rFonts w:hint="eastAsia" w:ascii="Times New Roman" w:hAnsi="Times New Roman" w:eastAsia="宋体"/>
                      <w:caps w:val="0"/>
                      <w:color w:val="auto"/>
                      <w:kern w:val="21"/>
                      <w:sz w:val="21"/>
                      <w:szCs w:val="21"/>
                      <w:highlight w:val="none"/>
                      <w:lang w:val="en-US" w:eastAsia="zh-CN"/>
                    </w:rPr>
                  </w:pPr>
                  <w:r>
                    <w:rPr>
                      <w:rFonts w:hint="eastAsia"/>
                      <w:color w:val="auto"/>
                      <w:sz w:val="21"/>
                      <w:szCs w:val="21"/>
                    </w:rPr>
                    <w:t>依托现有</w:t>
                  </w:r>
                </w:p>
              </w:tc>
              <w:tc>
                <w:tcPr>
                  <w:tcW w:w="1349" w:type="pct"/>
                  <w:tcBorders>
                    <w:tl2br w:val="nil"/>
                    <w:tr2bl w:val="nil"/>
                  </w:tcBorders>
                  <w:vAlign w:val="center"/>
                </w:tcPr>
                <w:p w14:paraId="1FCB2159">
                  <w:pPr>
                    <w:spacing w:line="340" w:lineRule="exact"/>
                    <w:rPr>
                      <w:rFonts w:ascii="Times New Roman" w:hAnsi="Times New Roman" w:eastAsia="宋体"/>
                      <w:caps w:val="0"/>
                      <w:color w:val="auto"/>
                      <w:kern w:val="21"/>
                      <w:sz w:val="21"/>
                      <w:szCs w:val="21"/>
                      <w:highlight w:val="none"/>
                    </w:rPr>
                  </w:pPr>
                  <w:r>
                    <w:rPr>
                      <w:rFonts w:hint="eastAsia"/>
                      <w:snapToGrid w:val="0"/>
                      <w:color w:val="auto"/>
                      <w:sz w:val="21"/>
                      <w:szCs w:val="21"/>
                      <w:lang w:val="en-US" w:eastAsia="zh-CN"/>
                    </w:rPr>
                    <w:t>设</w:t>
                  </w:r>
                  <w:r>
                    <w:rPr>
                      <w:rFonts w:hint="eastAsia"/>
                      <w:snapToGrid w:val="0"/>
                      <w:color w:val="auto"/>
                      <w:sz w:val="21"/>
                      <w:szCs w:val="21"/>
                    </w:rPr>
                    <w:t>危废暂存库，位于厂区西南侧，占地面积</w:t>
                  </w:r>
                  <w:r>
                    <w:rPr>
                      <w:snapToGrid w:val="0"/>
                      <w:color w:val="auto"/>
                      <w:sz w:val="21"/>
                      <w:szCs w:val="21"/>
                    </w:rPr>
                    <w:t>20</w:t>
                  </w:r>
                  <w:r>
                    <w:rPr>
                      <w:rFonts w:hint="eastAsia"/>
                      <w:snapToGrid w:val="0"/>
                      <w:color w:val="auto"/>
                      <w:sz w:val="21"/>
                      <w:szCs w:val="21"/>
                    </w:rPr>
                    <w:t>m</w:t>
                  </w:r>
                  <w:r>
                    <w:rPr>
                      <w:snapToGrid w:val="0"/>
                      <w:color w:val="auto"/>
                      <w:sz w:val="21"/>
                      <w:szCs w:val="21"/>
                      <w:vertAlign w:val="superscript"/>
                    </w:rPr>
                    <w:t>2</w:t>
                  </w:r>
                </w:p>
              </w:tc>
              <w:tc>
                <w:tcPr>
                  <w:tcW w:w="539" w:type="pct"/>
                  <w:gridSpan w:val="2"/>
                  <w:tcBorders>
                    <w:tl2br w:val="nil"/>
                    <w:tr2bl w:val="nil"/>
                  </w:tcBorders>
                  <w:vAlign w:val="center"/>
                </w:tcPr>
                <w:p w14:paraId="7AFF8618">
                  <w:pPr>
                    <w:jc w:val="center"/>
                    <w:rPr>
                      <w:rFonts w:ascii="Times New Roman" w:hAnsi="Times New Roman" w:eastAsia="宋体"/>
                      <w:caps w:val="0"/>
                      <w:color w:val="auto"/>
                      <w:kern w:val="21"/>
                      <w:sz w:val="21"/>
                      <w:szCs w:val="21"/>
                      <w:highlight w:val="none"/>
                    </w:rPr>
                  </w:pPr>
                  <w:r>
                    <w:rPr>
                      <w:rFonts w:hint="eastAsia"/>
                      <w:color w:val="auto"/>
                      <w:sz w:val="21"/>
                      <w:szCs w:val="21"/>
                    </w:rPr>
                    <w:t>依托现有</w:t>
                  </w:r>
                </w:p>
              </w:tc>
            </w:tr>
            <w:tr w14:paraId="1E20665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74B9E52F">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78FBF016">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sz w:val="21"/>
                      <w:szCs w:val="21"/>
                      <w:highlight w:val="none"/>
                    </w:rPr>
                    <w:t>地下水、土壤</w:t>
                  </w:r>
                </w:p>
              </w:tc>
              <w:tc>
                <w:tcPr>
                  <w:tcW w:w="1371" w:type="pct"/>
                  <w:gridSpan w:val="3"/>
                  <w:tcBorders>
                    <w:tl2br w:val="nil"/>
                    <w:tr2bl w:val="nil"/>
                  </w:tcBorders>
                  <w:vAlign w:val="center"/>
                </w:tcPr>
                <w:p w14:paraId="72E6C23C">
                  <w:pPr>
                    <w:spacing w:line="340" w:lineRule="exact"/>
                    <w:rPr>
                      <w:rFonts w:ascii="Times New Roman" w:hAnsi="Times New Roman" w:eastAsia="宋体"/>
                      <w:caps w:val="0"/>
                      <w:color w:val="auto"/>
                      <w:kern w:val="21"/>
                      <w:sz w:val="21"/>
                      <w:szCs w:val="21"/>
                      <w:highlight w:val="none"/>
                    </w:rPr>
                  </w:pPr>
                  <w:r>
                    <w:rPr>
                      <w:rFonts w:ascii="Times New Roman" w:hAnsi="Times New Roman" w:eastAsia="宋体"/>
                      <w:caps w:val="0"/>
                      <w:color w:val="auto"/>
                      <w:sz w:val="21"/>
                      <w:szCs w:val="21"/>
                      <w:highlight w:val="none"/>
                    </w:rPr>
                    <w:t>分区防渗：</w:t>
                  </w:r>
                  <w:r>
                    <w:rPr>
                      <w:rFonts w:hint="eastAsia" w:ascii="Times New Roman" w:hAnsi="Times New Roman" w:eastAsia="宋体"/>
                      <w:caps w:val="0"/>
                      <w:color w:val="auto"/>
                      <w:sz w:val="21"/>
                      <w:szCs w:val="21"/>
                      <w:highlight w:val="none"/>
                      <w:lang w:val="en-US" w:eastAsia="zh-CN"/>
                    </w:rPr>
                    <w:t>原料库、</w:t>
                  </w:r>
                  <w:r>
                    <w:rPr>
                      <w:rFonts w:ascii="Times New Roman" w:hAnsi="Times New Roman" w:eastAsia="宋体"/>
                      <w:caps w:val="0"/>
                      <w:color w:val="auto"/>
                      <w:spacing w:val="4"/>
                      <w:sz w:val="21"/>
                      <w:szCs w:val="21"/>
                      <w:highlight w:val="none"/>
                    </w:rPr>
                    <w:t>危废暂存库</w:t>
                  </w:r>
                  <w:r>
                    <w:rPr>
                      <w:rFonts w:ascii="Times New Roman" w:hAnsi="Times New Roman" w:eastAsia="宋体"/>
                      <w:caps w:val="0"/>
                      <w:color w:val="auto"/>
                      <w:sz w:val="21"/>
                      <w:szCs w:val="21"/>
                      <w:highlight w:val="none"/>
                    </w:rPr>
                    <w:t>采取重点防渗；</w:t>
                  </w:r>
                  <w:r>
                    <w:rPr>
                      <w:rFonts w:hint="eastAsia" w:ascii="Times New Roman" w:hAnsi="Times New Roman" w:eastAsia="宋体"/>
                      <w:bCs/>
                      <w:caps w:val="0"/>
                      <w:color w:val="auto"/>
                      <w:sz w:val="21"/>
                      <w:szCs w:val="21"/>
                      <w:highlight w:val="none"/>
                    </w:rPr>
                    <w:t>生产区、其他仓库区域</w:t>
                  </w:r>
                  <w:r>
                    <w:rPr>
                      <w:rFonts w:ascii="Times New Roman" w:hAnsi="Times New Roman" w:eastAsia="宋体"/>
                      <w:caps w:val="0"/>
                      <w:color w:val="auto"/>
                      <w:sz w:val="21"/>
                      <w:szCs w:val="21"/>
                      <w:highlight w:val="none"/>
                    </w:rPr>
                    <w:t>采取一般防渗</w:t>
                  </w:r>
                  <w:r>
                    <w:rPr>
                      <w:rFonts w:hint="eastAsia" w:ascii="Times New Roman" w:hAnsi="Times New Roman" w:eastAsia="宋体"/>
                      <w:caps w:val="0"/>
                      <w:color w:val="auto"/>
                      <w:sz w:val="21"/>
                      <w:szCs w:val="21"/>
                      <w:highlight w:val="none"/>
                    </w:rPr>
                    <w:t>；</w:t>
                  </w:r>
                  <w:r>
                    <w:rPr>
                      <w:rFonts w:ascii="Times New Roman" w:hAnsi="Times New Roman" w:eastAsia="宋体"/>
                      <w:caps w:val="0"/>
                      <w:color w:val="auto"/>
                      <w:sz w:val="21"/>
                      <w:szCs w:val="21"/>
                      <w:highlight w:val="none"/>
                    </w:rPr>
                    <w:t>除重点防渗区、一般防渗区外的区域</w:t>
                  </w:r>
                  <w:r>
                    <w:rPr>
                      <w:rFonts w:hint="eastAsia" w:ascii="Times New Roman" w:hAnsi="Times New Roman" w:eastAsia="宋体"/>
                      <w:caps w:val="0"/>
                      <w:color w:val="auto"/>
                      <w:sz w:val="21"/>
                      <w:szCs w:val="21"/>
                      <w:highlight w:val="none"/>
                    </w:rPr>
                    <w:t>采取</w:t>
                  </w:r>
                  <w:r>
                    <w:rPr>
                      <w:rFonts w:ascii="Times New Roman" w:hAnsi="Times New Roman" w:eastAsia="宋体"/>
                      <w:caps w:val="0"/>
                      <w:color w:val="auto"/>
                      <w:sz w:val="21"/>
                      <w:szCs w:val="21"/>
                      <w:highlight w:val="none"/>
                    </w:rPr>
                    <w:t>简单防渗</w:t>
                  </w:r>
                </w:p>
              </w:tc>
              <w:tc>
                <w:tcPr>
                  <w:tcW w:w="1022" w:type="pct"/>
                  <w:gridSpan w:val="2"/>
                  <w:tcBorders>
                    <w:tl2br w:val="nil"/>
                    <w:tr2bl w:val="nil"/>
                  </w:tcBorders>
                  <w:vAlign w:val="center"/>
                </w:tcPr>
                <w:p w14:paraId="7C582CF8">
                  <w:pPr>
                    <w:spacing w:line="340" w:lineRule="exact"/>
                    <w:rPr>
                      <w:rFonts w:ascii="Times New Roman" w:hAnsi="Times New Roman" w:eastAsia="宋体"/>
                      <w:caps w:val="0"/>
                      <w:color w:val="auto"/>
                      <w:kern w:val="21"/>
                      <w:sz w:val="21"/>
                      <w:szCs w:val="21"/>
                      <w:highlight w:val="none"/>
                    </w:rPr>
                  </w:pPr>
                  <w:r>
                    <w:rPr>
                      <w:rFonts w:ascii="Times New Roman" w:hAnsi="Times New Roman" w:eastAsia="宋体"/>
                      <w:caps w:val="0"/>
                      <w:color w:val="auto"/>
                      <w:sz w:val="21"/>
                      <w:szCs w:val="21"/>
                      <w:highlight w:val="none"/>
                    </w:rPr>
                    <w:t>分区防渗：</w:t>
                  </w:r>
                  <w:r>
                    <w:rPr>
                      <w:rFonts w:hint="eastAsia"/>
                      <w:caps w:val="0"/>
                      <w:color w:val="auto"/>
                      <w:sz w:val="21"/>
                      <w:szCs w:val="21"/>
                      <w:highlight w:val="none"/>
                      <w:lang w:val="en-US" w:eastAsia="zh-CN"/>
                    </w:rPr>
                    <w:t>原料库</w:t>
                  </w:r>
                  <w:r>
                    <w:rPr>
                      <w:rFonts w:hint="eastAsia" w:ascii="Times New Roman" w:hAnsi="Times New Roman" w:eastAsia="宋体"/>
                      <w:caps w:val="0"/>
                      <w:color w:val="auto"/>
                      <w:sz w:val="21"/>
                      <w:szCs w:val="21"/>
                      <w:highlight w:val="none"/>
                      <w:lang w:val="en-US" w:eastAsia="zh-CN"/>
                    </w:rPr>
                    <w:t>、危废暂存库</w:t>
                  </w:r>
                  <w:r>
                    <w:rPr>
                      <w:rFonts w:ascii="Times New Roman" w:hAnsi="Times New Roman" w:eastAsia="宋体"/>
                      <w:caps w:val="0"/>
                      <w:color w:val="auto"/>
                      <w:sz w:val="21"/>
                      <w:szCs w:val="21"/>
                      <w:highlight w:val="none"/>
                    </w:rPr>
                    <w:t>采取重点防渗；</w:t>
                  </w:r>
                  <w:r>
                    <w:rPr>
                      <w:rFonts w:hint="eastAsia" w:ascii="Times New Roman" w:hAnsi="Times New Roman" w:eastAsia="宋体"/>
                      <w:bCs/>
                      <w:caps w:val="0"/>
                      <w:color w:val="auto"/>
                      <w:sz w:val="21"/>
                      <w:szCs w:val="21"/>
                      <w:highlight w:val="none"/>
                    </w:rPr>
                    <w:t>生产区、其他仓库区域</w:t>
                  </w:r>
                  <w:r>
                    <w:rPr>
                      <w:rFonts w:ascii="Times New Roman" w:hAnsi="Times New Roman" w:eastAsia="宋体"/>
                      <w:caps w:val="0"/>
                      <w:color w:val="auto"/>
                      <w:sz w:val="21"/>
                      <w:szCs w:val="21"/>
                      <w:highlight w:val="none"/>
                    </w:rPr>
                    <w:t>采取一般防渗</w:t>
                  </w:r>
                  <w:r>
                    <w:rPr>
                      <w:rFonts w:hint="eastAsia" w:ascii="Times New Roman" w:hAnsi="Times New Roman" w:eastAsia="宋体"/>
                      <w:caps w:val="0"/>
                      <w:color w:val="auto"/>
                      <w:sz w:val="21"/>
                      <w:szCs w:val="21"/>
                      <w:highlight w:val="none"/>
                    </w:rPr>
                    <w:t>；</w:t>
                  </w:r>
                  <w:r>
                    <w:rPr>
                      <w:rFonts w:ascii="Times New Roman" w:hAnsi="Times New Roman" w:eastAsia="宋体"/>
                      <w:caps w:val="0"/>
                      <w:color w:val="auto"/>
                      <w:sz w:val="21"/>
                      <w:szCs w:val="21"/>
                      <w:highlight w:val="none"/>
                    </w:rPr>
                    <w:t>除重点防渗区、一般防渗区外的区域</w:t>
                  </w:r>
                  <w:r>
                    <w:rPr>
                      <w:rFonts w:hint="eastAsia" w:ascii="Times New Roman" w:hAnsi="Times New Roman" w:eastAsia="宋体"/>
                      <w:caps w:val="0"/>
                      <w:color w:val="auto"/>
                      <w:sz w:val="21"/>
                      <w:szCs w:val="21"/>
                      <w:highlight w:val="none"/>
                    </w:rPr>
                    <w:t>采取</w:t>
                  </w:r>
                  <w:r>
                    <w:rPr>
                      <w:rFonts w:ascii="Times New Roman" w:hAnsi="Times New Roman" w:eastAsia="宋体"/>
                      <w:caps w:val="0"/>
                      <w:color w:val="auto"/>
                      <w:sz w:val="21"/>
                      <w:szCs w:val="21"/>
                      <w:highlight w:val="none"/>
                    </w:rPr>
                    <w:t>简单防渗</w:t>
                  </w:r>
                </w:p>
              </w:tc>
              <w:tc>
                <w:tcPr>
                  <w:tcW w:w="1349" w:type="pct"/>
                  <w:tcBorders>
                    <w:tl2br w:val="nil"/>
                    <w:tr2bl w:val="nil"/>
                  </w:tcBorders>
                  <w:vAlign w:val="center"/>
                </w:tcPr>
                <w:p w14:paraId="024CA31E">
                  <w:pPr>
                    <w:spacing w:line="340" w:lineRule="exact"/>
                    <w:rPr>
                      <w:rFonts w:ascii="Times New Roman" w:hAnsi="Times New Roman" w:eastAsia="宋体"/>
                      <w:caps w:val="0"/>
                      <w:color w:val="auto"/>
                      <w:kern w:val="21"/>
                      <w:sz w:val="21"/>
                      <w:szCs w:val="21"/>
                      <w:highlight w:val="none"/>
                    </w:rPr>
                  </w:pPr>
                  <w:r>
                    <w:rPr>
                      <w:rFonts w:ascii="Times New Roman" w:hAnsi="Times New Roman" w:eastAsia="宋体"/>
                      <w:caps w:val="0"/>
                      <w:color w:val="auto"/>
                      <w:sz w:val="21"/>
                      <w:szCs w:val="21"/>
                      <w:highlight w:val="none"/>
                    </w:rPr>
                    <w:t>分区防渗：</w:t>
                  </w:r>
                  <w:r>
                    <w:rPr>
                      <w:rFonts w:hint="eastAsia"/>
                      <w:caps w:val="0"/>
                      <w:color w:val="auto"/>
                      <w:sz w:val="21"/>
                      <w:szCs w:val="21"/>
                      <w:highlight w:val="none"/>
                      <w:lang w:val="en-US" w:eastAsia="zh-CN"/>
                    </w:rPr>
                    <w:t>原料库</w:t>
                  </w:r>
                  <w:r>
                    <w:rPr>
                      <w:rFonts w:hint="eastAsia" w:ascii="Times New Roman" w:hAnsi="Times New Roman" w:eastAsia="宋体"/>
                      <w:caps w:val="0"/>
                      <w:color w:val="auto"/>
                      <w:sz w:val="21"/>
                      <w:szCs w:val="21"/>
                      <w:highlight w:val="none"/>
                      <w:lang w:val="en-US" w:eastAsia="zh-CN"/>
                    </w:rPr>
                    <w:t>、危废暂存库</w:t>
                  </w:r>
                  <w:r>
                    <w:rPr>
                      <w:rFonts w:ascii="Times New Roman" w:hAnsi="Times New Roman" w:eastAsia="宋体"/>
                      <w:caps w:val="0"/>
                      <w:color w:val="auto"/>
                      <w:sz w:val="21"/>
                      <w:szCs w:val="21"/>
                      <w:highlight w:val="none"/>
                    </w:rPr>
                    <w:t>采取重点防渗；</w:t>
                  </w:r>
                  <w:r>
                    <w:rPr>
                      <w:rFonts w:hint="eastAsia" w:ascii="Times New Roman" w:hAnsi="Times New Roman" w:eastAsia="宋体"/>
                      <w:bCs/>
                      <w:caps w:val="0"/>
                      <w:color w:val="auto"/>
                      <w:sz w:val="21"/>
                      <w:szCs w:val="21"/>
                      <w:highlight w:val="none"/>
                    </w:rPr>
                    <w:t>生产区、其他仓库区域</w:t>
                  </w:r>
                  <w:r>
                    <w:rPr>
                      <w:rFonts w:ascii="Times New Roman" w:hAnsi="Times New Roman" w:eastAsia="宋体"/>
                      <w:caps w:val="0"/>
                      <w:color w:val="auto"/>
                      <w:sz w:val="21"/>
                      <w:szCs w:val="21"/>
                      <w:highlight w:val="none"/>
                    </w:rPr>
                    <w:t>采取一般防渗</w:t>
                  </w:r>
                  <w:r>
                    <w:rPr>
                      <w:rFonts w:hint="eastAsia" w:ascii="Times New Roman" w:hAnsi="Times New Roman" w:eastAsia="宋体"/>
                      <w:caps w:val="0"/>
                      <w:color w:val="auto"/>
                      <w:sz w:val="21"/>
                      <w:szCs w:val="21"/>
                      <w:highlight w:val="none"/>
                    </w:rPr>
                    <w:t>；</w:t>
                  </w:r>
                  <w:r>
                    <w:rPr>
                      <w:rFonts w:ascii="Times New Roman" w:hAnsi="Times New Roman" w:eastAsia="宋体"/>
                      <w:caps w:val="0"/>
                      <w:color w:val="auto"/>
                      <w:sz w:val="21"/>
                      <w:szCs w:val="21"/>
                      <w:highlight w:val="none"/>
                    </w:rPr>
                    <w:t>除重点防渗区、一般防渗区外的区域</w:t>
                  </w:r>
                  <w:r>
                    <w:rPr>
                      <w:rFonts w:hint="eastAsia" w:ascii="Times New Roman" w:hAnsi="Times New Roman" w:eastAsia="宋体"/>
                      <w:caps w:val="0"/>
                      <w:color w:val="auto"/>
                      <w:sz w:val="21"/>
                      <w:szCs w:val="21"/>
                      <w:highlight w:val="none"/>
                    </w:rPr>
                    <w:t>采取</w:t>
                  </w:r>
                  <w:r>
                    <w:rPr>
                      <w:rFonts w:ascii="Times New Roman" w:hAnsi="Times New Roman" w:eastAsia="宋体"/>
                      <w:caps w:val="0"/>
                      <w:color w:val="auto"/>
                      <w:sz w:val="21"/>
                      <w:szCs w:val="21"/>
                      <w:highlight w:val="none"/>
                    </w:rPr>
                    <w:t>简单防渗</w:t>
                  </w:r>
                </w:p>
              </w:tc>
              <w:tc>
                <w:tcPr>
                  <w:tcW w:w="539" w:type="pct"/>
                  <w:gridSpan w:val="2"/>
                  <w:tcBorders>
                    <w:tl2br w:val="nil"/>
                    <w:tr2bl w:val="nil"/>
                  </w:tcBorders>
                  <w:vAlign w:val="center"/>
                </w:tcPr>
                <w:p w14:paraId="6EB4A80F">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依托现有</w:t>
                  </w:r>
                </w:p>
              </w:tc>
            </w:tr>
            <w:tr w14:paraId="3E31C4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94" w:type="pct"/>
                  <w:gridSpan w:val="2"/>
                  <w:vMerge w:val="continue"/>
                  <w:tcBorders>
                    <w:tl2br w:val="nil"/>
                    <w:tr2bl w:val="nil"/>
                  </w:tcBorders>
                  <w:vAlign w:val="center"/>
                </w:tcPr>
                <w:p w14:paraId="06E17F31">
                  <w:pPr>
                    <w:spacing w:line="340" w:lineRule="exact"/>
                    <w:ind w:firstLine="420"/>
                    <w:jc w:val="center"/>
                    <w:rPr>
                      <w:rFonts w:ascii="Times New Roman" w:hAnsi="Times New Roman" w:eastAsia="宋体"/>
                      <w:caps w:val="0"/>
                      <w:color w:val="auto"/>
                      <w:kern w:val="21"/>
                      <w:sz w:val="21"/>
                      <w:szCs w:val="21"/>
                      <w:highlight w:val="none"/>
                    </w:rPr>
                  </w:pPr>
                </w:p>
              </w:tc>
              <w:tc>
                <w:tcPr>
                  <w:tcW w:w="422" w:type="pct"/>
                  <w:gridSpan w:val="2"/>
                  <w:tcBorders>
                    <w:tl2br w:val="nil"/>
                    <w:tr2bl w:val="nil"/>
                  </w:tcBorders>
                  <w:vAlign w:val="center"/>
                </w:tcPr>
                <w:p w14:paraId="59E00E40">
                  <w:pPr>
                    <w:spacing w:line="340" w:lineRule="exact"/>
                    <w:jc w:val="center"/>
                    <w:rPr>
                      <w:rFonts w:ascii="Times New Roman" w:hAnsi="Times New Roman" w:eastAsia="宋体"/>
                      <w:caps w:val="0"/>
                      <w:color w:val="auto"/>
                      <w:kern w:val="21"/>
                      <w:sz w:val="21"/>
                      <w:szCs w:val="21"/>
                      <w:highlight w:val="none"/>
                    </w:rPr>
                  </w:pPr>
                  <w:r>
                    <w:rPr>
                      <w:rFonts w:ascii="Times New Roman" w:hAnsi="Times New Roman" w:eastAsia="宋体"/>
                      <w:caps w:val="0"/>
                      <w:color w:val="auto"/>
                      <w:sz w:val="21"/>
                      <w:szCs w:val="21"/>
                      <w:highlight w:val="none"/>
                    </w:rPr>
                    <w:t>环境风险防范</w:t>
                  </w:r>
                </w:p>
              </w:tc>
              <w:tc>
                <w:tcPr>
                  <w:tcW w:w="1371" w:type="pct"/>
                  <w:gridSpan w:val="3"/>
                  <w:tcBorders>
                    <w:tl2br w:val="nil"/>
                    <w:tr2bl w:val="nil"/>
                  </w:tcBorders>
                  <w:vAlign w:val="center"/>
                </w:tcPr>
                <w:p w14:paraId="253B734A">
                  <w:pPr>
                    <w:spacing w:line="340" w:lineRule="exact"/>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sz w:val="21"/>
                      <w:szCs w:val="21"/>
                      <w:highlight w:val="none"/>
                    </w:rPr>
                    <w:t>配备风险防范物资，</w:t>
                  </w:r>
                  <w:r>
                    <w:rPr>
                      <w:rFonts w:hint="eastAsia" w:ascii="Times New Roman" w:hAnsi="Times New Roman" w:eastAsia="宋体"/>
                      <w:caps w:val="0"/>
                      <w:color w:val="auto"/>
                      <w:sz w:val="21"/>
                      <w:szCs w:val="21"/>
                      <w:highlight w:val="none"/>
                      <w:lang w:val="en-US" w:eastAsia="zh-CN"/>
                    </w:rPr>
                    <w:t>采取</w:t>
                  </w:r>
                  <w:r>
                    <w:rPr>
                      <w:rFonts w:hint="eastAsia" w:ascii="Times New Roman" w:hAnsi="Times New Roman" w:eastAsia="宋体"/>
                      <w:caps w:val="0"/>
                      <w:color w:val="auto"/>
                      <w:sz w:val="21"/>
                      <w:szCs w:val="21"/>
                      <w:highlight w:val="none"/>
                    </w:rPr>
                    <w:t>风险防范措施</w:t>
                  </w:r>
                </w:p>
              </w:tc>
              <w:tc>
                <w:tcPr>
                  <w:tcW w:w="1022" w:type="pct"/>
                  <w:gridSpan w:val="2"/>
                  <w:tcBorders>
                    <w:tl2br w:val="nil"/>
                    <w:tr2bl w:val="nil"/>
                  </w:tcBorders>
                  <w:vAlign w:val="center"/>
                </w:tcPr>
                <w:p w14:paraId="662C2BBA">
                  <w:pPr>
                    <w:spacing w:line="340" w:lineRule="exact"/>
                    <w:rPr>
                      <w:rFonts w:ascii="Times New Roman" w:hAnsi="Times New Roman" w:eastAsia="宋体"/>
                      <w:caps w:val="0"/>
                      <w:color w:val="auto"/>
                      <w:kern w:val="21"/>
                      <w:sz w:val="21"/>
                      <w:szCs w:val="21"/>
                      <w:highlight w:val="none"/>
                    </w:rPr>
                  </w:pPr>
                  <w:r>
                    <w:rPr>
                      <w:rFonts w:hint="eastAsia"/>
                      <w:caps w:val="0"/>
                      <w:color w:val="auto"/>
                      <w:sz w:val="21"/>
                      <w:szCs w:val="21"/>
                      <w:highlight w:val="none"/>
                      <w:lang w:val="en-US" w:eastAsia="zh-CN"/>
                    </w:rPr>
                    <w:t>依托现有</w:t>
                  </w:r>
                  <w:r>
                    <w:rPr>
                      <w:rFonts w:hint="eastAsia" w:ascii="Times New Roman" w:hAnsi="Times New Roman" w:eastAsia="宋体"/>
                      <w:caps w:val="0"/>
                      <w:color w:val="auto"/>
                      <w:sz w:val="21"/>
                      <w:szCs w:val="21"/>
                      <w:highlight w:val="none"/>
                    </w:rPr>
                    <w:t>风险防范物资</w:t>
                  </w:r>
                </w:p>
              </w:tc>
              <w:tc>
                <w:tcPr>
                  <w:tcW w:w="1349" w:type="pct"/>
                  <w:tcBorders>
                    <w:tl2br w:val="nil"/>
                    <w:tr2bl w:val="nil"/>
                  </w:tcBorders>
                  <w:vAlign w:val="center"/>
                </w:tcPr>
                <w:p w14:paraId="5CD4E2BB">
                  <w:pPr>
                    <w:spacing w:line="340" w:lineRule="exact"/>
                    <w:rPr>
                      <w:rFonts w:ascii="Times New Roman" w:hAnsi="Times New Roman" w:eastAsia="宋体"/>
                      <w:caps w:val="0"/>
                      <w:color w:val="auto"/>
                      <w:kern w:val="21"/>
                      <w:sz w:val="21"/>
                      <w:szCs w:val="21"/>
                      <w:highlight w:val="none"/>
                    </w:rPr>
                  </w:pPr>
                  <w:r>
                    <w:rPr>
                      <w:rFonts w:hint="eastAsia" w:ascii="Times New Roman" w:hAnsi="Times New Roman" w:eastAsia="宋体"/>
                      <w:caps w:val="0"/>
                      <w:color w:val="auto"/>
                      <w:sz w:val="21"/>
                      <w:szCs w:val="21"/>
                      <w:highlight w:val="none"/>
                    </w:rPr>
                    <w:t>配备风险防范物资，</w:t>
                  </w:r>
                  <w:r>
                    <w:rPr>
                      <w:rFonts w:hint="eastAsia" w:ascii="Times New Roman" w:hAnsi="Times New Roman" w:eastAsia="宋体"/>
                      <w:caps w:val="0"/>
                      <w:color w:val="auto"/>
                      <w:sz w:val="21"/>
                      <w:szCs w:val="21"/>
                      <w:highlight w:val="none"/>
                      <w:lang w:val="en-US" w:eastAsia="zh-CN"/>
                    </w:rPr>
                    <w:t>采取</w:t>
                  </w:r>
                  <w:r>
                    <w:rPr>
                      <w:rFonts w:hint="eastAsia" w:ascii="Times New Roman" w:hAnsi="Times New Roman" w:eastAsia="宋体"/>
                      <w:caps w:val="0"/>
                      <w:color w:val="auto"/>
                      <w:sz w:val="21"/>
                      <w:szCs w:val="21"/>
                      <w:highlight w:val="none"/>
                    </w:rPr>
                    <w:t>风险防范措施</w:t>
                  </w:r>
                </w:p>
              </w:tc>
              <w:tc>
                <w:tcPr>
                  <w:tcW w:w="539" w:type="pct"/>
                  <w:gridSpan w:val="2"/>
                  <w:tcBorders>
                    <w:tl2br w:val="nil"/>
                    <w:tr2bl w:val="nil"/>
                  </w:tcBorders>
                  <w:vAlign w:val="center"/>
                </w:tcPr>
                <w:p w14:paraId="242B460D">
                  <w:pPr>
                    <w:spacing w:line="340" w:lineRule="exact"/>
                    <w:jc w:val="center"/>
                    <w:rPr>
                      <w:rFonts w:hint="default" w:ascii="Times New Roman" w:hAnsi="Times New Roman" w:eastAsia="宋体"/>
                      <w:caps w:val="0"/>
                      <w:color w:val="auto"/>
                      <w:kern w:val="21"/>
                      <w:sz w:val="21"/>
                      <w:szCs w:val="21"/>
                      <w:highlight w:val="none"/>
                      <w:lang w:val="en-US" w:eastAsia="zh-CN"/>
                    </w:rPr>
                  </w:pPr>
                  <w:r>
                    <w:rPr>
                      <w:rFonts w:hint="eastAsia"/>
                      <w:caps w:val="0"/>
                      <w:color w:val="auto"/>
                      <w:kern w:val="21"/>
                      <w:sz w:val="21"/>
                      <w:szCs w:val="21"/>
                      <w:highlight w:val="none"/>
                      <w:lang w:val="en-US" w:eastAsia="zh-CN"/>
                    </w:rPr>
                    <w:t>依托现有</w:t>
                  </w:r>
                </w:p>
              </w:tc>
            </w:tr>
          </w:tbl>
          <w:p w14:paraId="08494450">
            <w:pPr>
              <w:keepNext w:val="0"/>
              <w:keepLines w:val="0"/>
              <w:pageBreakBefore w:val="0"/>
              <w:kinsoku/>
              <w:wordWrap/>
              <w:overflowPunct/>
              <w:topLinePunct w:val="0"/>
              <w:autoSpaceDE/>
              <w:autoSpaceDN/>
              <w:bidi w:val="0"/>
              <w:adjustRightInd/>
              <w:spacing w:line="360" w:lineRule="auto"/>
              <w:ind w:firstLine="482" w:firstLineChars="200"/>
              <w:textAlignment w:val="auto"/>
              <w:rPr>
                <w:rFonts w:ascii="Times New Roman" w:hAnsi="Times New Roman" w:eastAsia="宋体"/>
                <w:b/>
                <w:caps w:val="0"/>
                <w:color w:val="auto"/>
                <w:kern w:val="0"/>
                <w:sz w:val="24"/>
                <w:highlight w:val="none"/>
              </w:rPr>
            </w:pPr>
            <w:r>
              <w:rPr>
                <w:rFonts w:hint="eastAsia" w:ascii="Times New Roman" w:hAnsi="Times New Roman" w:eastAsia="宋体"/>
                <w:b/>
                <w:caps w:val="0"/>
                <w:color w:val="auto"/>
                <w:kern w:val="0"/>
                <w:sz w:val="24"/>
                <w:highlight w:val="none"/>
              </w:rPr>
              <w:t>4、主要生产设备</w:t>
            </w:r>
          </w:p>
          <w:p w14:paraId="721E51E0">
            <w:pPr>
              <w:keepNext w:val="0"/>
              <w:keepLines w:val="0"/>
              <w:pageBreakBefore w:val="0"/>
              <w:kinsoku/>
              <w:wordWrap/>
              <w:overflowPunct/>
              <w:topLinePunct w:val="0"/>
              <w:autoSpaceDE/>
              <w:autoSpaceDN/>
              <w:bidi w:val="0"/>
              <w:adjustRightInd/>
              <w:spacing w:line="360" w:lineRule="auto"/>
              <w:ind w:firstLine="480" w:firstLineChars="200"/>
              <w:textAlignment w:val="auto"/>
              <w:rPr>
                <w:rFonts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建设项目主要生产设备见表2-</w:t>
            </w:r>
            <w:r>
              <w:rPr>
                <w:rFonts w:hint="eastAsia" w:ascii="Times New Roman" w:hAnsi="Times New Roman" w:eastAsia="宋体"/>
                <w:caps w:val="0"/>
                <w:color w:val="auto"/>
                <w:sz w:val="24"/>
                <w:highlight w:val="none"/>
                <w:lang w:val="en-US" w:eastAsia="zh-CN"/>
              </w:rPr>
              <w:t>5</w:t>
            </w:r>
            <w:r>
              <w:rPr>
                <w:rFonts w:hint="eastAsia" w:ascii="Times New Roman" w:hAnsi="Times New Roman" w:eastAsia="宋体"/>
                <w:caps w:val="0"/>
                <w:color w:val="auto"/>
                <w:sz w:val="24"/>
                <w:highlight w:val="none"/>
              </w:rPr>
              <w:t>。</w:t>
            </w:r>
          </w:p>
          <w:p w14:paraId="4A11A06F">
            <w:pPr>
              <w:pStyle w:val="56"/>
              <w:keepNext w:val="0"/>
              <w:keepLines w:val="0"/>
              <w:pageBreakBefore w:val="0"/>
              <w:kinsoku/>
              <w:wordWrap/>
              <w:overflowPunct/>
              <w:topLinePunct w:val="0"/>
              <w:autoSpaceDE/>
              <w:autoSpaceDN/>
              <w:bidi w:val="0"/>
              <w:adjustRightInd/>
              <w:spacing w:beforeLines="0" w:afterLines="0" w:line="360" w:lineRule="auto"/>
              <w:ind w:firstLine="482" w:firstLineChars="200"/>
              <w:textAlignment w:val="auto"/>
              <w:rPr>
                <w:rFonts w:ascii="Times New Roman" w:hAnsi="Times New Roman" w:eastAsia="宋体"/>
                <w:caps w:val="0"/>
                <w:color w:val="auto"/>
                <w:highlight w:val="none"/>
              </w:rPr>
            </w:pPr>
            <w:r>
              <w:rPr>
                <w:rFonts w:hint="eastAsia" w:ascii="Times New Roman" w:hAnsi="Times New Roman" w:eastAsia="宋体"/>
                <w:caps w:val="0"/>
                <w:color w:val="auto"/>
                <w:highlight w:val="none"/>
              </w:rPr>
              <w:t>表2-</w:t>
            </w:r>
            <w:r>
              <w:rPr>
                <w:rFonts w:hint="eastAsia" w:ascii="Times New Roman" w:hAnsi="Times New Roman" w:eastAsia="宋体"/>
                <w:caps w:val="0"/>
                <w:color w:val="auto"/>
                <w:highlight w:val="none"/>
                <w:lang w:val="en-US" w:eastAsia="zh-CN"/>
              </w:rPr>
              <w:t>5</w:t>
            </w:r>
            <w:r>
              <w:rPr>
                <w:rFonts w:ascii="Times New Roman" w:hAnsi="Times New Roman" w:eastAsia="宋体"/>
                <w:caps w:val="0"/>
                <w:color w:val="auto"/>
                <w:highlight w:val="none"/>
              </w:rPr>
              <w:t xml:space="preserve">  </w:t>
            </w:r>
            <w:r>
              <w:rPr>
                <w:rFonts w:hint="eastAsia" w:ascii="Times New Roman" w:hAnsi="Times New Roman" w:eastAsia="宋体"/>
                <w:caps w:val="0"/>
                <w:color w:val="auto"/>
                <w:highlight w:val="none"/>
              </w:rPr>
              <w:t>建设项目主要生产设备</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100"/>
              <w:gridCol w:w="1117"/>
              <w:gridCol w:w="865"/>
              <w:gridCol w:w="752"/>
              <w:gridCol w:w="949"/>
              <w:gridCol w:w="767"/>
              <w:gridCol w:w="1016"/>
              <w:gridCol w:w="861"/>
            </w:tblGrid>
            <w:tr w14:paraId="4FB933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289" w:type="pct"/>
                  <w:vMerge w:val="restart"/>
                  <w:tcBorders>
                    <w:tl2br w:val="nil"/>
                    <w:tr2bl w:val="nil"/>
                  </w:tcBorders>
                  <w:vAlign w:val="center"/>
                </w:tcPr>
                <w:p w14:paraId="15DF1927">
                  <w:pPr>
                    <w:jc w:val="center"/>
                    <w:rPr>
                      <w:rFonts w:hint="default" w:ascii="Times New Roman" w:hAnsi="Times New Roman" w:eastAsia="宋体" w:cs="Times New Roman"/>
                      <w:b/>
                      <w:caps w:val="0"/>
                      <w:color w:val="auto"/>
                      <w:szCs w:val="21"/>
                      <w:highlight w:val="none"/>
                    </w:rPr>
                  </w:pPr>
                  <w:r>
                    <w:rPr>
                      <w:rFonts w:hint="default" w:ascii="Times New Roman" w:hAnsi="Times New Roman" w:eastAsia="宋体" w:cs="Times New Roman"/>
                      <w:b/>
                      <w:caps w:val="0"/>
                      <w:color w:val="auto"/>
                      <w:szCs w:val="21"/>
                      <w:highlight w:val="none"/>
                    </w:rPr>
                    <w:t>序号</w:t>
                  </w:r>
                </w:p>
              </w:tc>
              <w:tc>
                <w:tcPr>
                  <w:tcW w:w="697" w:type="pct"/>
                  <w:vMerge w:val="restart"/>
                  <w:tcBorders>
                    <w:tl2br w:val="nil"/>
                    <w:tr2bl w:val="nil"/>
                  </w:tcBorders>
                  <w:vAlign w:val="center"/>
                </w:tcPr>
                <w:p w14:paraId="168FCB82">
                  <w:pPr>
                    <w:jc w:val="center"/>
                    <w:rPr>
                      <w:rFonts w:hint="default" w:ascii="Times New Roman" w:hAnsi="Times New Roman" w:eastAsia="宋体" w:cs="Times New Roman"/>
                      <w:b/>
                      <w:caps w:val="0"/>
                      <w:color w:val="auto"/>
                      <w:szCs w:val="21"/>
                      <w:highlight w:val="none"/>
                    </w:rPr>
                  </w:pPr>
                  <w:r>
                    <w:rPr>
                      <w:rFonts w:hint="default" w:ascii="Times New Roman" w:hAnsi="Times New Roman" w:eastAsia="宋体" w:cs="Times New Roman"/>
                      <w:b/>
                      <w:caps w:val="0"/>
                      <w:color w:val="auto"/>
                      <w:szCs w:val="21"/>
                      <w:highlight w:val="none"/>
                    </w:rPr>
                    <w:t>名称</w:t>
                  </w:r>
                </w:p>
              </w:tc>
              <w:tc>
                <w:tcPr>
                  <w:tcW w:w="708" w:type="pct"/>
                  <w:vMerge w:val="restart"/>
                  <w:tcBorders>
                    <w:tl2br w:val="nil"/>
                    <w:tr2bl w:val="nil"/>
                  </w:tcBorders>
                  <w:vAlign w:val="center"/>
                </w:tcPr>
                <w:p w14:paraId="0BC403C5">
                  <w:pPr>
                    <w:jc w:val="center"/>
                    <w:rPr>
                      <w:rFonts w:hint="default" w:ascii="Times New Roman" w:hAnsi="Times New Roman" w:eastAsia="宋体" w:cs="Times New Roman"/>
                      <w:b/>
                      <w:caps w:val="0"/>
                      <w:color w:val="auto"/>
                      <w:szCs w:val="21"/>
                      <w:highlight w:val="none"/>
                      <w:lang w:val="en-US" w:eastAsia="zh-CN"/>
                    </w:rPr>
                  </w:pPr>
                  <w:r>
                    <w:rPr>
                      <w:rFonts w:hint="default" w:ascii="Times New Roman" w:hAnsi="Times New Roman" w:eastAsia="宋体" w:cs="Times New Roman"/>
                      <w:b/>
                      <w:caps w:val="0"/>
                      <w:color w:val="auto"/>
                      <w:szCs w:val="21"/>
                      <w:highlight w:val="none"/>
                      <w:lang w:val="en-US" w:eastAsia="zh-CN"/>
                    </w:rPr>
                    <w:t>型号</w:t>
                  </w:r>
                </w:p>
              </w:tc>
              <w:tc>
                <w:tcPr>
                  <w:tcW w:w="2114" w:type="pct"/>
                  <w:gridSpan w:val="4"/>
                  <w:tcBorders>
                    <w:tl2br w:val="nil"/>
                    <w:tr2bl w:val="nil"/>
                  </w:tcBorders>
                  <w:vAlign w:val="center"/>
                </w:tcPr>
                <w:p w14:paraId="1C89693D">
                  <w:pPr>
                    <w:jc w:val="center"/>
                    <w:rPr>
                      <w:rFonts w:hint="default" w:ascii="Times New Roman" w:hAnsi="Times New Roman" w:eastAsia="宋体" w:cs="Times New Roman"/>
                      <w:b/>
                      <w:caps w:val="0"/>
                      <w:color w:val="auto"/>
                      <w:szCs w:val="21"/>
                      <w:highlight w:val="none"/>
                    </w:rPr>
                  </w:pPr>
                  <w:r>
                    <w:rPr>
                      <w:rFonts w:hint="default" w:ascii="Times New Roman" w:hAnsi="Times New Roman" w:eastAsia="宋体" w:cs="Times New Roman"/>
                      <w:b/>
                      <w:caps w:val="0"/>
                      <w:color w:val="auto"/>
                      <w:szCs w:val="21"/>
                      <w:highlight w:val="none"/>
                    </w:rPr>
                    <w:t>数量</w:t>
                  </w:r>
                </w:p>
              </w:tc>
              <w:tc>
                <w:tcPr>
                  <w:tcW w:w="644" w:type="pct"/>
                  <w:vMerge w:val="restart"/>
                  <w:tcBorders>
                    <w:tl2br w:val="nil"/>
                    <w:tr2bl w:val="nil"/>
                  </w:tcBorders>
                  <w:vAlign w:val="center"/>
                </w:tcPr>
                <w:p w14:paraId="4CF33921">
                  <w:pPr>
                    <w:jc w:val="center"/>
                    <w:rPr>
                      <w:rFonts w:hint="default" w:ascii="Times New Roman" w:hAnsi="Times New Roman" w:eastAsia="宋体" w:cs="Times New Roman"/>
                      <w:b/>
                      <w:caps w:val="0"/>
                      <w:color w:val="auto"/>
                      <w:szCs w:val="21"/>
                      <w:highlight w:val="none"/>
                    </w:rPr>
                  </w:pPr>
                  <w:r>
                    <w:rPr>
                      <w:rFonts w:hint="default" w:ascii="Times New Roman" w:hAnsi="Times New Roman" w:eastAsia="宋体" w:cs="Times New Roman"/>
                      <w:b/>
                      <w:caps w:val="0"/>
                      <w:color w:val="auto"/>
                      <w:szCs w:val="21"/>
                      <w:highlight w:val="none"/>
                    </w:rPr>
                    <w:t>单位</w:t>
                  </w:r>
                </w:p>
              </w:tc>
              <w:tc>
                <w:tcPr>
                  <w:tcW w:w="546" w:type="pct"/>
                  <w:vMerge w:val="restart"/>
                  <w:tcBorders>
                    <w:tl2br w:val="nil"/>
                    <w:tr2bl w:val="nil"/>
                  </w:tcBorders>
                  <w:vAlign w:val="center"/>
                </w:tcPr>
                <w:p w14:paraId="526458B4">
                  <w:pPr>
                    <w:jc w:val="center"/>
                    <w:rPr>
                      <w:rFonts w:hint="default" w:ascii="Times New Roman" w:hAnsi="Times New Roman" w:eastAsia="宋体" w:cs="Times New Roman"/>
                      <w:b/>
                      <w:caps w:val="0"/>
                      <w:color w:val="auto"/>
                      <w:szCs w:val="21"/>
                      <w:highlight w:val="none"/>
                    </w:rPr>
                  </w:pPr>
                  <w:r>
                    <w:rPr>
                      <w:rFonts w:hint="default" w:ascii="Times New Roman" w:hAnsi="Times New Roman" w:eastAsia="宋体" w:cs="Times New Roman"/>
                      <w:b/>
                      <w:caps w:val="0"/>
                      <w:color w:val="auto"/>
                      <w:szCs w:val="21"/>
                      <w:highlight w:val="none"/>
                    </w:rPr>
                    <w:t>备注</w:t>
                  </w:r>
                </w:p>
              </w:tc>
            </w:tr>
            <w:tr w14:paraId="28B557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9" w:type="pct"/>
                  <w:vMerge w:val="continue"/>
                  <w:tcBorders>
                    <w:tl2br w:val="nil"/>
                    <w:tr2bl w:val="nil"/>
                  </w:tcBorders>
                  <w:vAlign w:val="center"/>
                </w:tcPr>
                <w:p w14:paraId="6B120004">
                  <w:pPr>
                    <w:jc w:val="center"/>
                    <w:rPr>
                      <w:rFonts w:hint="default" w:ascii="Times New Roman" w:hAnsi="Times New Roman" w:eastAsia="宋体" w:cs="Times New Roman"/>
                      <w:b/>
                      <w:caps w:val="0"/>
                      <w:color w:val="auto"/>
                      <w:szCs w:val="21"/>
                      <w:highlight w:val="none"/>
                    </w:rPr>
                  </w:pPr>
                </w:p>
              </w:tc>
              <w:tc>
                <w:tcPr>
                  <w:tcW w:w="697" w:type="pct"/>
                  <w:vMerge w:val="continue"/>
                  <w:tcBorders>
                    <w:tl2br w:val="nil"/>
                    <w:tr2bl w:val="nil"/>
                  </w:tcBorders>
                  <w:vAlign w:val="center"/>
                </w:tcPr>
                <w:p w14:paraId="30A470B7">
                  <w:pPr>
                    <w:jc w:val="center"/>
                    <w:rPr>
                      <w:rFonts w:hint="default" w:ascii="Times New Roman" w:hAnsi="Times New Roman" w:eastAsia="宋体" w:cs="Times New Roman"/>
                      <w:b/>
                      <w:caps w:val="0"/>
                      <w:color w:val="auto"/>
                      <w:szCs w:val="21"/>
                      <w:highlight w:val="none"/>
                    </w:rPr>
                  </w:pPr>
                </w:p>
              </w:tc>
              <w:tc>
                <w:tcPr>
                  <w:tcW w:w="708" w:type="pct"/>
                  <w:vMerge w:val="continue"/>
                  <w:tcBorders>
                    <w:tl2br w:val="nil"/>
                    <w:tr2bl w:val="nil"/>
                  </w:tcBorders>
                  <w:vAlign w:val="center"/>
                </w:tcPr>
                <w:p w14:paraId="0EE4668D">
                  <w:pPr>
                    <w:jc w:val="center"/>
                    <w:rPr>
                      <w:rFonts w:hint="default" w:ascii="Times New Roman" w:hAnsi="Times New Roman" w:eastAsia="宋体" w:cs="Times New Roman"/>
                      <w:b/>
                      <w:caps w:val="0"/>
                      <w:color w:val="auto"/>
                      <w:szCs w:val="21"/>
                      <w:highlight w:val="none"/>
                    </w:rPr>
                  </w:pPr>
                </w:p>
              </w:tc>
              <w:tc>
                <w:tcPr>
                  <w:tcW w:w="548" w:type="pct"/>
                  <w:tcBorders>
                    <w:tl2br w:val="nil"/>
                    <w:tr2bl w:val="nil"/>
                  </w:tcBorders>
                  <w:vAlign w:val="center"/>
                </w:tcPr>
                <w:p w14:paraId="0079EC9A">
                  <w:pPr>
                    <w:jc w:val="center"/>
                    <w:rPr>
                      <w:rFonts w:hint="default" w:ascii="Times New Roman" w:hAnsi="Times New Roman" w:eastAsia="宋体" w:cs="Times New Roman"/>
                      <w:b/>
                      <w:caps w:val="0"/>
                      <w:color w:val="auto"/>
                      <w:szCs w:val="21"/>
                      <w:highlight w:val="none"/>
                    </w:rPr>
                  </w:pPr>
                  <w:r>
                    <w:rPr>
                      <w:rFonts w:hint="default" w:ascii="Times New Roman" w:hAnsi="Times New Roman" w:eastAsia="宋体" w:cs="Times New Roman"/>
                      <w:b/>
                      <w:caps w:val="0"/>
                      <w:color w:val="auto"/>
                      <w:szCs w:val="21"/>
                      <w:highlight w:val="none"/>
                      <w:lang w:eastAsia="zh-CN"/>
                    </w:rPr>
                    <w:t>扩建</w:t>
                  </w:r>
                  <w:r>
                    <w:rPr>
                      <w:rFonts w:hint="default" w:ascii="Times New Roman" w:hAnsi="Times New Roman" w:eastAsia="宋体" w:cs="Times New Roman"/>
                      <w:b/>
                      <w:caps w:val="0"/>
                      <w:color w:val="auto"/>
                      <w:szCs w:val="21"/>
                      <w:highlight w:val="none"/>
                    </w:rPr>
                    <w:t>前</w:t>
                  </w:r>
                </w:p>
              </w:tc>
              <w:tc>
                <w:tcPr>
                  <w:tcW w:w="476" w:type="pct"/>
                  <w:tcBorders>
                    <w:tl2br w:val="nil"/>
                    <w:tr2bl w:val="nil"/>
                  </w:tcBorders>
                  <w:vAlign w:val="center"/>
                </w:tcPr>
                <w:p w14:paraId="566C3811">
                  <w:pPr>
                    <w:jc w:val="center"/>
                    <w:rPr>
                      <w:rFonts w:hint="default" w:ascii="Times New Roman" w:hAnsi="Times New Roman" w:eastAsia="宋体" w:cs="Times New Roman"/>
                      <w:b/>
                      <w:caps w:val="0"/>
                      <w:color w:val="auto"/>
                      <w:kern w:val="21"/>
                      <w:szCs w:val="21"/>
                      <w:highlight w:val="none"/>
                      <w:lang w:eastAsia="zh-CN"/>
                    </w:rPr>
                  </w:pPr>
                  <w:r>
                    <w:rPr>
                      <w:rFonts w:hint="default" w:ascii="Times New Roman" w:hAnsi="Times New Roman" w:eastAsia="宋体" w:cs="Times New Roman"/>
                      <w:b/>
                      <w:caps w:val="0"/>
                      <w:color w:val="auto"/>
                      <w:kern w:val="21"/>
                      <w:szCs w:val="21"/>
                      <w:highlight w:val="none"/>
                    </w:rPr>
                    <w:t>本次</w:t>
                  </w:r>
                  <w:r>
                    <w:rPr>
                      <w:rFonts w:hint="default" w:ascii="Times New Roman" w:hAnsi="Times New Roman" w:eastAsia="宋体" w:cs="Times New Roman"/>
                      <w:b/>
                      <w:caps w:val="0"/>
                      <w:color w:val="auto"/>
                      <w:kern w:val="21"/>
                      <w:szCs w:val="21"/>
                      <w:highlight w:val="none"/>
                      <w:lang w:eastAsia="zh-CN"/>
                    </w:rPr>
                    <w:t>扩建</w:t>
                  </w:r>
                </w:p>
              </w:tc>
              <w:tc>
                <w:tcPr>
                  <w:tcW w:w="601" w:type="pct"/>
                  <w:tcBorders>
                    <w:tl2br w:val="nil"/>
                    <w:tr2bl w:val="nil"/>
                  </w:tcBorders>
                  <w:vAlign w:val="center"/>
                </w:tcPr>
                <w:p w14:paraId="7280CD6B">
                  <w:pPr>
                    <w:jc w:val="center"/>
                    <w:rPr>
                      <w:rFonts w:hint="default" w:ascii="Times New Roman" w:hAnsi="Times New Roman" w:eastAsia="宋体" w:cs="Times New Roman"/>
                      <w:b/>
                      <w:caps w:val="0"/>
                      <w:color w:val="auto"/>
                      <w:szCs w:val="21"/>
                      <w:highlight w:val="none"/>
                    </w:rPr>
                  </w:pPr>
                  <w:r>
                    <w:rPr>
                      <w:rFonts w:hint="default" w:ascii="Times New Roman" w:hAnsi="Times New Roman" w:eastAsia="宋体" w:cs="Times New Roman"/>
                      <w:b/>
                      <w:caps w:val="0"/>
                      <w:color w:val="auto"/>
                      <w:kern w:val="21"/>
                      <w:szCs w:val="21"/>
                      <w:highlight w:val="none"/>
                      <w:lang w:eastAsia="zh-CN"/>
                    </w:rPr>
                    <w:t>扩建</w:t>
                  </w:r>
                  <w:r>
                    <w:rPr>
                      <w:rFonts w:hint="default" w:ascii="Times New Roman" w:hAnsi="Times New Roman" w:eastAsia="宋体" w:cs="Times New Roman"/>
                      <w:b/>
                      <w:caps w:val="0"/>
                      <w:color w:val="auto"/>
                      <w:kern w:val="21"/>
                      <w:szCs w:val="21"/>
                      <w:highlight w:val="none"/>
                    </w:rPr>
                    <w:t>后全厂</w:t>
                  </w:r>
                </w:p>
              </w:tc>
              <w:tc>
                <w:tcPr>
                  <w:tcW w:w="486" w:type="pct"/>
                  <w:tcBorders>
                    <w:tl2br w:val="nil"/>
                    <w:tr2bl w:val="nil"/>
                  </w:tcBorders>
                  <w:vAlign w:val="center"/>
                </w:tcPr>
                <w:p w14:paraId="18D0C227">
                  <w:pPr>
                    <w:jc w:val="center"/>
                    <w:rPr>
                      <w:rFonts w:hint="default" w:ascii="Times New Roman" w:hAnsi="Times New Roman" w:eastAsia="宋体" w:cs="Times New Roman"/>
                      <w:b/>
                      <w:caps w:val="0"/>
                      <w:color w:val="auto"/>
                      <w:szCs w:val="21"/>
                      <w:highlight w:val="none"/>
                    </w:rPr>
                  </w:pPr>
                  <w:r>
                    <w:rPr>
                      <w:rFonts w:hint="default" w:ascii="Times New Roman" w:hAnsi="Times New Roman" w:eastAsia="宋体" w:cs="Times New Roman"/>
                      <w:b/>
                      <w:caps w:val="0"/>
                      <w:color w:val="auto"/>
                      <w:szCs w:val="21"/>
                      <w:highlight w:val="none"/>
                    </w:rPr>
                    <w:t>变化量</w:t>
                  </w:r>
                </w:p>
              </w:tc>
              <w:tc>
                <w:tcPr>
                  <w:tcW w:w="644" w:type="pct"/>
                  <w:vMerge w:val="continue"/>
                  <w:tcBorders>
                    <w:tl2br w:val="nil"/>
                    <w:tr2bl w:val="nil"/>
                  </w:tcBorders>
                  <w:vAlign w:val="center"/>
                </w:tcPr>
                <w:p w14:paraId="5E9EC616">
                  <w:pPr>
                    <w:jc w:val="center"/>
                    <w:rPr>
                      <w:rFonts w:hint="default" w:ascii="Times New Roman" w:hAnsi="Times New Roman" w:eastAsia="宋体" w:cs="Times New Roman"/>
                      <w:bCs/>
                      <w:caps w:val="0"/>
                      <w:color w:val="auto"/>
                      <w:szCs w:val="21"/>
                      <w:highlight w:val="none"/>
                    </w:rPr>
                  </w:pPr>
                </w:p>
              </w:tc>
              <w:tc>
                <w:tcPr>
                  <w:tcW w:w="546" w:type="pct"/>
                  <w:vMerge w:val="continue"/>
                  <w:tcBorders>
                    <w:tl2br w:val="nil"/>
                    <w:tr2bl w:val="nil"/>
                  </w:tcBorders>
                  <w:vAlign w:val="center"/>
                </w:tcPr>
                <w:p w14:paraId="08C967BA">
                  <w:pPr>
                    <w:jc w:val="center"/>
                    <w:rPr>
                      <w:rFonts w:hint="default" w:ascii="Times New Roman" w:hAnsi="Times New Roman" w:eastAsia="宋体" w:cs="Times New Roman"/>
                      <w:b/>
                      <w:caps w:val="0"/>
                      <w:color w:val="auto"/>
                      <w:szCs w:val="21"/>
                      <w:highlight w:val="none"/>
                    </w:rPr>
                  </w:pPr>
                </w:p>
              </w:tc>
            </w:tr>
            <w:tr w14:paraId="734325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89" w:type="pct"/>
                  <w:tcBorders>
                    <w:tl2br w:val="nil"/>
                    <w:tr2bl w:val="nil"/>
                  </w:tcBorders>
                  <w:vAlign w:val="center"/>
                </w:tcPr>
                <w:p w14:paraId="4B49AFAD">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1</w:t>
                  </w:r>
                </w:p>
              </w:tc>
              <w:tc>
                <w:tcPr>
                  <w:tcW w:w="697" w:type="pct"/>
                  <w:tcBorders>
                    <w:tl2br w:val="nil"/>
                    <w:tr2bl w:val="nil"/>
                  </w:tcBorders>
                  <w:vAlign w:val="center"/>
                </w:tcPr>
                <w:p w14:paraId="1A7B502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vAlign w:val="center"/>
                </w:tcPr>
                <w:p w14:paraId="32DFDDC4">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kern w:val="0"/>
                      <w:szCs w:val="21"/>
                    </w:rPr>
                    <w:t>250T</w:t>
                  </w:r>
                </w:p>
              </w:tc>
              <w:tc>
                <w:tcPr>
                  <w:tcW w:w="548" w:type="pct"/>
                  <w:tcBorders>
                    <w:tl2br w:val="nil"/>
                    <w:tr2bl w:val="nil"/>
                  </w:tcBorders>
                  <w:vAlign w:val="center"/>
                </w:tcPr>
                <w:p w14:paraId="2036971F">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kern w:val="0"/>
                      <w:szCs w:val="21"/>
                    </w:rPr>
                    <w:t>5</w:t>
                  </w:r>
                </w:p>
              </w:tc>
              <w:tc>
                <w:tcPr>
                  <w:tcW w:w="476" w:type="pct"/>
                  <w:tcBorders>
                    <w:tl2br w:val="nil"/>
                    <w:tr2bl w:val="nil"/>
                  </w:tcBorders>
                  <w:vAlign w:val="center"/>
                </w:tcPr>
                <w:p w14:paraId="0CB6DFBC">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076D8F9A">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5</w:t>
                  </w:r>
                </w:p>
              </w:tc>
              <w:tc>
                <w:tcPr>
                  <w:tcW w:w="486" w:type="pct"/>
                  <w:tcBorders>
                    <w:tl2br w:val="nil"/>
                    <w:tr2bl w:val="nil"/>
                  </w:tcBorders>
                  <w:vAlign w:val="center"/>
                </w:tcPr>
                <w:p w14:paraId="12ACDB70">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3AC83F0B">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3A530A83">
                  <w:pPr>
                    <w:jc w:val="center"/>
                    <w:rPr>
                      <w:rFonts w:hint="default" w:ascii="Times New Roman" w:hAnsi="Times New Roman" w:eastAsia="宋体" w:cs="Times New Roman"/>
                      <w:caps w:val="0"/>
                      <w:color w:val="auto"/>
                      <w:szCs w:val="21"/>
                      <w:highlight w:val="none"/>
                      <w:lang w:val="en-US" w:eastAsia="zh-CN"/>
                    </w:rPr>
                  </w:pPr>
                  <w:r>
                    <w:rPr>
                      <w:rFonts w:hint="eastAsia" w:cs="Times New Roman"/>
                      <w:caps w:val="0"/>
                      <w:color w:val="auto"/>
                      <w:szCs w:val="21"/>
                      <w:highlight w:val="none"/>
                      <w:lang w:val="en-US" w:eastAsia="zh-CN"/>
                    </w:rPr>
                    <w:t>不变</w:t>
                  </w:r>
                </w:p>
              </w:tc>
            </w:tr>
            <w:tr w14:paraId="70D73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89" w:type="pct"/>
                  <w:tcBorders>
                    <w:tl2br w:val="nil"/>
                    <w:tr2bl w:val="nil"/>
                  </w:tcBorders>
                  <w:vAlign w:val="center"/>
                </w:tcPr>
                <w:p w14:paraId="398CBEB0">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2</w:t>
                  </w:r>
                </w:p>
              </w:tc>
              <w:tc>
                <w:tcPr>
                  <w:tcW w:w="697" w:type="pct"/>
                  <w:tcBorders>
                    <w:tl2br w:val="nil"/>
                    <w:tr2bl w:val="nil"/>
                  </w:tcBorders>
                  <w:vAlign w:val="center"/>
                </w:tcPr>
                <w:p w14:paraId="669F2BA4">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vAlign w:val="center"/>
                </w:tcPr>
                <w:p w14:paraId="05423321">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kern w:val="0"/>
                      <w:szCs w:val="21"/>
                    </w:rPr>
                    <w:t>320T</w:t>
                  </w:r>
                </w:p>
              </w:tc>
              <w:tc>
                <w:tcPr>
                  <w:tcW w:w="548" w:type="pct"/>
                  <w:tcBorders>
                    <w:tl2br w:val="nil"/>
                    <w:tr2bl w:val="nil"/>
                  </w:tcBorders>
                  <w:vAlign w:val="center"/>
                </w:tcPr>
                <w:p w14:paraId="254A43D4">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kern w:val="0"/>
                      <w:szCs w:val="21"/>
                    </w:rPr>
                    <w:t>5</w:t>
                  </w:r>
                </w:p>
              </w:tc>
              <w:tc>
                <w:tcPr>
                  <w:tcW w:w="476" w:type="pct"/>
                  <w:tcBorders>
                    <w:tl2br w:val="nil"/>
                    <w:tr2bl w:val="nil"/>
                  </w:tcBorders>
                  <w:vAlign w:val="center"/>
                </w:tcPr>
                <w:p w14:paraId="28C3969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6B2CAD0C">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5</w:t>
                  </w:r>
                </w:p>
              </w:tc>
              <w:tc>
                <w:tcPr>
                  <w:tcW w:w="486" w:type="pct"/>
                  <w:tcBorders>
                    <w:tl2br w:val="nil"/>
                    <w:tr2bl w:val="nil"/>
                  </w:tcBorders>
                  <w:vAlign w:val="center"/>
                </w:tcPr>
                <w:p w14:paraId="3C164904">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228E02B7">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78C55571">
                  <w:pPr>
                    <w:jc w:val="center"/>
                    <w:rPr>
                      <w:rFonts w:hint="default" w:ascii="Times New Roman" w:hAnsi="Times New Roman" w:eastAsia="宋体" w:cs="Times New Roman"/>
                      <w:caps w:val="0"/>
                      <w:color w:val="auto"/>
                      <w:szCs w:val="21"/>
                      <w:highlight w:val="none"/>
                      <w:lang w:val="en-US" w:eastAsia="zh-CN"/>
                    </w:rPr>
                  </w:pPr>
                  <w:r>
                    <w:rPr>
                      <w:rFonts w:hint="eastAsia" w:cs="Times New Roman"/>
                      <w:caps w:val="0"/>
                      <w:color w:val="auto"/>
                      <w:szCs w:val="21"/>
                      <w:highlight w:val="none"/>
                      <w:lang w:val="en-US" w:eastAsia="zh-CN"/>
                    </w:rPr>
                    <w:t>不变</w:t>
                  </w:r>
                </w:p>
              </w:tc>
            </w:tr>
            <w:tr w14:paraId="7471AE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89" w:type="pct"/>
                  <w:tcBorders>
                    <w:tl2br w:val="nil"/>
                    <w:tr2bl w:val="nil"/>
                  </w:tcBorders>
                  <w:vAlign w:val="center"/>
                </w:tcPr>
                <w:p w14:paraId="342858D7">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3</w:t>
                  </w:r>
                </w:p>
              </w:tc>
              <w:tc>
                <w:tcPr>
                  <w:tcW w:w="697" w:type="pct"/>
                  <w:tcBorders>
                    <w:tl2br w:val="nil"/>
                    <w:tr2bl w:val="nil"/>
                  </w:tcBorders>
                  <w:vAlign w:val="center"/>
                </w:tcPr>
                <w:p w14:paraId="37B274D2">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vAlign w:val="center"/>
                </w:tcPr>
                <w:p w14:paraId="5165D29F">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 w:val="22"/>
                      <w:szCs w:val="20"/>
                    </w:rPr>
                    <w:t>90T</w:t>
                  </w:r>
                </w:p>
              </w:tc>
              <w:tc>
                <w:tcPr>
                  <w:tcW w:w="548" w:type="pct"/>
                  <w:tcBorders>
                    <w:tl2br w:val="nil"/>
                    <w:tr2bl w:val="nil"/>
                  </w:tcBorders>
                  <w:vAlign w:val="center"/>
                </w:tcPr>
                <w:p w14:paraId="079DEECC">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szCs w:val="20"/>
                      <w:lang w:val="en-US" w:eastAsia="zh-CN"/>
                    </w:rPr>
                    <w:t>38</w:t>
                  </w:r>
                </w:p>
              </w:tc>
              <w:tc>
                <w:tcPr>
                  <w:tcW w:w="476" w:type="pct"/>
                  <w:tcBorders>
                    <w:tl2br w:val="nil"/>
                    <w:tr2bl w:val="nil"/>
                  </w:tcBorders>
                  <w:vAlign w:val="center"/>
                </w:tcPr>
                <w:p w14:paraId="7EDCF19F">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091BD15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38</w:t>
                  </w:r>
                </w:p>
              </w:tc>
              <w:tc>
                <w:tcPr>
                  <w:tcW w:w="486" w:type="pct"/>
                  <w:tcBorders>
                    <w:tl2br w:val="nil"/>
                    <w:tr2bl w:val="nil"/>
                  </w:tcBorders>
                  <w:vAlign w:val="center"/>
                </w:tcPr>
                <w:p w14:paraId="7B56A4EF">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0859EBD5">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6240A5CF">
                  <w:pPr>
                    <w:jc w:val="center"/>
                    <w:rPr>
                      <w:rFonts w:hint="default" w:ascii="Times New Roman" w:hAnsi="Times New Roman" w:eastAsia="宋体" w:cs="Times New Roman"/>
                      <w:bCs/>
                      <w:caps w:val="0"/>
                      <w:color w:val="auto"/>
                      <w:szCs w:val="21"/>
                      <w:highlight w:val="none"/>
                      <w:lang w:eastAsia="zh-CN"/>
                    </w:rPr>
                  </w:pPr>
                  <w:r>
                    <w:rPr>
                      <w:rFonts w:hint="eastAsia" w:cs="Times New Roman"/>
                      <w:caps w:val="0"/>
                      <w:color w:val="auto"/>
                      <w:szCs w:val="21"/>
                      <w:highlight w:val="none"/>
                      <w:lang w:val="en-US" w:eastAsia="zh-CN"/>
                    </w:rPr>
                    <w:t>不变</w:t>
                  </w:r>
                </w:p>
              </w:tc>
            </w:tr>
            <w:tr w14:paraId="5E9EDB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89" w:type="pct"/>
                  <w:tcBorders>
                    <w:tl2br w:val="nil"/>
                    <w:tr2bl w:val="nil"/>
                  </w:tcBorders>
                  <w:vAlign w:val="center"/>
                </w:tcPr>
                <w:p w14:paraId="3BD5D2B6">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4</w:t>
                  </w:r>
                </w:p>
              </w:tc>
              <w:tc>
                <w:tcPr>
                  <w:tcW w:w="697" w:type="pct"/>
                  <w:tcBorders>
                    <w:tl2br w:val="nil"/>
                    <w:tr2bl w:val="nil"/>
                  </w:tcBorders>
                  <w:vAlign w:val="center"/>
                </w:tcPr>
                <w:p w14:paraId="253EADCA">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vAlign w:val="center"/>
                </w:tcPr>
                <w:p w14:paraId="717629DD">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sz w:val="22"/>
                      <w:szCs w:val="20"/>
                    </w:rPr>
                    <w:t>60T</w:t>
                  </w:r>
                </w:p>
              </w:tc>
              <w:tc>
                <w:tcPr>
                  <w:tcW w:w="548" w:type="pct"/>
                  <w:tcBorders>
                    <w:tl2br w:val="nil"/>
                    <w:tr2bl w:val="nil"/>
                  </w:tcBorders>
                  <w:vAlign w:val="center"/>
                </w:tcPr>
                <w:p w14:paraId="7795E3B8">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Cs w:val="20"/>
                    </w:rPr>
                    <w:t>10</w:t>
                  </w:r>
                </w:p>
              </w:tc>
              <w:tc>
                <w:tcPr>
                  <w:tcW w:w="476" w:type="pct"/>
                  <w:tcBorders>
                    <w:tl2br w:val="nil"/>
                    <w:tr2bl w:val="nil"/>
                  </w:tcBorders>
                  <w:vAlign w:val="center"/>
                </w:tcPr>
                <w:p w14:paraId="76C60F77">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71E26050">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10</w:t>
                  </w:r>
                </w:p>
              </w:tc>
              <w:tc>
                <w:tcPr>
                  <w:tcW w:w="486" w:type="pct"/>
                  <w:tcBorders>
                    <w:tl2br w:val="nil"/>
                    <w:tr2bl w:val="nil"/>
                  </w:tcBorders>
                  <w:vAlign w:val="center"/>
                </w:tcPr>
                <w:p w14:paraId="0B4353E3">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2949A040">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60761BEF">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1177F2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89" w:type="pct"/>
                  <w:tcBorders>
                    <w:tl2br w:val="nil"/>
                    <w:tr2bl w:val="nil"/>
                  </w:tcBorders>
                  <w:vAlign w:val="center"/>
                </w:tcPr>
                <w:p w14:paraId="1818E98A">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5</w:t>
                  </w:r>
                </w:p>
              </w:tc>
              <w:tc>
                <w:tcPr>
                  <w:tcW w:w="697" w:type="pct"/>
                  <w:tcBorders>
                    <w:tl2br w:val="nil"/>
                    <w:tr2bl w:val="nil"/>
                  </w:tcBorders>
                  <w:vAlign w:val="center"/>
                </w:tcPr>
                <w:p w14:paraId="7DACB880">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vAlign w:val="center"/>
                </w:tcPr>
                <w:p w14:paraId="795DCBE1">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sz w:val="22"/>
                      <w:szCs w:val="20"/>
                    </w:rPr>
                    <w:t>120T</w:t>
                  </w:r>
                </w:p>
              </w:tc>
              <w:tc>
                <w:tcPr>
                  <w:tcW w:w="548" w:type="pct"/>
                  <w:tcBorders>
                    <w:tl2br w:val="nil"/>
                    <w:tr2bl w:val="nil"/>
                  </w:tcBorders>
                  <w:vAlign w:val="center"/>
                </w:tcPr>
                <w:p w14:paraId="6CA27FCE">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szCs w:val="20"/>
                      <w:lang w:val="en-US" w:eastAsia="zh-CN"/>
                    </w:rPr>
                    <w:t>25</w:t>
                  </w:r>
                </w:p>
              </w:tc>
              <w:tc>
                <w:tcPr>
                  <w:tcW w:w="476" w:type="pct"/>
                  <w:tcBorders>
                    <w:tl2br w:val="nil"/>
                    <w:tr2bl w:val="nil"/>
                  </w:tcBorders>
                  <w:vAlign w:val="center"/>
                </w:tcPr>
                <w:p w14:paraId="1C43377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10</w:t>
                  </w:r>
                </w:p>
              </w:tc>
              <w:tc>
                <w:tcPr>
                  <w:tcW w:w="601" w:type="pct"/>
                  <w:tcBorders>
                    <w:tl2br w:val="nil"/>
                    <w:tr2bl w:val="nil"/>
                  </w:tcBorders>
                  <w:vAlign w:val="center"/>
                </w:tcPr>
                <w:p w14:paraId="7D88665D">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35</w:t>
                  </w:r>
                </w:p>
              </w:tc>
              <w:tc>
                <w:tcPr>
                  <w:tcW w:w="486" w:type="pct"/>
                  <w:tcBorders>
                    <w:tl2br w:val="nil"/>
                    <w:tr2bl w:val="nil"/>
                  </w:tcBorders>
                  <w:vAlign w:val="center"/>
                </w:tcPr>
                <w:p w14:paraId="506D1CAD">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+10</w:t>
                  </w:r>
                </w:p>
              </w:tc>
              <w:tc>
                <w:tcPr>
                  <w:tcW w:w="644" w:type="pct"/>
                  <w:tcBorders>
                    <w:tl2br w:val="nil"/>
                    <w:tr2bl w:val="nil"/>
                  </w:tcBorders>
                  <w:vAlign w:val="center"/>
                </w:tcPr>
                <w:p w14:paraId="185A4233">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6D4B3677">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新增</w:t>
                  </w:r>
                </w:p>
              </w:tc>
            </w:tr>
            <w:tr w14:paraId="53198C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89" w:type="pct"/>
                  <w:tcBorders>
                    <w:tl2br w:val="nil"/>
                    <w:tr2bl w:val="nil"/>
                  </w:tcBorders>
                  <w:vAlign w:val="center"/>
                </w:tcPr>
                <w:p w14:paraId="541211C7">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6</w:t>
                  </w:r>
                </w:p>
              </w:tc>
              <w:tc>
                <w:tcPr>
                  <w:tcW w:w="697" w:type="pct"/>
                  <w:tcBorders>
                    <w:tl2br w:val="nil"/>
                    <w:tr2bl w:val="nil"/>
                  </w:tcBorders>
                  <w:vAlign w:val="center"/>
                </w:tcPr>
                <w:p w14:paraId="08256960">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vAlign w:val="center"/>
                </w:tcPr>
                <w:p w14:paraId="519B1A1C">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 w:val="22"/>
                      <w:szCs w:val="20"/>
                    </w:rPr>
                    <w:t>130T</w:t>
                  </w:r>
                </w:p>
              </w:tc>
              <w:tc>
                <w:tcPr>
                  <w:tcW w:w="548" w:type="pct"/>
                  <w:tcBorders>
                    <w:tl2br w:val="nil"/>
                    <w:tr2bl w:val="nil"/>
                  </w:tcBorders>
                  <w:vAlign w:val="center"/>
                </w:tcPr>
                <w:p w14:paraId="10CA0694">
                  <w:pPr>
                    <w:widowControl/>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szCs w:val="20"/>
                      <w:lang w:val="en-US" w:eastAsia="zh-CN"/>
                    </w:rPr>
                    <w:t>5</w:t>
                  </w:r>
                </w:p>
              </w:tc>
              <w:tc>
                <w:tcPr>
                  <w:tcW w:w="476" w:type="pct"/>
                  <w:tcBorders>
                    <w:tl2br w:val="nil"/>
                    <w:tr2bl w:val="nil"/>
                  </w:tcBorders>
                  <w:vAlign w:val="center"/>
                </w:tcPr>
                <w:p w14:paraId="38A0FDEF">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409FC70B">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5</w:t>
                  </w:r>
                </w:p>
              </w:tc>
              <w:tc>
                <w:tcPr>
                  <w:tcW w:w="486" w:type="pct"/>
                  <w:tcBorders>
                    <w:tl2br w:val="nil"/>
                    <w:tr2bl w:val="nil"/>
                  </w:tcBorders>
                  <w:vAlign w:val="center"/>
                </w:tcPr>
                <w:p w14:paraId="79C8B8BE">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1CC30FB7">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06B9CF91">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37C78B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2BCFDFDF">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7</w:t>
                  </w:r>
                </w:p>
              </w:tc>
              <w:tc>
                <w:tcPr>
                  <w:tcW w:w="697" w:type="pct"/>
                  <w:tcBorders>
                    <w:tl2br w:val="nil"/>
                    <w:tr2bl w:val="nil"/>
                  </w:tcBorders>
                  <w:vAlign w:val="center"/>
                </w:tcPr>
                <w:p w14:paraId="5B461223">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vAlign w:val="center"/>
                </w:tcPr>
                <w:p w14:paraId="3465612E">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sz w:val="22"/>
                      <w:szCs w:val="20"/>
                    </w:rPr>
                    <w:t>270T</w:t>
                  </w:r>
                </w:p>
              </w:tc>
              <w:tc>
                <w:tcPr>
                  <w:tcW w:w="548" w:type="pct"/>
                  <w:tcBorders>
                    <w:tl2br w:val="nil"/>
                    <w:tr2bl w:val="nil"/>
                  </w:tcBorders>
                  <w:vAlign w:val="center"/>
                </w:tcPr>
                <w:p w14:paraId="375857D6">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Cs w:val="20"/>
                    </w:rPr>
                    <w:t>3</w:t>
                  </w:r>
                </w:p>
              </w:tc>
              <w:tc>
                <w:tcPr>
                  <w:tcW w:w="476" w:type="pct"/>
                  <w:tcBorders>
                    <w:tl2br w:val="nil"/>
                    <w:tr2bl w:val="nil"/>
                  </w:tcBorders>
                  <w:vAlign w:val="center"/>
                </w:tcPr>
                <w:p w14:paraId="5F7DB935">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6D3466B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3</w:t>
                  </w:r>
                </w:p>
              </w:tc>
              <w:tc>
                <w:tcPr>
                  <w:tcW w:w="486" w:type="pct"/>
                  <w:tcBorders>
                    <w:tl2br w:val="nil"/>
                    <w:tr2bl w:val="nil"/>
                  </w:tcBorders>
                  <w:vAlign w:val="center"/>
                </w:tcPr>
                <w:p w14:paraId="0457DF6F">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01E33241">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2B984FC8">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00ED72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7B08D009">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8</w:t>
                  </w:r>
                </w:p>
              </w:tc>
              <w:tc>
                <w:tcPr>
                  <w:tcW w:w="697" w:type="pct"/>
                  <w:tcBorders>
                    <w:tl2br w:val="nil"/>
                    <w:tr2bl w:val="nil"/>
                  </w:tcBorders>
                  <w:vAlign w:val="center"/>
                </w:tcPr>
                <w:p w14:paraId="053677CF">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vAlign w:val="center"/>
                </w:tcPr>
                <w:p w14:paraId="5AC43105">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sz w:val="22"/>
                      <w:szCs w:val="20"/>
                    </w:rPr>
                    <w:t>380T</w:t>
                  </w:r>
                </w:p>
              </w:tc>
              <w:tc>
                <w:tcPr>
                  <w:tcW w:w="548" w:type="pct"/>
                  <w:tcBorders>
                    <w:tl2br w:val="nil"/>
                    <w:tr2bl w:val="nil"/>
                  </w:tcBorders>
                  <w:vAlign w:val="center"/>
                </w:tcPr>
                <w:p w14:paraId="5846573F">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Cs w:val="20"/>
                    </w:rPr>
                    <w:t>1</w:t>
                  </w:r>
                </w:p>
              </w:tc>
              <w:tc>
                <w:tcPr>
                  <w:tcW w:w="476" w:type="pct"/>
                  <w:tcBorders>
                    <w:tl2br w:val="nil"/>
                    <w:tr2bl w:val="nil"/>
                  </w:tcBorders>
                  <w:vAlign w:val="center"/>
                </w:tcPr>
                <w:p w14:paraId="5D832D8A">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5</w:t>
                  </w:r>
                </w:p>
              </w:tc>
              <w:tc>
                <w:tcPr>
                  <w:tcW w:w="601" w:type="pct"/>
                  <w:tcBorders>
                    <w:tl2br w:val="nil"/>
                    <w:tr2bl w:val="nil"/>
                  </w:tcBorders>
                  <w:vAlign w:val="center"/>
                </w:tcPr>
                <w:p w14:paraId="452367B3">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6</w:t>
                  </w:r>
                </w:p>
              </w:tc>
              <w:tc>
                <w:tcPr>
                  <w:tcW w:w="486" w:type="pct"/>
                  <w:tcBorders>
                    <w:tl2br w:val="nil"/>
                    <w:tr2bl w:val="nil"/>
                  </w:tcBorders>
                  <w:vAlign w:val="center"/>
                </w:tcPr>
                <w:p w14:paraId="5215680D">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+5</w:t>
                  </w:r>
                </w:p>
              </w:tc>
              <w:tc>
                <w:tcPr>
                  <w:tcW w:w="644" w:type="pct"/>
                  <w:tcBorders>
                    <w:tl2br w:val="nil"/>
                    <w:tr2bl w:val="nil"/>
                  </w:tcBorders>
                  <w:vAlign w:val="center"/>
                </w:tcPr>
                <w:p w14:paraId="1B206C50">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695020F3">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新增</w:t>
                  </w:r>
                </w:p>
              </w:tc>
            </w:tr>
            <w:tr w14:paraId="49853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161EA985">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9</w:t>
                  </w:r>
                </w:p>
              </w:tc>
              <w:tc>
                <w:tcPr>
                  <w:tcW w:w="697" w:type="pct"/>
                  <w:tcBorders>
                    <w:tl2br w:val="nil"/>
                    <w:tr2bl w:val="nil"/>
                  </w:tcBorders>
                  <w:shd w:val="clear" w:color="auto" w:fill="auto"/>
                  <w:vAlign w:val="center"/>
                </w:tcPr>
                <w:p w14:paraId="4AD4676B">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shd w:val="clear" w:color="auto" w:fill="auto"/>
                  <w:vAlign w:val="center"/>
                </w:tcPr>
                <w:p w14:paraId="17CC0230">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 w:val="22"/>
                      <w:szCs w:val="20"/>
                    </w:rPr>
                    <w:t>200T</w:t>
                  </w:r>
                </w:p>
              </w:tc>
              <w:tc>
                <w:tcPr>
                  <w:tcW w:w="548" w:type="pct"/>
                  <w:tcBorders>
                    <w:tl2br w:val="nil"/>
                    <w:tr2bl w:val="nil"/>
                  </w:tcBorders>
                  <w:vAlign w:val="center"/>
                </w:tcPr>
                <w:p w14:paraId="5B77425A">
                  <w:pPr>
                    <w:widowControl/>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szCs w:val="20"/>
                      <w:lang w:val="en-US" w:eastAsia="zh-CN"/>
                    </w:rPr>
                    <w:t>7</w:t>
                  </w:r>
                </w:p>
              </w:tc>
              <w:tc>
                <w:tcPr>
                  <w:tcW w:w="476" w:type="pct"/>
                  <w:tcBorders>
                    <w:tl2br w:val="nil"/>
                    <w:tr2bl w:val="nil"/>
                  </w:tcBorders>
                  <w:vAlign w:val="center"/>
                </w:tcPr>
                <w:p w14:paraId="7D6100F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229C09F5">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7</w:t>
                  </w:r>
                </w:p>
              </w:tc>
              <w:tc>
                <w:tcPr>
                  <w:tcW w:w="486" w:type="pct"/>
                  <w:tcBorders>
                    <w:tl2br w:val="nil"/>
                    <w:tr2bl w:val="nil"/>
                  </w:tcBorders>
                  <w:vAlign w:val="center"/>
                </w:tcPr>
                <w:p w14:paraId="590084D8">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292234BB">
                  <w:pPr>
                    <w:jc w:val="center"/>
                    <w:rPr>
                      <w:rFonts w:hint="default" w:ascii="Times New Roman" w:hAnsi="Times New Roman" w:eastAsia="宋体" w:cs="Times New Roman"/>
                      <w:bCs/>
                      <w:caps w:val="0"/>
                      <w:color w:val="auto"/>
                      <w:szCs w:val="21"/>
                      <w:highlight w:val="none"/>
                      <w:lang w:eastAsia="zh-CN"/>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0A432E70">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caps w:val="0"/>
                      <w:color w:val="auto"/>
                      <w:szCs w:val="21"/>
                      <w:highlight w:val="none"/>
                      <w:lang w:val="en-US" w:eastAsia="zh-CN"/>
                    </w:rPr>
                    <w:t>不变</w:t>
                  </w:r>
                </w:p>
              </w:tc>
            </w:tr>
            <w:tr w14:paraId="586370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2A446745">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10</w:t>
                  </w:r>
                </w:p>
              </w:tc>
              <w:tc>
                <w:tcPr>
                  <w:tcW w:w="697" w:type="pct"/>
                  <w:tcBorders>
                    <w:tl2br w:val="nil"/>
                    <w:tr2bl w:val="nil"/>
                  </w:tcBorders>
                  <w:shd w:val="clear" w:color="auto" w:fill="auto"/>
                  <w:vAlign w:val="center"/>
                </w:tcPr>
                <w:p w14:paraId="5574557A">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shd w:val="clear" w:color="auto" w:fill="auto"/>
                  <w:vAlign w:val="center"/>
                </w:tcPr>
                <w:p w14:paraId="673E4316">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sz w:val="22"/>
                      <w:szCs w:val="20"/>
                    </w:rPr>
                    <w:t>160T</w:t>
                  </w:r>
                </w:p>
              </w:tc>
              <w:tc>
                <w:tcPr>
                  <w:tcW w:w="548" w:type="pct"/>
                  <w:tcBorders>
                    <w:tl2br w:val="nil"/>
                    <w:tr2bl w:val="nil"/>
                  </w:tcBorders>
                  <w:vAlign w:val="center"/>
                </w:tcPr>
                <w:p w14:paraId="73F8BF78">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szCs w:val="20"/>
                      <w:lang w:val="en-US" w:eastAsia="zh-CN"/>
                    </w:rPr>
                    <w:t>25</w:t>
                  </w:r>
                </w:p>
              </w:tc>
              <w:tc>
                <w:tcPr>
                  <w:tcW w:w="476" w:type="pct"/>
                  <w:tcBorders>
                    <w:tl2br w:val="nil"/>
                    <w:tr2bl w:val="nil"/>
                  </w:tcBorders>
                  <w:vAlign w:val="center"/>
                </w:tcPr>
                <w:p w14:paraId="074EE810">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10</w:t>
                  </w:r>
                </w:p>
              </w:tc>
              <w:tc>
                <w:tcPr>
                  <w:tcW w:w="601" w:type="pct"/>
                  <w:tcBorders>
                    <w:tl2br w:val="nil"/>
                    <w:tr2bl w:val="nil"/>
                  </w:tcBorders>
                  <w:vAlign w:val="center"/>
                </w:tcPr>
                <w:p w14:paraId="1F7AEB72">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35</w:t>
                  </w:r>
                </w:p>
              </w:tc>
              <w:tc>
                <w:tcPr>
                  <w:tcW w:w="486" w:type="pct"/>
                  <w:tcBorders>
                    <w:tl2br w:val="nil"/>
                    <w:tr2bl w:val="nil"/>
                  </w:tcBorders>
                  <w:vAlign w:val="center"/>
                </w:tcPr>
                <w:p w14:paraId="7B74BED9">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kern w:val="2"/>
                      <w:sz w:val="21"/>
                      <w:szCs w:val="21"/>
                      <w:highlight w:val="none"/>
                      <w:lang w:val="en-US" w:eastAsia="zh-CN" w:bidi="ar-SA"/>
                    </w:rPr>
                    <w:t>+10</w:t>
                  </w:r>
                </w:p>
              </w:tc>
              <w:tc>
                <w:tcPr>
                  <w:tcW w:w="644" w:type="pct"/>
                  <w:tcBorders>
                    <w:tl2br w:val="nil"/>
                    <w:tr2bl w:val="nil"/>
                  </w:tcBorders>
                  <w:vAlign w:val="center"/>
                </w:tcPr>
                <w:p w14:paraId="579857FD">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6AE9BD3A">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新增</w:t>
                  </w:r>
                </w:p>
              </w:tc>
            </w:tr>
            <w:tr w14:paraId="12182E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27901E4D">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11</w:t>
                  </w:r>
                </w:p>
              </w:tc>
              <w:tc>
                <w:tcPr>
                  <w:tcW w:w="697" w:type="pct"/>
                  <w:tcBorders>
                    <w:tl2br w:val="nil"/>
                    <w:tr2bl w:val="nil"/>
                  </w:tcBorders>
                  <w:shd w:val="clear" w:color="auto" w:fill="auto"/>
                  <w:vAlign w:val="center"/>
                </w:tcPr>
                <w:p w14:paraId="1C33B063">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注塑机</w:t>
                  </w:r>
                </w:p>
              </w:tc>
              <w:tc>
                <w:tcPr>
                  <w:tcW w:w="708" w:type="pct"/>
                  <w:tcBorders>
                    <w:tl2br w:val="nil"/>
                    <w:tr2bl w:val="nil"/>
                  </w:tcBorders>
                  <w:shd w:val="clear" w:color="auto" w:fill="auto"/>
                  <w:vAlign w:val="center"/>
                </w:tcPr>
                <w:p w14:paraId="25255A8E">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 w:val="22"/>
                      <w:szCs w:val="20"/>
                    </w:rPr>
                    <w:t>170T</w:t>
                  </w:r>
                </w:p>
              </w:tc>
              <w:tc>
                <w:tcPr>
                  <w:tcW w:w="548" w:type="pct"/>
                  <w:tcBorders>
                    <w:tl2br w:val="nil"/>
                    <w:tr2bl w:val="nil"/>
                  </w:tcBorders>
                  <w:vAlign w:val="center"/>
                </w:tcPr>
                <w:p w14:paraId="0BDA40D5">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Cs w:val="20"/>
                    </w:rPr>
                    <w:t>5</w:t>
                  </w:r>
                </w:p>
              </w:tc>
              <w:tc>
                <w:tcPr>
                  <w:tcW w:w="476" w:type="pct"/>
                  <w:tcBorders>
                    <w:tl2br w:val="nil"/>
                    <w:tr2bl w:val="nil"/>
                  </w:tcBorders>
                  <w:vAlign w:val="center"/>
                </w:tcPr>
                <w:p w14:paraId="77B55CF8">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3364220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5</w:t>
                  </w:r>
                </w:p>
              </w:tc>
              <w:tc>
                <w:tcPr>
                  <w:tcW w:w="486" w:type="pct"/>
                  <w:tcBorders>
                    <w:tl2br w:val="nil"/>
                    <w:tr2bl w:val="nil"/>
                  </w:tcBorders>
                  <w:vAlign w:val="center"/>
                </w:tcPr>
                <w:p w14:paraId="5459FC9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0A0829E7">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5F105A8B">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6A11B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125A7B5C">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aps w:val="0"/>
                      <w:color w:val="auto"/>
                      <w:szCs w:val="21"/>
                      <w:highlight w:val="none"/>
                    </w:rPr>
                    <w:t>12</w:t>
                  </w:r>
                </w:p>
              </w:tc>
              <w:tc>
                <w:tcPr>
                  <w:tcW w:w="697" w:type="pct"/>
                  <w:tcBorders>
                    <w:tl2br w:val="nil"/>
                    <w:tr2bl w:val="nil"/>
                  </w:tcBorders>
                  <w:shd w:val="clear" w:color="auto" w:fill="auto"/>
                  <w:vAlign w:val="center"/>
                </w:tcPr>
                <w:p w14:paraId="51D934C7">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电动注塑机</w:t>
                  </w:r>
                </w:p>
              </w:tc>
              <w:tc>
                <w:tcPr>
                  <w:tcW w:w="708" w:type="pct"/>
                  <w:tcBorders>
                    <w:tl2br w:val="nil"/>
                    <w:tr2bl w:val="nil"/>
                  </w:tcBorders>
                  <w:shd w:val="clear" w:color="auto" w:fill="auto"/>
                  <w:vAlign w:val="center"/>
                </w:tcPr>
                <w:p w14:paraId="40A26E56">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 w:val="22"/>
                      <w:szCs w:val="20"/>
                    </w:rPr>
                    <w:t>50T</w:t>
                  </w:r>
                </w:p>
              </w:tc>
              <w:tc>
                <w:tcPr>
                  <w:tcW w:w="548" w:type="pct"/>
                  <w:tcBorders>
                    <w:tl2br w:val="nil"/>
                    <w:tr2bl w:val="nil"/>
                  </w:tcBorders>
                  <w:vAlign w:val="center"/>
                </w:tcPr>
                <w:p w14:paraId="000FF984">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Cs w:val="20"/>
                    </w:rPr>
                    <w:t>5</w:t>
                  </w:r>
                </w:p>
              </w:tc>
              <w:tc>
                <w:tcPr>
                  <w:tcW w:w="476" w:type="pct"/>
                  <w:tcBorders>
                    <w:tl2br w:val="nil"/>
                    <w:tr2bl w:val="nil"/>
                  </w:tcBorders>
                  <w:vAlign w:val="center"/>
                </w:tcPr>
                <w:p w14:paraId="370814C4">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2423FF70">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5</w:t>
                  </w:r>
                </w:p>
              </w:tc>
              <w:tc>
                <w:tcPr>
                  <w:tcW w:w="486" w:type="pct"/>
                  <w:tcBorders>
                    <w:tl2br w:val="nil"/>
                    <w:tr2bl w:val="nil"/>
                  </w:tcBorders>
                  <w:vAlign w:val="center"/>
                </w:tcPr>
                <w:p w14:paraId="55F7C09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7354E65C">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53878C51">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065214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1D19AEEE">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13</w:t>
                  </w:r>
                </w:p>
              </w:tc>
              <w:tc>
                <w:tcPr>
                  <w:tcW w:w="697" w:type="pct"/>
                  <w:tcBorders>
                    <w:tl2br w:val="nil"/>
                    <w:tr2bl w:val="nil"/>
                  </w:tcBorders>
                  <w:shd w:val="clear" w:color="auto" w:fill="auto"/>
                  <w:vAlign w:val="center"/>
                </w:tcPr>
                <w:p w14:paraId="3BCF3BC0">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电动注塑机</w:t>
                  </w:r>
                </w:p>
              </w:tc>
              <w:tc>
                <w:tcPr>
                  <w:tcW w:w="708" w:type="pct"/>
                  <w:tcBorders>
                    <w:tl2br w:val="nil"/>
                    <w:tr2bl w:val="nil"/>
                  </w:tcBorders>
                  <w:shd w:val="clear" w:color="auto" w:fill="auto"/>
                  <w:vAlign w:val="center"/>
                </w:tcPr>
                <w:p w14:paraId="06DE71C5">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 w:val="22"/>
                      <w:szCs w:val="20"/>
                    </w:rPr>
                    <w:t>110T</w:t>
                  </w:r>
                </w:p>
              </w:tc>
              <w:tc>
                <w:tcPr>
                  <w:tcW w:w="548" w:type="pct"/>
                  <w:tcBorders>
                    <w:tl2br w:val="nil"/>
                    <w:tr2bl w:val="nil"/>
                  </w:tcBorders>
                  <w:vAlign w:val="center"/>
                </w:tcPr>
                <w:p w14:paraId="41FC6B10">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Cs w:val="20"/>
                    </w:rPr>
                    <w:t>3</w:t>
                  </w:r>
                </w:p>
              </w:tc>
              <w:tc>
                <w:tcPr>
                  <w:tcW w:w="476" w:type="pct"/>
                  <w:tcBorders>
                    <w:tl2br w:val="nil"/>
                    <w:tr2bl w:val="nil"/>
                  </w:tcBorders>
                  <w:vAlign w:val="center"/>
                </w:tcPr>
                <w:p w14:paraId="46C60587">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10</w:t>
                  </w:r>
                </w:p>
              </w:tc>
              <w:tc>
                <w:tcPr>
                  <w:tcW w:w="601" w:type="pct"/>
                  <w:tcBorders>
                    <w:tl2br w:val="nil"/>
                    <w:tr2bl w:val="nil"/>
                  </w:tcBorders>
                  <w:vAlign w:val="center"/>
                </w:tcPr>
                <w:p w14:paraId="1AA41613">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13</w:t>
                  </w:r>
                </w:p>
              </w:tc>
              <w:tc>
                <w:tcPr>
                  <w:tcW w:w="486" w:type="pct"/>
                  <w:tcBorders>
                    <w:tl2br w:val="nil"/>
                    <w:tr2bl w:val="nil"/>
                  </w:tcBorders>
                  <w:vAlign w:val="center"/>
                </w:tcPr>
                <w:p w14:paraId="67AA2AA6">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+10</w:t>
                  </w:r>
                </w:p>
              </w:tc>
              <w:tc>
                <w:tcPr>
                  <w:tcW w:w="644" w:type="pct"/>
                  <w:tcBorders>
                    <w:tl2br w:val="nil"/>
                    <w:tr2bl w:val="nil"/>
                  </w:tcBorders>
                  <w:vAlign w:val="center"/>
                </w:tcPr>
                <w:p w14:paraId="09B35DCC">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6F730AE3">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新增</w:t>
                  </w:r>
                </w:p>
              </w:tc>
            </w:tr>
            <w:tr w14:paraId="7AB362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38F2BF29">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14</w:t>
                  </w:r>
                </w:p>
              </w:tc>
              <w:tc>
                <w:tcPr>
                  <w:tcW w:w="697" w:type="pct"/>
                  <w:tcBorders>
                    <w:tl2br w:val="nil"/>
                    <w:tr2bl w:val="nil"/>
                  </w:tcBorders>
                  <w:shd w:val="clear" w:color="auto" w:fill="auto"/>
                  <w:vAlign w:val="center"/>
                </w:tcPr>
                <w:p w14:paraId="76BB27DE">
                  <w:pPr>
                    <w:jc w:val="center"/>
                    <w:rPr>
                      <w:rFonts w:hint="default" w:ascii="Times New Roman" w:hAnsi="Times New Roman" w:eastAsia="宋体" w:cs="Times New Roman"/>
                      <w:color w:val="auto"/>
                      <w:sz w:val="22"/>
                      <w:szCs w:val="20"/>
                    </w:rPr>
                  </w:pPr>
                  <w:r>
                    <w:rPr>
                      <w:rFonts w:hint="default" w:ascii="Times New Roman" w:hAnsi="Times New Roman" w:eastAsia="宋体" w:cs="Times New Roman"/>
                      <w:color w:val="auto"/>
                      <w:sz w:val="22"/>
                      <w:szCs w:val="20"/>
                    </w:rPr>
                    <w:t>注塑机</w:t>
                  </w:r>
                </w:p>
                <w:p w14:paraId="3E81971E">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 w:val="22"/>
                      <w:szCs w:val="20"/>
                    </w:rPr>
                    <w:t>（立式）</w:t>
                  </w:r>
                </w:p>
              </w:tc>
              <w:tc>
                <w:tcPr>
                  <w:tcW w:w="708" w:type="pct"/>
                  <w:tcBorders>
                    <w:tl2br w:val="nil"/>
                    <w:tr2bl w:val="nil"/>
                  </w:tcBorders>
                  <w:shd w:val="clear" w:color="auto" w:fill="auto"/>
                  <w:vAlign w:val="center"/>
                </w:tcPr>
                <w:p w14:paraId="355CBB80">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sz w:val="22"/>
                      <w:szCs w:val="20"/>
                    </w:rPr>
                    <w:t>35T-85T</w:t>
                  </w:r>
                </w:p>
              </w:tc>
              <w:tc>
                <w:tcPr>
                  <w:tcW w:w="548" w:type="pct"/>
                  <w:tcBorders>
                    <w:tl2br w:val="nil"/>
                    <w:tr2bl w:val="nil"/>
                  </w:tcBorders>
                  <w:vAlign w:val="center"/>
                </w:tcPr>
                <w:p w14:paraId="2638A900">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Cs w:val="20"/>
                    </w:rPr>
                    <w:t>8</w:t>
                  </w:r>
                </w:p>
              </w:tc>
              <w:tc>
                <w:tcPr>
                  <w:tcW w:w="476" w:type="pct"/>
                  <w:tcBorders>
                    <w:tl2br w:val="nil"/>
                    <w:tr2bl w:val="nil"/>
                  </w:tcBorders>
                  <w:vAlign w:val="center"/>
                </w:tcPr>
                <w:p w14:paraId="4E7B9BB8">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5E134DC5">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8</w:t>
                  </w:r>
                </w:p>
              </w:tc>
              <w:tc>
                <w:tcPr>
                  <w:tcW w:w="486" w:type="pct"/>
                  <w:tcBorders>
                    <w:tl2br w:val="nil"/>
                    <w:tr2bl w:val="nil"/>
                  </w:tcBorders>
                  <w:vAlign w:val="center"/>
                </w:tcPr>
                <w:p w14:paraId="3D87578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7955CBC8">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248B8012">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6055E6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26BD1B7E">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15</w:t>
                  </w:r>
                </w:p>
              </w:tc>
              <w:tc>
                <w:tcPr>
                  <w:tcW w:w="697" w:type="pct"/>
                  <w:tcBorders>
                    <w:tl2br w:val="nil"/>
                    <w:tr2bl w:val="nil"/>
                  </w:tcBorders>
                  <w:shd w:val="clear" w:color="auto" w:fill="auto"/>
                  <w:vAlign w:val="center"/>
                </w:tcPr>
                <w:p w14:paraId="1903969D">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慢走丝切割机</w:t>
                  </w:r>
                </w:p>
              </w:tc>
              <w:tc>
                <w:tcPr>
                  <w:tcW w:w="708" w:type="pct"/>
                  <w:tcBorders>
                    <w:tl2br w:val="nil"/>
                    <w:tr2bl w:val="nil"/>
                  </w:tcBorders>
                  <w:shd w:val="clear" w:color="auto" w:fill="auto"/>
                  <w:vAlign w:val="center"/>
                </w:tcPr>
                <w:p w14:paraId="452F1DA7">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rPr>
                    <w:t>M50A</w:t>
                  </w:r>
                </w:p>
              </w:tc>
              <w:tc>
                <w:tcPr>
                  <w:tcW w:w="548" w:type="pct"/>
                  <w:tcBorders>
                    <w:tl2br w:val="nil"/>
                    <w:tr2bl w:val="nil"/>
                  </w:tcBorders>
                  <w:vAlign w:val="center"/>
                </w:tcPr>
                <w:p w14:paraId="0A0BE54D">
                  <w:pPr>
                    <w:widowControl/>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kern w:val="0"/>
                      <w:szCs w:val="21"/>
                      <w:lang w:val="en-US" w:eastAsia="zh-CN"/>
                    </w:rPr>
                    <w:t>4</w:t>
                  </w:r>
                </w:p>
              </w:tc>
              <w:tc>
                <w:tcPr>
                  <w:tcW w:w="476" w:type="pct"/>
                  <w:tcBorders>
                    <w:tl2br w:val="nil"/>
                    <w:tr2bl w:val="nil"/>
                  </w:tcBorders>
                  <w:vAlign w:val="center"/>
                </w:tcPr>
                <w:p w14:paraId="29C24348">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02E48F16">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4</w:t>
                  </w:r>
                </w:p>
              </w:tc>
              <w:tc>
                <w:tcPr>
                  <w:tcW w:w="486" w:type="pct"/>
                  <w:tcBorders>
                    <w:tl2br w:val="nil"/>
                    <w:tr2bl w:val="nil"/>
                  </w:tcBorders>
                  <w:vAlign w:val="center"/>
                </w:tcPr>
                <w:p w14:paraId="6052A35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61DAB9F5">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5FC745C5">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1C2F2F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3176DBE6">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16</w:t>
                  </w:r>
                </w:p>
              </w:tc>
              <w:tc>
                <w:tcPr>
                  <w:tcW w:w="697" w:type="pct"/>
                  <w:tcBorders>
                    <w:tl2br w:val="nil"/>
                    <w:tr2bl w:val="nil"/>
                  </w:tcBorders>
                  <w:shd w:val="clear" w:color="auto" w:fill="auto"/>
                  <w:vAlign w:val="center"/>
                </w:tcPr>
                <w:p w14:paraId="7A5FDF97">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普通线切割机</w:t>
                  </w:r>
                </w:p>
              </w:tc>
              <w:tc>
                <w:tcPr>
                  <w:tcW w:w="708" w:type="pct"/>
                  <w:tcBorders>
                    <w:tl2br w:val="nil"/>
                    <w:tr2bl w:val="nil"/>
                  </w:tcBorders>
                  <w:shd w:val="clear" w:color="auto" w:fill="auto"/>
                  <w:vAlign w:val="center"/>
                </w:tcPr>
                <w:p w14:paraId="55C2458B">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rPr>
                    <w:t>DK7732</w:t>
                  </w:r>
                </w:p>
              </w:tc>
              <w:tc>
                <w:tcPr>
                  <w:tcW w:w="548" w:type="pct"/>
                  <w:tcBorders>
                    <w:tl2br w:val="nil"/>
                    <w:tr2bl w:val="nil"/>
                  </w:tcBorders>
                  <w:vAlign w:val="center"/>
                </w:tcPr>
                <w:p w14:paraId="73F4763D">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kern w:val="0"/>
                      <w:szCs w:val="21"/>
                      <w:lang w:val="en-US" w:eastAsia="zh-CN"/>
                    </w:rPr>
                    <w:t>30</w:t>
                  </w:r>
                </w:p>
              </w:tc>
              <w:tc>
                <w:tcPr>
                  <w:tcW w:w="476" w:type="pct"/>
                  <w:tcBorders>
                    <w:tl2br w:val="nil"/>
                    <w:tr2bl w:val="nil"/>
                  </w:tcBorders>
                  <w:vAlign w:val="center"/>
                </w:tcPr>
                <w:p w14:paraId="4189A973">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651BF95E">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30</w:t>
                  </w:r>
                </w:p>
              </w:tc>
              <w:tc>
                <w:tcPr>
                  <w:tcW w:w="486" w:type="pct"/>
                  <w:tcBorders>
                    <w:tl2br w:val="nil"/>
                    <w:tr2bl w:val="nil"/>
                  </w:tcBorders>
                  <w:vAlign w:val="center"/>
                </w:tcPr>
                <w:p w14:paraId="69EF021F">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3254B56E">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3A103AB5">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4A355E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14BE1C34">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17</w:t>
                  </w:r>
                </w:p>
              </w:tc>
              <w:tc>
                <w:tcPr>
                  <w:tcW w:w="697" w:type="pct"/>
                  <w:tcBorders>
                    <w:tl2br w:val="nil"/>
                    <w:tr2bl w:val="nil"/>
                  </w:tcBorders>
                  <w:shd w:val="clear" w:color="auto" w:fill="auto"/>
                  <w:vAlign w:val="center"/>
                </w:tcPr>
                <w:p w14:paraId="7AFA3D5A">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超高速冲床</w:t>
                  </w:r>
                </w:p>
              </w:tc>
              <w:tc>
                <w:tcPr>
                  <w:tcW w:w="708" w:type="pct"/>
                  <w:tcBorders>
                    <w:tl2br w:val="nil"/>
                    <w:tr2bl w:val="nil"/>
                  </w:tcBorders>
                  <w:shd w:val="clear" w:color="auto" w:fill="auto"/>
                  <w:vAlign w:val="center"/>
                </w:tcPr>
                <w:p w14:paraId="61DA6C42">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rPr>
                    <w:t>M-40</w:t>
                  </w:r>
                </w:p>
              </w:tc>
              <w:tc>
                <w:tcPr>
                  <w:tcW w:w="548" w:type="pct"/>
                  <w:tcBorders>
                    <w:tl2br w:val="nil"/>
                    <w:tr2bl w:val="nil"/>
                  </w:tcBorders>
                  <w:vAlign w:val="center"/>
                </w:tcPr>
                <w:p w14:paraId="07B6EE28">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kern w:val="0"/>
                      <w:szCs w:val="21"/>
                      <w:lang w:val="en-US" w:eastAsia="zh-CN"/>
                    </w:rPr>
                    <w:t>10</w:t>
                  </w:r>
                </w:p>
              </w:tc>
              <w:tc>
                <w:tcPr>
                  <w:tcW w:w="476" w:type="pct"/>
                  <w:tcBorders>
                    <w:tl2br w:val="nil"/>
                    <w:tr2bl w:val="nil"/>
                  </w:tcBorders>
                  <w:vAlign w:val="center"/>
                </w:tcPr>
                <w:p w14:paraId="41A66580">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3</w:t>
                  </w:r>
                </w:p>
              </w:tc>
              <w:tc>
                <w:tcPr>
                  <w:tcW w:w="601" w:type="pct"/>
                  <w:tcBorders>
                    <w:tl2br w:val="nil"/>
                    <w:tr2bl w:val="nil"/>
                  </w:tcBorders>
                  <w:vAlign w:val="center"/>
                </w:tcPr>
                <w:p w14:paraId="73B55B0E">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13</w:t>
                  </w:r>
                </w:p>
              </w:tc>
              <w:tc>
                <w:tcPr>
                  <w:tcW w:w="486" w:type="pct"/>
                  <w:tcBorders>
                    <w:tl2br w:val="nil"/>
                    <w:tr2bl w:val="nil"/>
                  </w:tcBorders>
                  <w:vAlign w:val="center"/>
                </w:tcPr>
                <w:p w14:paraId="03F6E67B">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+3</w:t>
                  </w:r>
                </w:p>
              </w:tc>
              <w:tc>
                <w:tcPr>
                  <w:tcW w:w="644" w:type="pct"/>
                  <w:tcBorders>
                    <w:tl2br w:val="nil"/>
                    <w:tr2bl w:val="nil"/>
                  </w:tcBorders>
                  <w:vAlign w:val="center"/>
                </w:tcPr>
                <w:p w14:paraId="77AD89C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7C150A50">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新增</w:t>
                  </w:r>
                </w:p>
              </w:tc>
            </w:tr>
            <w:tr w14:paraId="1277D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435E43B2">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18</w:t>
                  </w:r>
                </w:p>
              </w:tc>
              <w:tc>
                <w:tcPr>
                  <w:tcW w:w="697" w:type="pct"/>
                  <w:tcBorders>
                    <w:tl2br w:val="nil"/>
                    <w:tr2bl w:val="nil"/>
                  </w:tcBorders>
                  <w:shd w:val="clear" w:color="auto" w:fill="auto"/>
                  <w:vAlign w:val="center"/>
                </w:tcPr>
                <w:p w14:paraId="75B32DEB">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高速冲床</w:t>
                  </w:r>
                </w:p>
              </w:tc>
              <w:tc>
                <w:tcPr>
                  <w:tcW w:w="708" w:type="pct"/>
                  <w:tcBorders>
                    <w:tl2br w:val="nil"/>
                    <w:tr2bl w:val="nil"/>
                  </w:tcBorders>
                  <w:shd w:val="clear" w:color="auto" w:fill="auto"/>
                  <w:vAlign w:val="center"/>
                </w:tcPr>
                <w:p w14:paraId="2E56D2CE">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C型M-</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rPr>
                    <w:t>5</w:t>
                  </w:r>
                </w:p>
              </w:tc>
              <w:tc>
                <w:tcPr>
                  <w:tcW w:w="548" w:type="pct"/>
                  <w:tcBorders>
                    <w:tl2br w:val="nil"/>
                    <w:tr2bl w:val="nil"/>
                  </w:tcBorders>
                  <w:vAlign w:val="center"/>
                </w:tcPr>
                <w:p w14:paraId="63326404">
                  <w:pPr>
                    <w:widowControl/>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kern w:val="0"/>
                      <w:szCs w:val="21"/>
                      <w:lang w:val="en-US" w:eastAsia="zh-CN"/>
                    </w:rPr>
                    <w:t>1</w:t>
                  </w:r>
                </w:p>
              </w:tc>
              <w:tc>
                <w:tcPr>
                  <w:tcW w:w="476" w:type="pct"/>
                  <w:tcBorders>
                    <w:tl2br w:val="nil"/>
                    <w:tr2bl w:val="nil"/>
                  </w:tcBorders>
                  <w:vAlign w:val="center"/>
                </w:tcPr>
                <w:p w14:paraId="36409C6D">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3</w:t>
                  </w:r>
                </w:p>
              </w:tc>
              <w:tc>
                <w:tcPr>
                  <w:tcW w:w="601" w:type="pct"/>
                  <w:tcBorders>
                    <w:tl2br w:val="nil"/>
                    <w:tr2bl w:val="nil"/>
                  </w:tcBorders>
                  <w:vAlign w:val="center"/>
                </w:tcPr>
                <w:p w14:paraId="11515A85">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4</w:t>
                  </w:r>
                </w:p>
              </w:tc>
              <w:tc>
                <w:tcPr>
                  <w:tcW w:w="486" w:type="pct"/>
                  <w:tcBorders>
                    <w:tl2br w:val="nil"/>
                    <w:tr2bl w:val="nil"/>
                  </w:tcBorders>
                  <w:vAlign w:val="center"/>
                </w:tcPr>
                <w:p w14:paraId="21FF57FC">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+3</w:t>
                  </w:r>
                </w:p>
              </w:tc>
              <w:tc>
                <w:tcPr>
                  <w:tcW w:w="644" w:type="pct"/>
                  <w:tcBorders>
                    <w:tl2br w:val="nil"/>
                    <w:tr2bl w:val="nil"/>
                  </w:tcBorders>
                  <w:vAlign w:val="center"/>
                </w:tcPr>
                <w:p w14:paraId="3DEDA5D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317B4D30">
                  <w:pPr>
                    <w:jc w:val="center"/>
                    <w:rPr>
                      <w:rFonts w:hint="eastAsia" w:ascii="Times New Roman" w:hAnsi="Times New Roman" w:eastAsia="宋体" w:cs="Times New Roman"/>
                      <w:bCs/>
                      <w:caps w:val="0"/>
                      <w:color w:val="auto"/>
                      <w:szCs w:val="21"/>
                      <w:highlight w:val="none"/>
                      <w:lang w:eastAsia="zh-CN"/>
                    </w:rPr>
                  </w:pPr>
                  <w:r>
                    <w:rPr>
                      <w:rFonts w:hint="eastAsia" w:cs="Times New Roman"/>
                      <w:bCs/>
                      <w:caps w:val="0"/>
                      <w:color w:val="auto"/>
                      <w:szCs w:val="21"/>
                      <w:highlight w:val="none"/>
                      <w:lang w:val="en-US" w:eastAsia="zh-CN"/>
                    </w:rPr>
                    <w:t>新增</w:t>
                  </w:r>
                </w:p>
              </w:tc>
            </w:tr>
            <w:tr w14:paraId="43E79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774A514C">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19</w:t>
                  </w:r>
                </w:p>
              </w:tc>
              <w:tc>
                <w:tcPr>
                  <w:tcW w:w="697" w:type="pct"/>
                  <w:tcBorders>
                    <w:tl2br w:val="nil"/>
                    <w:tr2bl w:val="nil"/>
                  </w:tcBorders>
                  <w:shd w:val="clear" w:color="auto" w:fill="auto"/>
                  <w:vAlign w:val="center"/>
                </w:tcPr>
                <w:p w14:paraId="358612AD">
                  <w:pPr>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高速冲床</w:t>
                  </w:r>
                </w:p>
              </w:tc>
              <w:tc>
                <w:tcPr>
                  <w:tcW w:w="708" w:type="pct"/>
                  <w:tcBorders>
                    <w:tl2br w:val="nil"/>
                    <w:tr2bl w:val="nil"/>
                  </w:tcBorders>
                  <w:shd w:val="clear" w:color="auto" w:fill="auto"/>
                  <w:vAlign w:val="center"/>
                </w:tcPr>
                <w:p w14:paraId="7867B602">
                  <w:pPr>
                    <w:widowControl/>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C型M-</w:t>
                  </w:r>
                  <w:r>
                    <w:rPr>
                      <w:rFonts w:hint="eastAsia" w:cs="Times New Roman"/>
                      <w:color w:val="auto"/>
                      <w:lang w:val="en-US" w:eastAsia="zh-CN"/>
                    </w:rPr>
                    <w:t>30</w:t>
                  </w:r>
                </w:p>
              </w:tc>
              <w:tc>
                <w:tcPr>
                  <w:tcW w:w="548" w:type="pct"/>
                  <w:tcBorders>
                    <w:tl2br w:val="nil"/>
                    <w:tr2bl w:val="nil"/>
                  </w:tcBorders>
                  <w:vAlign w:val="center"/>
                </w:tcPr>
                <w:p w14:paraId="3D435E25">
                  <w:pPr>
                    <w:widowControl/>
                    <w:jc w:val="center"/>
                    <w:rPr>
                      <w:rFonts w:hint="eastAsia"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2</w:t>
                  </w:r>
                </w:p>
              </w:tc>
              <w:tc>
                <w:tcPr>
                  <w:tcW w:w="476" w:type="pct"/>
                  <w:tcBorders>
                    <w:tl2br w:val="nil"/>
                    <w:tr2bl w:val="nil"/>
                  </w:tcBorders>
                  <w:vAlign w:val="center"/>
                </w:tcPr>
                <w:p w14:paraId="4E574807">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2</w:t>
                  </w:r>
                </w:p>
              </w:tc>
              <w:tc>
                <w:tcPr>
                  <w:tcW w:w="601" w:type="pct"/>
                  <w:tcBorders>
                    <w:tl2br w:val="nil"/>
                    <w:tr2bl w:val="nil"/>
                  </w:tcBorders>
                  <w:vAlign w:val="center"/>
                </w:tcPr>
                <w:p w14:paraId="2FEE24C2">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4</w:t>
                  </w:r>
                </w:p>
              </w:tc>
              <w:tc>
                <w:tcPr>
                  <w:tcW w:w="486" w:type="pct"/>
                  <w:tcBorders>
                    <w:tl2br w:val="nil"/>
                    <w:tr2bl w:val="nil"/>
                  </w:tcBorders>
                  <w:vAlign w:val="center"/>
                </w:tcPr>
                <w:p w14:paraId="18BB7F3A">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+2</w:t>
                  </w:r>
                </w:p>
              </w:tc>
              <w:tc>
                <w:tcPr>
                  <w:tcW w:w="644" w:type="pct"/>
                  <w:tcBorders>
                    <w:tl2br w:val="nil"/>
                    <w:tr2bl w:val="nil"/>
                  </w:tcBorders>
                  <w:vAlign w:val="center"/>
                </w:tcPr>
                <w:p w14:paraId="2511692C">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70959168">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新增</w:t>
                  </w:r>
                </w:p>
              </w:tc>
            </w:tr>
            <w:tr w14:paraId="7F80BC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2F9D5E72">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20</w:t>
                  </w:r>
                </w:p>
              </w:tc>
              <w:tc>
                <w:tcPr>
                  <w:tcW w:w="697" w:type="pct"/>
                  <w:tcBorders>
                    <w:tl2br w:val="nil"/>
                    <w:tr2bl w:val="nil"/>
                  </w:tcBorders>
                  <w:shd w:val="clear" w:color="auto" w:fill="auto"/>
                  <w:vAlign w:val="center"/>
                </w:tcPr>
                <w:p w14:paraId="18029DBE">
                  <w:pPr>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高速冲床</w:t>
                  </w:r>
                </w:p>
              </w:tc>
              <w:tc>
                <w:tcPr>
                  <w:tcW w:w="708" w:type="pct"/>
                  <w:tcBorders>
                    <w:tl2br w:val="nil"/>
                    <w:tr2bl w:val="nil"/>
                  </w:tcBorders>
                  <w:shd w:val="clear" w:color="auto" w:fill="auto"/>
                  <w:vAlign w:val="center"/>
                </w:tcPr>
                <w:p w14:paraId="043836B7">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rPr>
                    <w:t>C型M-</w:t>
                  </w:r>
                  <w:r>
                    <w:rPr>
                      <w:rFonts w:hint="eastAsia" w:cs="Times New Roman"/>
                      <w:color w:val="auto"/>
                      <w:lang w:val="en-US" w:eastAsia="zh-CN"/>
                    </w:rPr>
                    <w:t>2</w:t>
                  </w:r>
                  <w:r>
                    <w:rPr>
                      <w:rFonts w:hint="default" w:ascii="Times New Roman" w:hAnsi="Times New Roman" w:eastAsia="宋体" w:cs="Times New Roman"/>
                      <w:color w:val="auto"/>
                    </w:rPr>
                    <w:t>5</w:t>
                  </w:r>
                </w:p>
              </w:tc>
              <w:tc>
                <w:tcPr>
                  <w:tcW w:w="548" w:type="pct"/>
                  <w:tcBorders>
                    <w:tl2br w:val="nil"/>
                    <w:tr2bl w:val="nil"/>
                  </w:tcBorders>
                  <w:vAlign w:val="center"/>
                </w:tcPr>
                <w:p w14:paraId="3D400118">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15</w:t>
                  </w:r>
                </w:p>
              </w:tc>
              <w:tc>
                <w:tcPr>
                  <w:tcW w:w="476" w:type="pct"/>
                  <w:tcBorders>
                    <w:tl2br w:val="nil"/>
                    <w:tr2bl w:val="nil"/>
                  </w:tcBorders>
                  <w:vAlign w:val="center"/>
                </w:tcPr>
                <w:p w14:paraId="7F456E55">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79D9946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15</w:t>
                  </w:r>
                </w:p>
              </w:tc>
              <w:tc>
                <w:tcPr>
                  <w:tcW w:w="486" w:type="pct"/>
                  <w:tcBorders>
                    <w:tl2br w:val="nil"/>
                    <w:tr2bl w:val="nil"/>
                  </w:tcBorders>
                  <w:vAlign w:val="center"/>
                </w:tcPr>
                <w:p w14:paraId="5C3FA74B">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27C6C22F">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5086183D">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不变</w:t>
                  </w:r>
                </w:p>
              </w:tc>
            </w:tr>
            <w:tr w14:paraId="4910DC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285E4D31">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21</w:t>
                  </w:r>
                </w:p>
              </w:tc>
              <w:tc>
                <w:tcPr>
                  <w:tcW w:w="697" w:type="pct"/>
                  <w:tcBorders>
                    <w:tl2br w:val="nil"/>
                    <w:tr2bl w:val="nil"/>
                  </w:tcBorders>
                  <w:shd w:val="clear" w:color="auto" w:fill="auto"/>
                  <w:vAlign w:val="center"/>
                </w:tcPr>
                <w:p w14:paraId="2555CE65">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中速冲床</w:t>
                  </w:r>
                </w:p>
              </w:tc>
              <w:tc>
                <w:tcPr>
                  <w:tcW w:w="708" w:type="pct"/>
                  <w:tcBorders>
                    <w:tl2br w:val="nil"/>
                    <w:tr2bl w:val="nil"/>
                  </w:tcBorders>
                  <w:shd w:val="clear" w:color="auto" w:fill="auto"/>
                  <w:vAlign w:val="center"/>
                </w:tcPr>
                <w:p w14:paraId="49347D8F">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16T</w:t>
                  </w:r>
                </w:p>
              </w:tc>
              <w:tc>
                <w:tcPr>
                  <w:tcW w:w="548" w:type="pct"/>
                  <w:tcBorders>
                    <w:tl2br w:val="nil"/>
                    <w:tr2bl w:val="nil"/>
                  </w:tcBorders>
                  <w:vAlign w:val="center"/>
                </w:tcPr>
                <w:p w14:paraId="6F8AA677">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kern w:val="0"/>
                      <w:szCs w:val="21"/>
                      <w:lang w:val="en-US" w:eastAsia="zh-CN"/>
                    </w:rPr>
                    <w:t>26</w:t>
                  </w:r>
                </w:p>
              </w:tc>
              <w:tc>
                <w:tcPr>
                  <w:tcW w:w="476" w:type="pct"/>
                  <w:tcBorders>
                    <w:tl2br w:val="nil"/>
                    <w:tr2bl w:val="nil"/>
                  </w:tcBorders>
                  <w:vAlign w:val="center"/>
                </w:tcPr>
                <w:p w14:paraId="44AC1AE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08790A8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26</w:t>
                  </w:r>
                </w:p>
              </w:tc>
              <w:tc>
                <w:tcPr>
                  <w:tcW w:w="486" w:type="pct"/>
                  <w:tcBorders>
                    <w:tl2br w:val="nil"/>
                    <w:tr2bl w:val="nil"/>
                  </w:tcBorders>
                  <w:vAlign w:val="center"/>
                </w:tcPr>
                <w:p w14:paraId="7D4A537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52D56E14">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27C8F621">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685280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89" w:type="pct"/>
                  <w:tcBorders>
                    <w:tl2br w:val="nil"/>
                    <w:tr2bl w:val="nil"/>
                  </w:tcBorders>
                  <w:vAlign w:val="center"/>
                </w:tcPr>
                <w:p w14:paraId="6B37F42D">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22</w:t>
                  </w:r>
                </w:p>
              </w:tc>
              <w:tc>
                <w:tcPr>
                  <w:tcW w:w="697" w:type="pct"/>
                  <w:tcBorders>
                    <w:tl2br w:val="nil"/>
                    <w:tr2bl w:val="nil"/>
                  </w:tcBorders>
                  <w:shd w:val="clear" w:color="auto" w:fill="auto"/>
                  <w:vAlign w:val="center"/>
                </w:tcPr>
                <w:p w14:paraId="04BD35F2">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开式冲床</w:t>
                  </w:r>
                </w:p>
              </w:tc>
              <w:tc>
                <w:tcPr>
                  <w:tcW w:w="708" w:type="pct"/>
                  <w:tcBorders>
                    <w:tl2br w:val="nil"/>
                    <w:tr2bl w:val="nil"/>
                  </w:tcBorders>
                  <w:shd w:val="clear" w:color="auto" w:fill="auto"/>
                  <w:vAlign w:val="center"/>
                </w:tcPr>
                <w:p w14:paraId="4270A0A3">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16T/25T/45T/63T</w:t>
                  </w:r>
                </w:p>
              </w:tc>
              <w:tc>
                <w:tcPr>
                  <w:tcW w:w="548" w:type="pct"/>
                  <w:tcBorders>
                    <w:tl2br w:val="nil"/>
                    <w:tr2bl w:val="nil"/>
                  </w:tcBorders>
                  <w:vAlign w:val="center"/>
                </w:tcPr>
                <w:p w14:paraId="34EE9F88">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kern w:val="0"/>
                      <w:szCs w:val="21"/>
                    </w:rPr>
                    <w:t>30</w:t>
                  </w:r>
                </w:p>
              </w:tc>
              <w:tc>
                <w:tcPr>
                  <w:tcW w:w="476" w:type="pct"/>
                  <w:tcBorders>
                    <w:tl2br w:val="nil"/>
                    <w:tr2bl w:val="nil"/>
                  </w:tcBorders>
                  <w:vAlign w:val="center"/>
                </w:tcPr>
                <w:p w14:paraId="3DAC48EC">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06CAC287">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30</w:t>
                  </w:r>
                </w:p>
              </w:tc>
              <w:tc>
                <w:tcPr>
                  <w:tcW w:w="486" w:type="pct"/>
                  <w:tcBorders>
                    <w:tl2br w:val="nil"/>
                    <w:tr2bl w:val="nil"/>
                  </w:tcBorders>
                  <w:vAlign w:val="center"/>
                </w:tcPr>
                <w:p w14:paraId="00ADECA8">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19EB00D7">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2634A436">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35E3F4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7340C3D9">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23</w:t>
                  </w:r>
                </w:p>
              </w:tc>
              <w:tc>
                <w:tcPr>
                  <w:tcW w:w="697" w:type="pct"/>
                  <w:tcBorders>
                    <w:tl2br w:val="nil"/>
                    <w:tr2bl w:val="nil"/>
                  </w:tcBorders>
                  <w:vAlign w:val="center"/>
                </w:tcPr>
                <w:p w14:paraId="48693FA7">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龙门冲床</w:t>
                  </w:r>
                </w:p>
              </w:tc>
              <w:tc>
                <w:tcPr>
                  <w:tcW w:w="708" w:type="pct"/>
                  <w:tcBorders>
                    <w:tl2br w:val="nil"/>
                    <w:tr2bl w:val="nil"/>
                  </w:tcBorders>
                  <w:vAlign w:val="center"/>
                </w:tcPr>
                <w:p w14:paraId="513DFA19">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30T/35T/45T</w:t>
                  </w:r>
                </w:p>
              </w:tc>
              <w:tc>
                <w:tcPr>
                  <w:tcW w:w="548" w:type="pct"/>
                  <w:tcBorders>
                    <w:tl2br w:val="nil"/>
                    <w:tr2bl w:val="nil"/>
                  </w:tcBorders>
                  <w:vAlign w:val="center"/>
                </w:tcPr>
                <w:p w14:paraId="4FEA3351">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kern w:val="0"/>
                      <w:szCs w:val="21"/>
                      <w:lang w:val="en-US" w:eastAsia="zh-CN"/>
                    </w:rPr>
                    <w:t>5</w:t>
                  </w:r>
                </w:p>
              </w:tc>
              <w:tc>
                <w:tcPr>
                  <w:tcW w:w="476" w:type="pct"/>
                  <w:tcBorders>
                    <w:tl2br w:val="nil"/>
                    <w:tr2bl w:val="nil"/>
                  </w:tcBorders>
                  <w:vAlign w:val="center"/>
                </w:tcPr>
                <w:p w14:paraId="5430EA9F">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4937AF32">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5</w:t>
                  </w:r>
                </w:p>
              </w:tc>
              <w:tc>
                <w:tcPr>
                  <w:tcW w:w="486" w:type="pct"/>
                  <w:tcBorders>
                    <w:tl2br w:val="nil"/>
                    <w:tr2bl w:val="nil"/>
                  </w:tcBorders>
                  <w:vAlign w:val="center"/>
                </w:tcPr>
                <w:p w14:paraId="47C83924">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54AFEAF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64B01984">
                  <w:pPr>
                    <w:jc w:val="center"/>
                    <w:rPr>
                      <w:rFonts w:hint="default" w:ascii="Times New Roman" w:hAnsi="Times New Roman" w:eastAsia="宋体" w:cs="Times New Roman"/>
                      <w:bCs/>
                      <w:caps w:val="0"/>
                      <w:color w:val="auto"/>
                      <w:szCs w:val="21"/>
                      <w:highlight w:val="none"/>
                    </w:rPr>
                  </w:pPr>
                  <w:r>
                    <w:rPr>
                      <w:rFonts w:hint="eastAsia" w:cs="Times New Roman"/>
                      <w:caps w:val="0"/>
                      <w:color w:val="auto"/>
                      <w:szCs w:val="21"/>
                      <w:highlight w:val="none"/>
                      <w:lang w:val="en-US" w:eastAsia="zh-CN"/>
                    </w:rPr>
                    <w:t>不变</w:t>
                  </w:r>
                </w:p>
              </w:tc>
            </w:tr>
            <w:tr w14:paraId="4DB335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00EB5DBF">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24</w:t>
                  </w:r>
                </w:p>
              </w:tc>
              <w:tc>
                <w:tcPr>
                  <w:tcW w:w="697" w:type="pct"/>
                  <w:tcBorders>
                    <w:tl2br w:val="nil"/>
                    <w:tr2bl w:val="nil"/>
                  </w:tcBorders>
                  <w:vAlign w:val="center"/>
                </w:tcPr>
                <w:p w14:paraId="4DCF14F9">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电脉冲设备</w:t>
                  </w:r>
                </w:p>
              </w:tc>
              <w:tc>
                <w:tcPr>
                  <w:tcW w:w="708" w:type="pct"/>
                  <w:tcBorders>
                    <w:tl2br w:val="nil"/>
                    <w:tr2bl w:val="nil"/>
                  </w:tcBorders>
                  <w:vAlign w:val="center"/>
                </w:tcPr>
                <w:p w14:paraId="0E3E9DE0">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D-7135</w:t>
                  </w:r>
                </w:p>
              </w:tc>
              <w:tc>
                <w:tcPr>
                  <w:tcW w:w="548" w:type="pct"/>
                  <w:tcBorders>
                    <w:tl2br w:val="nil"/>
                    <w:tr2bl w:val="nil"/>
                  </w:tcBorders>
                  <w:vAlign w:val="center"/>
                </w:tcPr>
                <w:p w14:paraId="3F79081B">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kern w:val="0"/>
                      <w:szCs w:val="21"/>
                    </w:rPr>
                    <w:t>15</w:t>
                  </w:r>
                </w:p>
              </w:tc>
              <w:tc>
                <w:tcPr>
                  <w:tcW w:w="476" w:type="pct"/>
                  <w:tcBorders>
                    <w:tl2br w:val="nil"/>
                    <w:tr2bl w:val="nil"/>
                  </w:tcBorders>
                  <w:vAlign w:val="center"/>
                </w:tcPr>
                <w:p w14:paraId="6B208EE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10AED7B7">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15</w:t>
                  </w:r>
                </w:p>
              </w:tc>
              <w:tc>
                <w:tcPr>
                  <w:tcW w:w="486" w:type="pct"/>
                  <w:tcBorders>
                    <w:tl2br w:val="nil"/>
                    <w:tr2bl w:val="nil"/>
                  </w:tcBorders>
                  <w:vAlign w:val="center"/>
                </w:tcPr>
                <w:p w14:paraId="093FD852">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202BADA8">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66B60AAC">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aps w:val="0"/>
                      <w:color w:val="auto"/>
                      <w:szCs w:val="21"/>
                      <w:highlight w:val="none"/>
                      <w:lang w:val="en-US" w:eastAsia="zh-CN"/>
                    </w:rPr>
                    <w:t>不变</w:t>
                  </w:r>
                </w:p>
              </w:tc>
            </w:tr>
            <w:tr w14:paraId="6CF38E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1628EA63">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25</w:t>
                  </w:r>
                </w:p>
              </w:tc>
              <w:tc>
                <w:tcPr>
                  <w:tcW w:w="697" w:type="pct"/>
                  <w:tcBorders>
                    <w:tl2br w:val="nil"/>
                    <w:tr2bl w:val="nil"/>
                  </w:tcBorders>
                  <w:vAlign w:val="center"/>
                </w:tcPr>
                <w:p w14:paraId="15FB2AA0">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磨床</w:t>
                  </w:r>
                </w:p>
              </w:tc>
              <w:tc>
                <w:tcPr>
                  <w:tcW w:w="708" w:type="pct"/>
                  <w:tcBorders>
                    <w:tl2br w:val="nil"/>
                    <w:tr2bl w:val="nil"/>
                  </w:tcBorders>
                  <w:vAlign w:val="center"/>
                </w:tcPr>
                <w:p w14:paraId="369A9F41">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TK-618s</w:t>
                  </w:r>
                </w:p>
              </w:tc>
              <w:tc>
                <w:tcPr>
                  <w:tcW w:w="548" w:type="pct"/>
                  <w:tcBorders>
                    <w:tl2br w:val="nil"/>
                    <w:tr2bl w:val="nil"/>
                  </w:tcBorders>
                  <w:vAlign w:val="center"/>
                </w:tcPr>
                <w:p w14:paraId="5D3F00BF">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kern w:val="0"/>
                      <w:szCs w:val="21"/>
                    </w:rPr>
                    <w:t>10</w:t>
                  </w:r>
                </w:p>
              </w:tc>
              <w:tc>
                <w:tcPr>
                  <w:tcW w:w="476" w:type="pct"/>
                  <w:tcBorders>
                    <w:tl2br w:val="nil"/>
                    <w:tr2bl w:val="nil"/>
                  </w:tcBorders>
                  <w:vAlign w:val="center"/>
                </w:tcPr>
                <w:p w14:paraId="096A8D3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5D5DB40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10</w:t>
                  </w:r>
                </w:p>
              </w:tc>
              <w:tc>
                <w:tcPr>
                  <w:tcW w:w="486" w:type="pct"/>
                  <w:tcBorders>
                    <w:tl2br w:val="nil"/>
                    <w:tr2bl w:val="nil"/>
                  </w:tcBorders>
                  <w:vAlign w:val="center"/>
                </w:tcPr>
                <w:p w14:paraId="45E33600">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094736A6">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6C030A36">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aps w:val="0"/>
                      <w:color w:val="auto"/>
                      <w:szCs w:val="21"/>
                      <w:highlight w:val="none"/>
                      <w:lang w:val="en-US" w:eastAsia="zh-CN"/>
                    </w:rPr>
                    <w:t>不变</w:t>
                  </w:r>
                </w:p>
              </w:tc>
            </w:tr>
            <w:tr w14:paraId="7ABC32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5816215F">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26</w:t>
                  </w:r>
                </w:p>
              </w:tc>
              <w:tc>
                <w:tcPr>
                  <w:tcW w:w="697" w:type="pct"/>
                  <w:tcBorders>
                    <w:tl2br w:val="nil"/>
                    <w:tr2bl w:val="nil"/>
                  </w:tcBorders>
                  <w:vAlign w:val="center"/>
                </w:tcPr>
                <w:p w14:paraId="4FD214BA">
                  <w:pPr>
                    <w:jc w:val="center"/>
                    <w:rPr>
                      <w:rFonts w:hint="eastAsia" w:ascii="Times New Roman" w:hAnsi="Times New Roman" w:eastAsia="宋体" w:cs="Times New Roman"/>
                      <w:caps w:val="0"/>
                      <w:color w:val="auto"/>
                      <w:kern w:val="2"/>
                      <w:sz w:val="21"/>
                      <w:szCs w:val="21"/>
                      <w:highlight w:val="none"/>
                      <w:lang w:val="en-US" w:eastAsia="zh-CN" w:bidi="ar-SA"/>
                    </w:rPr>
                  </w:pPr>
                  <w:r>
                    <w:rPr>
                      <w:rFonts w:hint="eastAsia" w:cs="Times New Roman"/>
                      <w:color w:val="auto"/>
                      <w:lang w:val="en-US" w:eastAsia="zh-CN"/>
                    </w:rPr>
                    <w:t>钻床</w:t>
                  </w:r>
                </w:p>
              </w:tc>
              <w:tc>
                <w:tcPr>
                  <w:tcW w:w="708" w:type="pct"/>
                  <w:tcBorders>
                    <w:tl2br w:val="nil"/>
                    <w:tr2bl w:val="nil"/>
                  </w:tcBorders>
                  <w:vAlign w:val="center"/>
                </w:tcPr>
                <w:p w14:paraId="6DA66030">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ZQ4120</w:t>
                  </w:r>
                </w:p>
              </w:tc>
              <w:tc>
                <w:tcPr>
                  <w:tcW w:w="548" w:type="pct"/>
                  <w:tcBorders>
                    <w:tl2br w:val="nil"/>
                    <w:tr2bl w:val="nil"/>
                  </w:tcBorders>
                  <w:vAlign w:val="center"/>
                </w:tcPr>
                <w:p w14:paraId="3DEF51B8">
                  <w:pPr>
                    <w:widowControl/>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kern w:val="0"/>
                      <w:szCs w:val="21"/>
                      <w:lang w:val="en-US" w:eastAsia="zh-CN"/>
                    </w:rPr>
                    <w:t>8</w:t>
                  </w:r>
                </w:p>
              </w:tc>
              <w:tc>
                <w:tcPr>
                  <w:tcW w:w="476" w:type="pct"/>
                  <w:tcBorders>
                    <w:tl2br w:val="nil"/>
                    <w:tr2bl w:val="nil"/>
                  </w:tcBorders>
                  <w:vAlign w:val="center"/>
                </w:tcPr>
                <w:p w14:paraId="403205FE">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1E8979D3">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8</w:t>
                  </w:r>
                </w:p>
              </w:tc>
              <w:tc>
                <w:tcPr>
                  <w:tcW w:w="486" w:type="pct"/>
                  <w:tcBorders>
                    <w:tl2br w:val="nil"/>
                    <w:tr2bl w:val="nil"/>
                  </w:tcBorders>
                  <w:vAlign w:val="center"/>
                </w:tcPr>
                <w:p w14:paraId="499AA966">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23245146">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00B47D74">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aps w:val="0"/>
                      <w:color w:val="auto"/>
                      <w:szCs w:val="21"/>
                      <w:highlight w:val="none"/>
                      <w:lang w:val="en-US" w:eastAsia="zh-CN"/>
                    </w:rPr>
                    <w:t>不变</w:t>
                  </w:r>
                </w:p>
              </w:tc>
            </w:tr>
            <w:tr w14:paraId="15F0AB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488AECFC">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27</w:t>
                  </w:r>
                </w:p>
              </w:tc>
              <w:tc>
                <w:tcPr>
                  <w:tcW w:w="697" w:type="pct"/>
                  <w:tcBorders>
                    <w:tl2br w:val="nil"/>
                    <w:tr2bl w:val="nil"/>
                  </w:tcBorders>
                  <w:vAlign w:val="center"/>
                </w:tcPr>
                <w:p w14:paraId="2AE377B3">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普通车床</w:t>
                  </w:r>
                </w:p>
              </w:tc>
              <w:tc>
                <w:tcPr>
                  <w:tcW w:w="708" w:type="pct"/>
                  <w:tcBorders>
                    <w:tl2br w:val="nil"/>
                    <w:tr2bl w:val="nil"/>
                  </w:tcBorders>
                  <w:vAlign w:val="center"/>
                </w:tcPr>
                <w:p w14:paraId="5AF09B1C">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KDVL460</w:t>
                  </w:r>
                </w:p>
              </w:tc>
              <w:tc>
                <w:tcPr>
                  <w:tcW w:w="548" w:type="pct"/>
                  <w:tcBorders>
                    <w:tl2br w:val="nil"/>
                    <w:tr2bl w:val="nil"/>
                  </w:tcBorders>
                  <w:vAlign w:val="center"/>
                </w:tcPr>
                <w:p w14:paraId="5E5CDEBD">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Cs w:val="21"/>
                    </w:rPr>
                    <w:t>10</w:t>
                  </w:r>
                </w:p>
              </w:tc>
              <w:tc>
                <w:tcPr>
                  <w:tcW w:w="476" w:type="pct"/>
                  <w:tcBorders>
                    <w:tl2br w:val="nil"/>
                    <w:tr2bl w:val="nil"/>
                  </w:tcBorders>
                  <w:vAlign w:val="center"/>
                </w:tcPr>
                <w:p w14:paraId="7A9CA2E2">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3CAAC3E4">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10</w:t>
                  </w:r>
                </w:p>
              </w:tc>
              <w:tc>
                <w:tcPr>
                  <w:tcW w:w="486" w:type="pct"/>
                  <w:tcBorders>
                    <w:tl2br w:val="nil"/>
                    <w:tr2bl w:val="nil"/>
                  </w:tcBorders>
                  <w:vAlign w:val="center"/>
                </w:tcPr>
                <w:p w14:paraId="05DB49DF">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05A19ED0">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5E20FD3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aps w:val="0"/>
                      <w:color w:val="auto"/>
                      <w:szCs w:val="21"/>
                      <w:highlight w:val="none"/>
                      <w:lang w:val="en-US" w:eastAsia="zh-CN"/>
                    </w:rPr>
                    <w:t>不变</w:t>
                  </w:r>
                </w:p>
              </w:tc>
            </w:tr>
            <w:tr w14:paraId="731425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6654B655">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29</w:t>
                  </w:r>
                </w:p>
              </w:tc>
              <w:tc>
                <w:tcPr>
                  <w:tcW w:w="697" w:type="pct"/>
                  <w:tcBorders>
                    <w:tl2br w:val="nil"/>
                    <w:tr2bl w:val="nil"/>
                  </w:tcBorders>
                  <w:vAlign w:val="center"/>
                </w:tcPr>
                <w:p w14:paraId="3DCC07D4">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rPr>
                    <w:t>自动装配水线</w:t>
                  </w:r>
                </w:p>
              </w:tc>
              <w:tc>
                <w:tcPr>
                  <w:tcW w:w="708" w:type="pct"/>
                  <w:tcBorders>
                    <w:tl2br w:val="nil"/>
                    <w:tr2bl w:val="nil"/>
                  </w:tcBorders>
                  <w:vAlign w:val="center"/>
                </w:tcPr>
                <w:p w14:paraId="46604761">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rPr>
                    <w:t>J-YA04</w:t>
                  </w:r>
                </w:p>
              </w:tc>
              <w:tc>
                <w:tcPr>
                  <w:tcW w:w="548" w:type="pct"/>
                  <w:tcBorders>
                    <w:tl2br w:val="nil"/>
                    <w:tr2bl w:val="nil"/>
                  </w:tcBorders>
                  <w:vAlign w:val="center"/>
                </w:tcPr>
                <w:p w14:paraId="430A2EDA">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szCs w:val="21"/>
                    </w:rPr>
                    <w:t>4</w:t>
                  </w:r>
                </w:p>
              </w:tc>
              <w:tc>
                <w:tcPr>
                  <w:tcW w:w="476" w:type="pct"/>
                  <w:tcBorders>
                    <w:tl2br w:val="nil"/>
                    <w:tr2bl w:val="nil"/>
                  </w:tcBorders>
                  <w:vAlign w:val="center"/>
                </w:tcPr>
                <w:p w14:paraId="06C05ED4">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2</w:t>
                  </w:r>
                </w:p>
              </w:tc>
              <w:tc>
                <w:tcPr>
                  <w:tcW w:w="601" w:type="pct"/>
                  <w:tcBorders>
                    <w:tl2br w:val="nil"/>
                    <w:tr2bl w:val="nil"/>
                  </w:tcBorders>
                  <w:vAlign w:val="center"/>
                </w:tcPr>
                <w:p w14:paraId="0996E486">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6</w:t>
                  </w:r>
                </w:p>
              </w:tc>
              <w:tc>
                <w:tcPr>
                  <w:tcW w:w="486" w:type="pct"/>
                  <w:tcBorders>
                    <w:tl2br w:val="nil"/>
                    <w:tr2bl w:val="nil"/>
                  </w:tcBorders>
                  <w:vAlign w:val="center"/>
                </w:tcPr>
                <w:p w14:paraId="0FAF3368">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+2</w:t>
                  </w:r>
                </w:p>
              </w:tc>
              <w:tc>
                <w:tcPr>
                  <w:tcW w:w="644" w:type="pct"/>
                  <w:tcBorders>
                    <w:tl2br w:val="nil"/>
                    <w:tr2bl w:val="nil"/>
                  </w:tcBorders>
                  <w:vAlign w:val="center"/>
                </w:tcPr>
                <w:p w14:paraId="1954EAA7">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3CA31B28">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新增</w:t>
                  </w:r>
                </w:p>
              </w:tc>
            </w:tr>
            <w:tr w14:paraId="0BA4D8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5C3709C8">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30</w:t>
                  </w:r>
                </w:p>
              </w:tc>
              <w:tc>
                <w:tcPr>
                  <w:tcW w:w="697" w:type="pct"/>
                  <w:tcBorders>
                    <w:tl2br w:val="nil"/>
                    <w:tr2bl w:val="nil"/>
                  </w:tcBorders>
                  <w:vAlign w:val="center"/>
                </w:tcPr>
                <w:p w14:paraId="60FFE199">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Cs w:val="21"/>
                    </w:rPr>
                    <w:t>充电枪综合测试仪</w:t>
                  </w:r>
                </w:p>
              </w:tc>
              <w:tc>
                <w:tcPr>
                  <w:tcW w:w="708" w:type="pct"/>
                  <w:tcBorders>
                    <w:tl2br w:val="nil"/>
                    <w:tr2bl w:val="nil"/>
                  </w:tcBorders>
                  <w:vAlign w:val="center"/>
                </w:tcPr>
                <w:p w14:paraId="6426D6C2">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szCs w:val="21"/>
                    </w:rPr>
                    <w:t>XC-9000</w:t>
                  </w:r>
                </w:p>
              </w:tc>
              <w:tc>
                <w:tcPr>
                  <w:tcW w:w="548" w:type="pct"/>
                  <w:tcBorders>
                    <w:tl2br w:val="nil"/>
                    <w:tr2bl w:val="nil"/>
                  </w:tcBorders>
                  <w:vAlign w:val="center"/>
                </w:tcPr>
                <w:p w14:paraId="523E7F8F">
                  <w:pPr>
                    <w:widowControl/>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lang w:val="en-US" w:eastAsia="zh-CN"/>
                    </w:rPr>
                    <w:t>4</w:t>
                  </w:r>
                </w:p>
              </w:tc>
              <w:tc>
                <w:tcPr>
                  <w:tcW w:w="476" w:type="pct"/>
                  <w:tcBorders>
                    <w:tl2br w:val="nil"/>
                    <w:tr2bl w:val="nil"/>
                  </w:tcBorders>
                  <w:vAlign w:val="center"/>
                </w:tcPr>
                <w:p w14:paraId="59FC737F">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1500020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4</w:t>
                  </w:r>
                </w:p>
              </w:tc>
              <w:tc>
                <w:tcPr>
                  <w:tcW w:w="486" w:type="pct"/>
                  <w:tcBorders>
                    <w:tl2br w:val="nil"/>
                    <w:tr2bl w:val="nil"/>
                  </w:tcBorders>
                  <w:vAlign w:val="center"/>
                </w:tcPr>
                <w:p w14:paraId="655ED516">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292E17EE">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29A7AF98">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aps w:val="0"/>
                      <w:color w:val="auto"/>
                      <w:szCs w:val="21"/>
                      <w:highlight w:val="none"/>
                      <w:lang w:val="en-US" w:eastAsia="zh-CN"/>
                    </w:rPr>
                    <w:t>不变</w:t>
                  </w:r>
                </w:p>
              </w:tc>
            </w:tr>
            <w:tr w14:paraId="5D1CB6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4EF921F4">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31</w:t>
                  </w:r>
                </w:p>
              </w:tc>
              <w:tc>
                <w:tcPr>
                  <w:tcW w:w="697" w:type="pct"/>
                  <w:tcBorders>
                    <w:tl2br w:val="nil"/>
                    <w:tr2bl w:val="nil"/>
                  </w:tcBorders>
                  <w:vAlign w:val="center"/>
                </w:tcPr>
                <w:p w14:paraId="0252445F">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Cs w:val="21"/>
                    </w:rPr>
                    <w:t>微电子控制拉力试验机</w:t>
                  </w:r>
                </w:p>
              </w:tc>
              <w:tc>
                <w:tcPr>
                  <w:tcW w:w="708" w:type="pct"/>
                  <w:tcBorders>
                    <w:tl2br w:val="nil"/>
                    <w:tr2bl w:val="nil"/>
                  </w:tcBorders>
                  <w:vAlign w:val="center"/>
                </w:tcPr>
                <w:p w14:paraId="613E69DB">
                  <w:pPr>
                    <w:widowControl/>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olor w:val="auto"/>
                      <w:szCs w:val="21"/>
                    </w:rPr>
                    <w:t>CMT4204</w:t>
                  </w:r>
                </w:p>
              </w:tc>
              <w:tc>
                <w:tcPr>
                  <w:tcW w:w="548" w:type="pct"/>
                  <w:tcBorders>
                    <w:tl2br w:val="nil"/>
                    <w:tr2bl w:val="nil"/>
                  </w:tcBorders>
                  <w:vAlign w:val="center"/>
                </w:tcPr>
                <w:p w14:paraId="539EFAD5">
                  <w:pPr>
                    <w:widowControl/>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lang w:val="en-US" w:eastAsia="zh-CN"/>
                    </w:rPr>
                    <w:t>2</w:t>
                  </w:r>
                </w:p>
              </w:tc>
              <w:tc>
                <w:tcPr>
                  <w:tcW w:w="476" w:type="pct"/>
                  <w:tcBorders>
                    <w:tl2br w:val="nil"/>
                    <w:tr2bl w:val="nil"/>
                  </w:tcBorders>
                  <w:vAlign w:val="center"/>
                </w:tcPr>
                <w:p w14:paraId="16A2AEF2">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01869372">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2</w:t>
                  </w:r>
                </w:p>
              </w:tc>
              <w:tc>
                <w:tcPr>
                  <w:tcW w:w="486" w:type="pct"/>
                  <w:tcBorders>
                    <w:tl2br w:val="nil"/>
                    <w:tr2bl w:val="nil"/>
                  </w:tcBorders>
                  <w:vAlign w:val="center"/>
                </w:tcPr>
                <w:p w14:paraId="3F77312E">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301BBDCB">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6C3C72BC">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aps w:val="0"/>
                      <w:color w:val="auto"/>
                      <w:szCs w:val="21"/>
                      <w:highlight w:val="none"/>
                      <w:lang w:val="en-US" w:eastAsia="zh-CN"/>
                    </w:rPr>
                    <w:t>不变</w:t>
                  </w:r>
                </w:p>
              </w:tc>
            </w:tr>
            <w:tr w14:paraId="316084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76E4C57C">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32</w:t>
                  </w:r>
                </w:p>
              </w:tc>
              <w:tc>
                <w:tcPr>
                  <w:tcW w:w="697" w:type="pct"/>
                  <w:tcBorders>
                    <w:tl2br w:val="nil"/>
                    <w:tr2bl w:val="nil"/>
                  </w:tcBorders>
                  <w:vAlign w:val="center"/>
                </w:tcPr>
                <w:p w14:paraId="317B6AA5">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Cs w:val="21"/>
                    </w:rPr>
                    <w:t>X射线镀层测厚仪</w:t>
                  </w:r>
                </w:p>
              </w:tc>
              <w:tc>
                <w:tcPr>
                  <w:tcW w:w="708" w:type="pct"/>
                  <w:tcBorders>
                    <w:tl2br w:val="nil"/>
                    <w:tr2bl w:val="nil"/>
                  </w:tcBorders>
                  <w:vAlign w:val="center"/>
                </w:tcPr>
                <w:p w14:paraId="0A0A8A39">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Cs w:val="21"/>
                    </w:rPr>
                    <w:t>XUL220</w:t>
                  </w:r>
                </w:p>
              </w:tc>
              <w:tc>
                <w:tcPr>
                  <w:tcW w:w="548" w:type="pct"/>
                  <w:tcBorders>
                    <w:tl2br w:val="nil"/>
                    <w:tr2bl w:val="nil"/>
                  </w:tcBorders>
                  <w:vAlign w:val="center"/>
                </w:tcPr>
                <w:p w14:paraId="1AE9804E">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rPr>
                    <w:t>1</w:t>
                  </w:r>
                </w:p>
              </w:tc>
              <w:tc>
                <w:tcPr>
                  <w:tcW w:w="476" w:type="pct"/>
                  <w:tcBorders>
                    <w:tl2br w:val="nil"/>
                    <w:tr2bl w:val="nil"/>
                  </w:tcBorders>
                  <w:vAlign w:val="center"/>
                </w:tcPr>
                <w:p w14:paraId="1C1360C1">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6321CAA5">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w:t>
                  </w:r>
                </w:p>
              </w:tc>
              <w:tc>
                <w:tcPr>
                  <w:tcW w:w="486" w:type="pct"/>
                  <w:tcBorders>
                    <w:tl2br w:val="nil"/>
                    <w:tr2bl w:val="nil"/>
                  </w:tcBorders>
                  <w:vAlign w:val="center"/>
                </w:tcPr>
                <w:p w14:paraId="3F18CDC3">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2A661F7D">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1A932AA7">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aps w:val="0"/>
                      <w:color w:val="auto"/>
                      <w:szCs w:val="21"/>
                      <w:highlight w:val="none"/>
                      <w:lang w:val="en-US" w:eastAsia="zh-CN"/>
                    </w:rPr>
                    <w:t>不变</w:t>
                  </w:r>
                </w:p>
              </w:tc>
            </w:tr>
            <w:tr w14:paraId="01A9EE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335D57D5">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33</w:t>
                  </w:r>
                </w:p>
              </w:tc>
              <w:tc>
                <w:tcPr>
                  <w:tcW w:w="697" w:type="pct"/>
                  <w:tcBorders>
                    <w:tl2br w:val="nil"/>
                    <w:tr2bl w:val="nil"/>
                  </w:tcBorders>
                  <w:vAlign w:val="center"/>
                </w:tcPr>
                <w:p w14:paraId="4A7F2469">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Cs w:val="21"/>
                    </w:rPr>
                    <w:t>高低温实验室箱</w:t>
                  </w:r>
                </w:p>
              </w:tc>
              <w:tc>
                <w:tcPr>
                  <w:tcW w:w="708" w:type="pct"/>
                  <w:tcBorders>
                    <w:tl2br w:val="nil"/>
                    <w:tr2bl w:val="nil"/>
                  </w:tcBorders>
                  <w:vAlign w:val="center"/>
                </w:tcPr>
                <w:p w14:paraId="1C206056">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Cs w:val="21"/>
                    </w:rPr>
                    <w:t>GDW-100</w:t>
                  </w:r>
                </w:p>
              </w:tc>
              <w:tc>
                <w:tcPr>
                  <w:tcW w:w="548" w:type="pct"/>
                  <w:tcBorders>
                    <w:tl2br w:val="nil"/>
                    <w:tr2bl w:val="nil"/>
                  </w:tcBorders>
                  <w:vAlign w:val="center"/>
                </w:tcPr>
                <w:p w14:paraId="20270EC6">
                  <w:pPr>
                    <w:widowControl/>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lang w:val="en-US" w:eastAsia="zh-CN"/>
                    </w:rPr>
                    <w:t>1</w:t>
                  </w:r>
                </w:p>
              </w:tc>
              <w:tc>
                <w:tcPr>
                  <w:tcW w:w="476" w:type="pct"/>
                  <w:tcBorders>
                    <w:tl2br w:val="nil"/>
                    <w:tr2bl w:val="nil"/>
                  </w:tcBorders>
                  <w:vAlign w:val="center"/>
                </w:tcPr>
                <w:p w14:paraId="22B79A0A">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0F302F5A">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w:t>
                  </w:r>
                </w:p>
              </w:tc>
              <w:tc>
                <w:tcPr>
                  <w:tcW w:w="486" w:type="pct"/>
                  <w:tcBorders>
                    <w:tl2br w:val="nil"/>
                    <w:tr2bl w:val="nil"/>
                  </w:tcBorders>
                  <w:vAlign w:val="center"/>
                </w:tcPr>
                <w:p w14:paraId="21EA5E07">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564E16C4">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02F0639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aps w:val="0"/>
                      <w:color w:val="auto"/>
                      <w:szCs w:val="21"/>
                      <w:highlight w:val="none"/>
                      <w:lang w:val="en-US" w:eastAsia="zh-CN"/>
                    </w:rPr>
                    <w:t>不变</w:t>
                  </w:r>
                </w:p>
              </w:tc>
            </w:tr>
            <w:tr w14:paraId="7381EB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7BA496B9">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34</w:t>
                  </w:r>
                </w:p>
              </w:tc>
              <w:tc>
                <w:tcPr>
                  <w:tcW w:w="697" w:type="pct"/>
                  <w:tcBorders>
                    <w:tl2br w:val="nil"/>
                    <w:tr2bl w:val="nil"/>
                  </w:tcBorders>
                  <w:vAlign w:val="center"/>
                </w:tcPr>
                <w:p w14:paraId="4C477482">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olor w:val="auto"/>
                      <w:szCs w:val="21"/>
                    </w:rPr>
                    <w:t>气密性测试仪</w:t>
                  </w:r>
                </w:p>
              </w:tc>
              <w:tc>
                <w:tcPr>
                  <w:tcW w:w="708" w:type="pct"/>
                  <w:tcBorders>
                    <w:tl2br w:val="nil"/>
                    <w:tr2bl w:val="nil"/>
                  </w:tcBorders>
                  <w:vAlign w:val="center"/>
                </w:tcPr>
                <w:p w14:paraId="4E3DD839">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Cs w:val="21"/>
                    </w:rPr>
                    <w:t>SB-17</w:t>
                  </w:r>
                </w:p>
              </w:tc>
              <w:tc>
                <w:tcPr>
                  <w:tcW w:w="548" w:type="pct"/>
                  <w:tcBorders>
                    <w:tl2br w:val="nil"/>
                    <w:tr2bl w:val="nil"/>
                  </w:tcBorders>
                  <w:vAlign w:val="center"/>
                </w:tcPr>
                <w:p w14:paraId="0EFD37C9">
                  <w:pPr>
                    <w:widowControl/>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lang w:val="en-US" w:eastAsia="zh-CN"/>
                    </w:rPr>
                    <w:t>2</w:t>
                  </w:r>
                </w:p>
              </w:tc>
              <w:tc>
                <w:tcPr>
                  <w:tcW w:w="476" w:type="pct"/>
                  <w:tcBorders>
                    <w:tl2br w:val="nil"/>
                    <w:tr2bl w:val="nil"/>
                  </w:tcBorders>
                  <w:vAlign w:val="center"/>
                </w:tcPr>
                <w:p w14:paraId="3393233B">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398B0AF9">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2</w:t>
                  </w:r>
                </w:p>
              </w:tc>
              <w:tc>
                <w:tcPr>
                  <w:tcW w:w="486" w:type="pct"/>
                  <w:tcBorders>
                    <w:tl2br w:val="nil"/>
                    <w:tr2bl w:val="nil"/>
                  </w:tcBorders>
                  <w:vAlign w:val="center"/>
                </w:tcPr>
                <w:p w14:paraId="46F9CBEA">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16A3E275">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3D62AF83">
                  <w:pPr>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caps w:val="0"/>
                      <w:color w:val="auto"/>
                      <w:szCs w:val="21"/>
                      <w:highlight w:val="none"/>
                      <w:lang w:val="en-US" w:eastAsia="zh-CN"/>
                    </w:rPr>
                    <w:t>不变</w:t>
                  </w:r>
                </w:p>
              </w:tc>
            </w:tr>
            <w:tr w14:paraId="3CAD11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2776946A">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35</w:t>
                  </w:r>
                </w:p>
              </w:tc>
              <w:tc>
                <w:tcPr>
                  <w:tcW w:w="697" w:type="pct"/>
                  <w:tcBorders>
                    <w:tl2br w:val="nil"/>
                    <w:tr2bl w:val="nil"/>
                  </w:tcBorders>
                  <w:vAlign w:val="center"/>
                </w:tcPr>
                <w:p w14:paraId="513AA16D">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Cs w:val="21"/>
                    </w:rPr>
                    <w:t>三维影像测量仪</w:t>
                  </w:r>
                </w:p>
              </w:tc>
              <w:tc>
                <w:tcPr>
                  <w:tcW w:w="708" w:type="pct"/>
                  <w:tcBorders>
                    <w:tl2br w:val="nil"/>
                    <w:tr2bl w:val="nil"/>
                  </w:tcBorders>
                  <w:vAlign w:val="center"/>
                </w:tcPr>
                <w:p w14:paraId="094EF871">
                  <w:pPr>
                    <w:widowControl/>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Cs w:val="21"/>
                    </w:rPr>
                    <w:t>EV3020</w:t>
                  </w:r>
                </w:p>
              </w:tc>
              <w:tc>
                <w:tcPr>
                  <w:tcW w:w="548" w:type="pct"/>
                  <w:tcBorders>
                    <w:tl2br w:val="nil"/>
                    <w:tr2bl w:val="nil"/>
                  </w:tcBorders>
                  <w:vAlign w:val="center"/>
                </w:tcPr>
                <w:p w14:paraId="0E6CE968">
                  <w:pPr>
                    <w:widowControl/>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default" w:ascii="Times New Roman" w:hAnsi="Times New Roman" w:eastAsia="宋体" w:cs="Times New Roman"/>
                      <w:color w:val="auto"/>
                    </w:rPr>
                    <w:t>1</w:t>
                  </w:r>
                </w:p>
              </w:tc>
              <w:tc>
                <w:tcPr>
                  <w:tcW w:w="476" w:type="pct"/>
                  <w:tcBorders>
                    <w:tl2br w:val="nil"/>
                    <w:tr2bl w:val="nil"/>
                  </w:tcBorders>
                  <w:vAlign w:val="center"/>
                </w:tcPr>
                <w:p w14:paraId="50E0286B">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536FD329">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1</w:t>
                  </w:r>
                </w:p>
              </w:tc>
              <w:tc>
                <w:tcPr>
                  <w:tcW w:w="486" w:type="pct"/>
                  <w:tcBorders>
                    <w:tl2br w:val="nil"/>
                    <w:tr2bl w:val="nil"/>
                  </w:tcBorders>
                  <w:vAlign w:val="center"/>
                </w:tcPr>
                <w:p w14:paraId="57DE946A">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6F115CD3">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5D43E59E">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caps w:val="0"/>
                      <w:color w:val="auto"/>
                      <w:szCs w:val="21"/>
                      <w:highlight w:val="none"/>
                      <w:lang w:val="en-US" w:eastAsia="zh-CN"/>
                    </w:rPr>
                    <w:t>不变</w:t>
                  </w:r>
                </w:p>
              </w:tc>
            </w:tr>
            <w:tr w14:paraId="61A63C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7250DA10">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36</w:t>
                  </w:r>
                </w:p>
              </w:tc>
              <w:tc>
                <w:tcPr>
                  <w:tcW w:w="697" w:type="pct"/>
                  <w:tcBorders>
                    <w:tl2br w:val="nil"/>
                    <w:tr2bl w:val="nil"/>
                  </w:tcBorders>
                  <w:vAlign w:val="center"/>
                </w:tcPr>
                <w:p w14:paraId="44557F6D">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螺杆空压机</w:t>
                  </w:r>
                </w:p>
              </w:tc>
              <w:tc>
                <w:tcPr>
                  <w:tcW w:w="708" w:type="pct"/>
                  <w:tcBorders>
                    <w:tl2br w:val="nil"/>
                    <w:tr2bl w:val="nil"/>
                  </w:tcBorders>
                  <w:vAlign w:val="center"/>
                </w:tcPr>
                <w:p w14:paraId="1F93E1D5">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Cs w:val="21"/>
                    </w:rPr>
                    <w:t>/</w:t>
                  </w:r>
                </w:p>
              </w:tc>
              <w:tc>
                <w:tcPr>
                  <w:tcW w:w="548" w:type="pct"/>
                  <w:tcBorders>
                    <w:tl2br w:val="nil"/>
                    <w:tr2bl w:val="nil"/>
                  </w:tcBorders>
                  <w:vAlign w:val="center"/>
                </w:tcPr>
                <w:p w14:paraId="2260E11D">
                  <w:pPr>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lang w:val="en-US" w:eastAsia="zh-CN"/>
                    </w:rPr>
                    <w:t>3</w:t>
                  </w:r>
                </w:p>
              </w:tc>
              <w:tc>
                <w:tcPr>
                  <w:tcW w:w="476" w:type="pct"/>
                  <w:tcBorders>
                    <w:tl2br w:val="nil"/>
                    <w:tr2bl w:val="nil"/>
                  </w:tcBorders>
                  <w:vAlign w:val="center"/>
                </w:tcPr>
                <w:p w14:paraId="5CCF0EC3">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2</w:t>
                  </w:r>
                </w:p>
              </w:tc>
              <w:tc>
                <w:tcPr>
                  <w:tcW w:w="601" w:type="pct"/>
                  <w:tcBorders>
                    <w:tl2br w:val="nil"/>
                    <w:tr2bl w:val="nil"/>
                  </w:tcBorders>
                  <w:vAlign w:val="center"/>
                </w:tcPr>
                <w:p w14:paraId="7AA58F48">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5</w:t>
                  </w:r>
                </w:p>
              </w:tc>
              <w:tc>
                <w:tcPr>
                  <w:tcW w:w="486" w:type="pct"/>
                  <w:tcBorders>
                    <w:tl2br w:val="nil"/>
                    <w:tr2bl w:val="nil"/>
                  </w:tcBorders>
                  <w:vAlign w:val="center"/>
                </w:tcPr>
                <w:p w14:paraId="54D618B9">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+2</w:t>
                  </w:r>
                </w:p>
              </w:tc>
              <w:tc>
                <w:tcPr>
                  <w:tcW w:w="644" w:type="pct"/>
                  <w:tcBorders>
                    <w:tl2br w:val="nil"/>
                    <w:tr2bl w:val="nil"/>
                  </w:tcBorders>
                  <w:vAlign w:val="center"/>
                </w:tcPr>
                <w:p w14:paraId="6401D5D7">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18D8AE58">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新增</w:t>
                  </w:r>
                </w:p>
              </w:tc>
            </w:tr>
            <w:tr w14:paraId="45EBBD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6182B752">
                  <w:pPr>
                    <w:jc w:val="center"/>
                    <w:rPr>
                      <w:rFonts w:hint="default" w:ascii="Times New Roman" w:hAnsi="Times New Roman" w:eastAsia="宋体" w:cs="Times New Roman"/>
                      <w:caps w:val="0"/>
                      <w:color w:val="auto"/>
                      <w:szCs w:val="21"/>
                      <w:highlight w:val="none"/>
                      <w:lang w:val="en-US" w:eastAsia="zh-CN"/>
                    </w:rPr>
                  </w:pPr>
                  <w:r>
                    <w:rPr>
                      <w:rFonts w:hint="default" w:ascii="Times New Roman" w:hAnsi="Times New Roman" w:eastAsia="宋体" w:cs="Times New Roman"/>
                      <w:caps w:val="0"/>
                      <w:color w:val="auto"/>
                      <w:szCs w:val="21"/>
                      <w:highlight w:val="none"/>
                      <w:lang w:val="en-US" w:eastAsia="zh-CN"/>
                    </w:rPr>
                    <w:t>37</w:t>
                  </w:r>
                </w:p>
              </w:tc>
              <w:tc>
                <w:tcPr>
                  <w:tcW w:w="697" w:type="pct"/>
                  <w:tcBorders>
                    <w:tl2br w:val="nil"/>
                    <w:tr2bl w:val="nil"/>
                  </w:tcBorders>
                  <w:vAlign w:val="center"/>
                </w:tcPr>
                <w:p w14:paraId="0EF02C85">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冷却塔</w:t>
                  </w:r>
                </w:p>
              </w:tc>
              <w:tc>
                <w:tcPr>
                  <w:tcW w:w="708" w:type="pct"/>
                  <w:tcBorders>
                    <w:tl2br w:val="nil"/>
                    <w:tr2bl w:val="nil"/>
                  </w:tcBorders>
                  <w:vAlign w:val="center"/>
                </w:tcPr>
                <w:p w14:paraId="01F2CEBA">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Cs w:val="21"/>
                    </w:rPr>
                    <w:t>/</w:t>
                  </w:r>
                </w:p>
              </w:tc>
              <w:tc>
                <w:tcPr>
                  <w:tcW w:w="548" w:type="pct"/>
                  <w:tcBorders>
                    <w:tl2br w:val="nil"/>
                    <w:tr2bl w:val="nil"/>
                  </w:tcBorders>
                  <w:vAlign w:val="center"/>
                </w:tcPr>
                <w:p w14:paraId="306FD563">
                  <w:pPr>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lang w:val="en-US" w:eastAsia="zh-CN"/>
                    </w:rPr>
                    <w:t>6</w:t>
                  </w:r>
                </w:p>
              </w:tc>
              <w:tc>
                <w:tcPr>
                  <w:tcW w:w="476" w:type="pct"/>
                  <w:tcBorders>
                    <w:tl2br w:val="nil"/>
                    <w:tr2bl w:val="nil"/>
                  </w:tcBorders>
                  <w:vAlign w:val="center"/>
                </w:tcPr>
                <w:p w14:paraId="07C369C9">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1</w:t>
                  </w:r>
                </w:p>
              </w:tc>
              <w:tc>
                <w:tcPr>
                  <w:tcW w:w="601" w:type="pct"/>
                  <w:tcBorders>
                    <w:tl2br w:val="nil"/>
                    <w:tr2bl w:val="nil"/>
                  </w:tcBorders>
                  <w:vAlign w:val="center"/>
                </w:tcPr>
                <w:p w14:paraId="4E7A485C">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7</w:t>
                  </w:r>
                </w:p>
              </w:tc>
              <w:tc>
                <w:tcPr>
                  <w:tcW w:w="486" w:type="pct"/>
                  <w:tcBorders>
                    <w:tl2br w:val="nil"/>
                    <w:tr2bl w:val="nil"/>
                  </w:tcBorders>
                  <w:vAlign w:val="center"/>
                </w:tcPr>
                <w:p w14:paraId="57A0CA20">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+1</w:t>
                  </w:r>
                </w:p>
              </w:tc>
              <w:tc>
                <w:tcPr>
                  <w:tcW w:w="644" w:type="pct"/>
                  <w:tcBorders>
                    <w:tl2br w:val="nil"/>
                    <w:tr2bl w:val="nil"/>
                  </w:tcBorders>
                  <w:vAlign w:val="center"/>
                </w:tcPr>
                <w:p w14:paraId="55C69953">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个</w:t>
                  </w:r>
                </w:p>
              </w:tc>
              <w:tc>
                <w:tcPr>
                  <w:tcW w:w="546" w:type="pct"/>
                  <w:tcBorders>
                    <w:tl2br w:val="nil"/>
                    <w:tr2bl w:val="nil"/>
                  </w:tcBorders>
                  <w:vAlign w:val="center"/>
                </w:tcPr>
                <w:p w14:paraId="46B9271D">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新增</w:t>
                  </w:r>
                </w:p>
              </w:tc>
            </w:tr>
            <w:tr w14:paraId="06086A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64A4EA37">
                  <w:pPr>
                    <w:jc w:val="center"/>
                    <w:rPr>
                      <w:rFonts w:hint="default" w:ascii="Times New Roman" w:hAnsi="Times New Roman" w:eastAsia="宋体" w:cs="Times New Roman"/>
                      <w:caps w:val="0"/>
                      <w:color w:val="auto"/>
                      <w:szCs w:val="21"/>
                      <w:highlight w:val="none"/>
                      <w:lang w:val="en-US" w:eastAsia="zh-CN"/>
                    </w:rPr>
                  </w:pPr>
                  <w:r>
                    <w:rPr>
                      <w:rFonts w:hint="eastAsia" w:cs="Times New Roman"/>
                      <w:caps w:val="0"/>
                      <w:color w:val="auto"/>
                      <w:szCs w:val="21"/>
                      <w:highlight w:val="none"/>
                      <w:lang w:val="en-US" w:eastAsia="zh-CN"/>
                    </w:rPr>
                    <w:t>38</w:t>
                  </w:r>
                </w:p>
              </w:tc>
              <w:tc>
                <w:tcPr>
                  <w:tcW w:w="697" w:type="pct"/>
                  <w:tcBorders>
                    <w:tl2br w:val="nil"/>
                    <w:tr2bl w:val="nil"/>
                  </w:tcBorders>
                  <w:vAlign w:val="center"/>
                </w:tcPr>
                <w:p w14:paraId="060D9385">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循环水池</w:t>
                  </w:r>
                </w:p>
              </w:tc>
              <w:tc>
                <w:tcPr>
                  <w:tcW w:w="708" w:type="pct"/>
                  <w:tcBorders>
                    <w:tl2br w:val="nil"/>
                    <w:tr2bl w:val="nil"/>
                  </w:tcBorders>
                  <w:vAlign w:val="center"/>
                </w:tcPr>
                <w:p w14:paraId="0E26D5E4">
                  <w:pPr>
                    <w:jc w:val="center"/>
                    <w:rPr>
                      <w:rFonts w:hint="default" w:ascii="Times New Roman" w:hAnsi="Times New Roman" w:eastAsia="宋体" w:cs="Times New Roman"/>
                      <w:caps w:val="0"/>
                      <w:color w:val="auto"/>
                      <w:szCs w:val="21"/>
                      <w:highlight w:val="none"/>
                    </w:rPr>
                  </w:pPr>
                  <w:r>
                    <w:rPr>
                      <w:rFonts w:hint="eastAsia" w:cs="Times New Roman"/>
                      <w:color w:val="auto"/>
                      <w:szCs w:val="21"/>
                      <w:lang w:val="en-US" w:eastAsia="zh-CN"/>
                    </w:rPr>
                    <w:t>/</w:t>
                  </w:r>
                </w:p>
              </w:tc>
              <w:tc>
                <w:tcPr>
                  <w:tcW w:w="548" w:type="pct"/>
                  <w:tcBorders>
                    <w:tl2br w:val="nil"/>
                    <w:tr2bl w:val="nil"/>
                  </w:tcBorders>
                  <w:vAlign w:val="center"/>
                </w:tcPr>
                <w:p w14:paraId="71A2B7CA">
                  <w:pPr>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lang w:val="en-US" w:eastAsia="zh-CN"/>
                    </w:rPr>
                    <w:t>6</w:t>
                  </w:r>
                </w:p>
              </w:tc>
              <w:tc>
                <w:tcPr>
                  <w:tcW w:w="476" w:type="pct"/>
                  <w:tcBorders>
                    <w:tl2br w:val="nil"/>
                    <w:tr2bl w:val="nil"/>
                  </w:tcBorders>
                  <w:vAlign w:val="center"/>
                </w:tcPr>
                <w:p w14:paraId="6012EF07">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1</w:t>
                  </w:r>
                </w:p>
              </w:tc>
              <w:tc>
                <w:tcPr>
                  <w:tcW w:w="601" w:type="pct"/>
                  <w:tcBorders>
                    <w:tl2br w:val="nil"/>
                    <w:tr2bl w:val="nil"/>
                  </w:tcBorders>
                  <w:vAlign w:val="center"/>
                </w:tcPr>
                <w:p w14:paraId="4989BB8A">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7</w:t>
                  </w:r>
                </w:p>
              </w:tc>
              <w:tc>
                <w:tcPr>
                  <w:tcW w:w="486" w:type="pct"/>
                  <w:tcBorders>
                    <w:tl2br w:val="nil"/>
                    <w:tr2bl w:val="nil"/>
                  </w:tcBorders>
                  <w:vAlign w:val="center"/>
                </w:tcPr>
                <w:p w14:paraId="7837FE6D">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+1</w:t>
                  </w:r>
                </w:p>
              </w:tc>
              <w:tc>
                <w:tcPr>
                  <w:tcW w:w="644" w:type="pct"/>
                  <w:tcBorders>
                    <w:tl2br w:val="nil"/>
                    <w:tr2bl w:val="nil"/>
                  </w:tcBorders>
                  <w:vAlign w:val="center"/>
                </w:tcPr>
                <w:p w14:paraId="010518AF">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个</w:t>
                  </w:r>
                </w:p>
              </w:tc>
              <w:tc>
                <w:tcPr>
                  <w:tcW w:w="546" w:type="pct"/>
                  <w:tcBorders>
                    <w:tl2br w:val="nil"/>
                    <w:tr2bl w:val="nil"/>
                  </w:tcBorders>
                  <w:vAlign w:val="center"/>
                </w:tcPr>
                <w:p w14:paraId="103D7F92">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新增</w:t>
                  </w:r>
                </w:p>
              </w:tc>
            </w:tr>
            <w:tr w14:paraId="478B1A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89" w:type="pct"/>
                  <w:tcBorders>
                    <w:tl2br w:val="nil"/>
                    <w:tr2bl w:val="nil"/>
                  </w:tcBorders>
                  <w:vAlign w:val="center"/>
                </w:tcPr>
                <w:p w14:paraId="74E6D5B2">
                  <w:pPr>
                    <w:jc w:val="center"/>
                    <w:rPr>
                      <w:rFonts w:hint="default" w:ascii="Times New Roman" w:hAnsi="Times New Roman" w:eastAsia="宋体" w:cs="Times New Roman"/>
                      <w:caps w:val="0"/>
                      <w:color w:val="auto"/>
                      <w:szCs w:val="21"/>
                      <w:highlight w:val="none"/>
                      <w:lang w:val="en-US" w:eastAsia="zh-CN"/>
                    </w:rPr>
                  </w:pPr>
                  <w:r>
                    <w:rPr>
                      <w:rFonts w:hint="eastAsia" w:cs="Times New Roman"/>
                      <w:caps w:val="0"/>
                      <w:color w:val="auto"/>
                      <w:szCs w:val="21"/>
                      <w:highlight w:val="none"/>
                      <w:lang w:val="en-US" w:eastAsia="zh-CN"/>
                    </w:rPr>
                    <w:t>39</w:t>
                  </w:r>
                </w:p>
              </w:tc>
              <w:tc>
                <w:tcPr>
                  <w:tcW w:w="697" w:type="pct"/>
                  <w:tcBorders>
                    <w:tl2br w:val="nil"/>
                    <w:tr2bl w:val="nil"/>
                  </w:tcBorders>
                  <w:vAlign w:val="center"/>
                </w:tcPr>
                <w:p w14:paraId="7CF10187">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rPr>
                    <w:t>破碎机</w:t>
                  </w:r>
                </w:p>
              </w:tc>
              <w:tc>
                <w:tcPr>
                  <w:tcW w:w="708" w:type="pct"/>
                  <w:tcBorders>
                    <w:tl2br w:val="nil"/>
                    <w:tr2bl w:val="nil"/>
                  </w:tcBorders>
                  <w:vAlign w:val="center"/>
                </w:tcPr>
                <w:p w14:paraId="51A16C0D">
                  <w:pPr>
                    <w:jc w:val="center"/>
                    <w:rPr>
                      <w:rFonts w:hint="default" w:ascii="Times New Roman" w:hAnsi="Times New Roman" w:eastAsia="宋体" w:cs="Times New Roman"/>
                      <w:caps w:val="0"/>
                      <w:color w:val="auto"/>
                      <w:szCs w:val="21"/>
                      <w:highlight w:val="none"/>
                    </w:rPr>
                  </w:pPr>
                  <w:r>
                    <w:rPr>
                      <w:rFonts w:hint="default" w:ascii="Times New Roman" w:hAnsi="Times New Roman" w:eastAsia="宋体" w:cs="Times New Roman"/>
                      <w:color w:val="auto"/>
                      <w:szCs w:val="21"/>
                    </w:rPr>
                    <w:t>/</w:t>
                  </w:r>
                </w:p>
              </w:tc>
              <w:tc>
                <w:tcPr>
                  <w:tcW w:w="548" w:type="pct"/>
                  <w:tcBorders>
                    <w:tl2br w:val="nil"/>
                    <w:tr2bl w:val="nil"/>
                  </w:tcBorders>
                  <w:vAlign w:val="center"/>
                </w:tcPr>
                <w:p w14:paraId="563F2CD7">
                  <w:pPr>
                    <w:jc w:val="center"/>
                    <w:rPr>
                      <w:rFonts w:hint="eastAsia" w:ascii="Times New Roman" w:hAnsi="Times New Roman" w:eastAsia="宋体" w:cs="Times New Roman"/>
                      <w:bCs/>
                      <w:caps w:val="0"/>
                      <w:color w:val="auto"/>
                      <w:kern w:val="2"/>
                      <w:sz w:val="21"/>
                      <w:szCs w:val="21"/>
                      <w:highlight w:val="none"/>
                      <w:lang w:val="en-US" w:eastAsia="zh-CN" w:bidi="ar-SA"/>
                    </w:rPr>
                  </w:pPr>
                  <w:r>
                    <w:rPr>
                      <w:rFonts w:hint="eastAsia" w:cs="Times New Roman"/>
                      <w:color w:val="auto"/>
                      <w:lang w:val="en-US" w:eastAsia="zh-CN"/>
                    </w:rPr>
                    <w:t>4</w:t>
                  </w:r>
                </w:p>
              </w:tc>
              <w:tc>
                <w:tcPr>
                  <w:tcW w:w="476" w:type="pct"/>
                  <w:tcBorders>
                    <w:tl2br w:val="nil"/>
                    <w:tr2bl w:val="nil"/>
                  </w:tcBorders>
                  <w:vAlign w:val="center"/>
                </w:tcPr>
                <w:p w14:paraId="67DF32D6">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kern w:val="2"/>
                      <w:sz w:val="21"/>
                      <w:szCs w:val="21"/>
                      <w:highlight w:val="none"/>
                      <w:lang w:val="en-US" w:eastAsia="zh-CN" w:bidi="ar-SA"/>
                    </w:rPr>
                    <w:t>0</w:t>
                  </w:r>
                </w:p>
              </w:tc>
              <w:tc>
                <w:tcPr>
                  <w:tcW w:w="601" w:type="pct"/>
                  <w:tcBorders>
                    <w:tl2br w:val="nil"/>
                    <w:tr2bl w:val="nil"/>
                  </w:tcBorders>
                  <w:vAlign w:val="center"/>
                </w:tcPr>
                <w:p w14:paraId="404FF0A2">
                  <w:pPr>
                    <w:jc w:val="center"/>
                    <w:rPr>
                      <w:rFonts w:hint="eastAsia"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4</w:t>
                  </w:r>
                </w:p>
              </w:tc>
              <w:tc>
                <w:tcPr>
                  <w:tcW w:w="486" w:type="pct"/>
                  <w:tcBorders>
                    <w:tl2br w:val="nil"/>
                    <w:tr2bl w:val="nil"/>
                  </w:tcBorders>
                  <w:vAlign w:val="center"/>
                </w:tcPr>
                <w:p w14:paraId="6AB3079A">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kern w:val="2"/>
                      <w:sz w:val="21"/>
                      <w:szCs w:val="21"/>
                      <w:highlight w:val="none"/>
                      <w:lang w:val="en-US" w:eastAsia="zh-CN" w:bidi="ar-SA"/>
                    </w:rPr>
                    <w:t>0</w:t>
                  </w:r>
                </w:p>
              </w:tc>
              <w:tc>
                <w:tcPr>
                  <w:tcW w:w="644" w:type="pct"/>
                  <w:tcBorders>
                    <w:tl2br w:val="nil"/>
                    <w:tr2bl w:val="nil"/>
                  </w:tcBorders>
                  <w:vAlign w:val="center"/>
                </w:tcPr>
                <w:p w14:paraId="7A04596B">
                  <w:pPr>
                    <w:jc w:val="center"/>
                    <w:rPr>
                      <w:rFonts w:hint="default" w:ascii="Times New Roman" w:hAnsi="Times New Roman" w:eastAsia="宋体" w:cs="Times New Roman"/>
                      <w:bCs/>
                      <w:caps w:val="0"/>
                      <w:color w:val="auto"/>
                      <w:szCs w:val="21"/>
                      <w:highlight w:val="none"/>
                    </w:rPr>
                  </w:pPr>
                  <w:r>
                    <w:rPr>
                      <w:rFonts w:hint="eastAsia" w:cs="Times New Roman"/>
                      <w:bCs/>
                      <w:caps w:val="0"/>
                      <w:color w:val="auto"/>
                      <w:szCs w:val="21"/>
                      <w:highlight w:val="none"/>
                      <w:lang w:val="en-US" w:eastAsia="zh-CN"/>
                    </w:rPr>
                    <w:t>台/（套）</w:t>
                  </w:r>
                </w:p>
              </w:tc>
              <w:tc>
                <w:tcPr>
                  <w:tcW w:w="546" w:type="pct"/>
                  <w:tcBorders>
                    <w:tl2br w:val="nil"/>
                    <w:tr2bl w:val="nil"/>
                  </w:tcBorders>
                  <w:vAlign w:val="center"/>
                </w:tcPr>
                <w:p w14:paraId="3737D1E8">
                  <w:pPr>
                    <w:jc w:val="center"/>
                    <w:rPr>
                      <w:rFonts w:hint="default" w:ascii="Times New Roman" w:hAnsi="Times New Roman" w:eastAsia="宋体" w:cs="Times New Roman"/>
                      <w:bCs/>
                      <w:caps w:val="0"/>
                      <w:color w:val="auto"/>
                      <w:szCs w:val="21"/>
                      <w:highlight w:val="none"/>
                      <w:lang w:val="en-US" w:eastAsia="zh-CN"/>
                    </w:rPr>
                  </w:pPr>
                  <w:r>
                    <w:rPr>
                      <w:rFonts w:hint="eastAsia" w:cs="Times New Roman"/>
                      <w:bCs/>
                      <w:caps w:val="0"/>
                      <w:color w:val="auto"/>
                      <w:szCs w:val="21"/>
                      <w:highlight w:val="none"/>
                      <w:lang w:val="en-US" w:eastAsia="zh-CN"/>
                    </w:rPr>
                    <w:t>依托</w:t>
                  </w:r>
                </w:p>
              </w:tc>
            </w:tr>
          </w:tbl>
          <w:p w14:paraId="7CCFF7D1">
            <w:pPr>
              <w:keepNext w:val="0"/>
              <w:keepLines w:val="0"/>
              <w:pageBreakBefore w:val="0"/>
              <w:kinsoku/>
              <w:wordWrap/>
              <w:overflowPunct/>
              <w:topLinePunct w:val="0"/>
              <w:autoSpaceDE/>
              <w:autoSpaceDN/>
              <w:bidi w:val="0"/>
              <w:adjustRightInd/>
              <w:spacing w:line="360" w:lineRule="auto"/>
              <w:ind w:firstLine="482" w:firstLineChars="200"/>
              <w:textAlignment w:val="auto"/>
              <w:rPr>
                <w:rFonts w:ascii="Times New Roman" w:hAnsi="Times New Roman" w:eastAsia="宋体"/>
                <w:b/>
                <w:caps w:val="0"/>
                <w:color w:val="auto"/>
                <w:kern w:val="0"/>
                <w:sz w:val="24"/>
                <w:highlight w:val="none"/>
              </w:rPr>
            </w:pPr>
            <w:r>
              <w:rPr>
                <w:rFonts w:hint="eastAsia" w:ascii="Times New Roman" w:hAnsi="Times New Roman" w:eastAsia="宋体"/>
                <w:b/>
                <w:caps w:val="0"/>
                <w:color w:val="auto"/>
                <w:kern w:val="0"/>
                <w:sz w:val="24"/>
                <w:highlight w:val="none"/>
              </w:rPr>
              <w:t>5、主要原辅材料及能源消耗</w:t>
            </w:r>
          </w:p>
          <w:p w14:paraId="1FA455DE">
            <w:pPr>
              <w:keepNext w:val="0"/>
              <w:keepLines w:val="0"/>
              <w:pageBreakBefore w:val="0"/>
              <w:kinsoku/>
              <w:wordWrap/>
              <w:overflowPunct/>
              <w:topLinePunct w:val="0"/>
              <w:autoSpaceDE/>
              <w:autoSpaceDN/>
              <w:bidi w:val="0"/>
              <w:adjustRightInd/>
              <w:spacing w:line="360" w:lineRule="auto"/>
              <w:ind w:firstLine="600" w:firstLineChars="250"/>
              <w:textAlignment w:val="auto"/>
              <w:rPr>
                <w:rFonts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项目主要原辅材料及能源消耗见表2-</w:t>
            </w:r>
            <w:r>
              <w:rPr>
                <w:rFonts w:hint="eastAsia"/>
                <w:caps w:val="0"/>
                <w:color w:val="auto"/>
                <w:sz w:val="24"/>
                <w:highlight w:val="none"/>
                <w:lang w:val="en-US" w:eastAsia="zh-CN"/>
              </w:rPr>
              <w:t>6</w:t>
            </w:r>
            <w:r>
              <w:rPr>
                <w:rFonts w:hint="eastAsia" w:ascii="Times New Roman" w:hAnsi="Times New Roman" w:eastAsia="宋体"/>
                <w:caps w:val="0"/>
                <w:color w:val="auto"/>
                <w:sz w:val="24"/>
                <w:highlight w:val="none"/>
              </w:rPr>
              <w:t>。</w:t>
            </w:r>
          </w:p>
          <w:p w14:paraId="23E53865">
            <w:pPr>
              <w:pStyle w:val="56"/>
              <w:keepNext w:val="0"/>
              <w:keepLines w:val="0"/>
              <w:pageBreakBefore w:val="0"/>
              <w:kinsoku/>
              <w:wordWrap/>
              <w:overflowPunct/>
              <w:topLinePunct w:val="0"/>
              <w:autoSpaceDE/>
              <w:autoSpaceDN/>
              <w:bidi w:val="0"/>
              <w:adjustRightInd/>
              <w:spacing w:beforeLines="0" w:afterLines="0" w:line="360" w:lineRule="auto"/>
              <w:ind w:firstLine="482" w:firstLineChars="200"/>
              <w:textAlignment w:val="auto"/>
              <w:rPr>
                <w:rFonts w:ascii="Times New Roman" w:hAnsi="Times New Roman" w:eastAsia="宋体"/>
                <w:caps w:val="0"/>
                <w:color w:val="auto"/>
                <w:highlight w:val="none"/>
              </w:rPr>
            </w:pPr>
            <w:r>
              <w:rPr>
                <w:rFonts w:hint="eastAsia" w:ascii="Times New Roman" w:hAnsi="Times New Roman" w:eastAsia="宋体"/>
                <w:caps w:val="0"/>
                <w:color w:val="auto"/>
                <w:highlight w:val="none"/>
              </w:rPr>
              <w:t>表2-</w:t>
            </w:r>
            <w:r>
              <w:rPr>
                <w:rFonts w:hint="eastAsia"/>
                <w:caps w:val="0"/>
                <w:color w:val="auto"/>
                <w:highlight w:val="none"/>
                <w:lang w:val="en-US" w:eastAsia="zh-CN"/>
              </w:rPr>
              <w:t>6</w:t>
            </w:r>
            <w:r>
              <w:rPr>
                <w:rFonts w:ascii="Times New Roman" w:hAnsi="Times New Roman" w:eastAsia="宋体"/>
                <w:caps w:val="0"/>
                <w:color w:val="auto"/>
                <w:highlight w:val="none"/>
              </w:rPr>
              <w:t xml:space="preserve">  </w:t>
            </w:r>
            <w:r>
              <w:rPr>
                <w:rFonts w:hint="eastAsia" w:ascii="Times New Roman" w:hAnsi="Times New Roman" w:eastAsia="宋体"/>
                <w:caps w:val="0"/>
                <w:color w:val="auto"/>
                <w:highlight w:val="none"/>
              </w:rPr>
              <w:t>建设项目主要原辅材料及能源消耗一览表</w:t>
            </w:r>
          </w:p>
          <w:tbl>
            <w:tblPr>
              <w:tblStyle w:val="21"/>
              <w:tblW w:w="493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050"/>
              <w:gridCol w:w="991"/>
              <w:gridCol w:w="1132"/>
              <w:gridCol w:w="1218"/>
              <w:gridCol w:w="1300"/>
              <w:gridCol w:w="1424"/>
            </w:tblGrid>
            <w:tr w14:paraId="65E61D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425" w:type="pct"/>
                  <w:vMerge w:val="restart"/>
                  <w:tcBorders>
                    <w:tl2br w:val="nil"/>
                    <w:tr2bl w:val="nil"/>
                  </w:tcBorders>
                  <w:vAlign w:val="center"/>
                </w:tcPr>
                <w:p w14:paraId="32A36405">
                  <w:pPr>
                    <w:adjustRightInd w:val="0"/>
                    <w:snapToGrid w:val="0"/>
                    <w:jc w:val="center"/>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序号</w:t>
                  </w:r>
                </w:p>
              </w:tc>
              <w:tc>
                <w:tcPr>
                  <w:tcW w:w="675" w:type="pct"/>
                  <w:vMerge w:val="restart"/>
                  <w:tcBorders>
                    <w:tl2br w:val="nil"/>
                    <w:tr2bl w:val="nil"/>
                  </w:tcBorders>
                  <w:vAlign w:val="center"/>
                </w:tcPr>
                <w:p w14:paraId="1100F6D0">
                  <w:pPr>
                    <w:adjustRightInd w:val="0"/>
                    <w:snapToGrid w:val="0"/>
                    <w:jc w:val="center"/>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名称</w:t>
                  </w:r>
                </w:p>
              </w:tc>
              <w:tc>
                <w:tcPr>
                  <w:tcW w:w="2148" w:type="pct"/>
                  <w:gridSpan w:val="3"/>
                  <w:tcBorders>
                    <w:tl2br w:val="nil"/>
                    <w:tr2bl w:val="nil"/>
                  </w:tcBorders>
                  <w:vAlign w:val="center"/>
                </w:tcPr>
                <w:p w14:paraId="07410CD7">
                  <w:pPr>
                    <w:adjustRightInd w:val="0"/>
                    <w:snapToGrid w:val="0"/>
                    <w:jc w:val="center"/>
                    <w:rPr>
                      <w:rFonts w:hint="default" w:ascii="Times New Roman" w:hAnsi="Times New Roman" w:eastAsia="宋体"/>
                      <w:b/>
                      <w:bCs/>
                      <w:caps w:val="0"/>
                      <w:color w:val="auto"/>
                      <w:szCs w:val="21"/>
                      <w:highlight w:val="none"/>
                      <w:lang w:val="en-US" w:eastAsia="zh-CN"/>
                    </w:rPr>
                  </w:pPr>
                  <w:r>
                    <w:rPr>
                      <w:rFonts w:ascii="Times New Roman" w:hAnsi="Times New Roman" w:eastAsia="宋体"/>
                      <w:b/>
                      <w:caps w:val="0"/>
                      <w:color w:val="auto"/>
                      <w:szCs w:val="21"/>
                      <w:highlight w:val="none"/>
                    </w:rPr>
                    <w:t>年用量</w:t>
                  </w:r>
                  <w:r>
                    <w:rPr>
                      <w:rFonts w:hint="eastAsia"/>
                      <w:b/>
                      <w:caps w:val="0"/>
                      <w:color w:val="auto"/>
                      <w:szCs w:val="21"/>
                      <w:highlight w:val="none"/>
                      <w:lang w:val="en-US" w:eastAsia="zh-CN"/>
                    </w:rPr>
                    <w:t>t/a</w:t>
                  </w:r>
                </w:p>
              </w:tc>
              <w:tc>
                <w:tcPr>
                  <w:tcW w:w="835" w:type="pct"/>
                  <w:vMerge w:val="restart"/>
                  <w:tcBorders>
                    <w:tl2br w:val="nil"/>
                    <w:tr2bl w:val="nil"/>
                  </w:tcBorders>
                  <w:vAlign w:val="center"/>
                </w:tcPr>
                <w:p w14:paraId="58F125DC">
                  <w:pPr>
                    <w:adjustRightInd w:val="0"/>
                    <w:snapToGrid w:val="0"/>
                    <w:jc w:val="center"/>
                    <w:rPr>
                      <w:rFonts w:ascii="Times New Roman" w:hAnsi="Times New Roman" w:eastAsia="宋体"/>
                      <w:b/>
                      <w:caps w:val="0"/>
                      <w:color w:val="auto"/>
                      <w:szCs w:val="21"/>
                      <w:highlight w:val="none"/>
                    </w:rPr>
                  </w:pPr>
                  <w:r>
                    <w:rPr>
                      <w:rFonts w:hint="eastAsia" w:ascii="Times New Roman" w:hAnsi="Times New Roman" w:eastAsia="宋体"/>
                      <w:b/>
                      <w:caps w:val="0"/>
                      <w:color w:val="auto"/>
                      <w:szCs w:val="21"/>
                      <w:highlight w:val="none"/>
                      <w:lang w:eastAsia="zh-CN"/>
                    </w:rPr>
                    <w:t>扩建</w:t>
                  </w:r>
                  <w:r>
                    <w:rPr>
                      <w:rFonts w:ascii="Times New Roman" w:hAnsi="Times New Roman" w:eastAsia="宋体"/>
                      <w:b/>
                      <w:caps w:val="0"/>
                      <w:color w:val="auto"/>
                      <w:szCs w:val="21"/>
                      <w:highlight w:val="none"/>
                    </w:rPr>
                    <w:t>后厂区</w:t>
                  </w:r>
                  <w:r>
                    <w:rPr>
                      <w:rFonts w:hint="eastAsia"/>
                      <w:b/>
                      <w:bCs/>
                      <w:color w:val="auto"/>
                      <w:lang w:val="en-US" w:eastAsia="zh-CN"/>
                    </w:rPr>
                    <w:t>最大</w:t>
                  </w:r>
                  <w:r>
                    <w:rPr>
                      <w:rFonts w:ascii="Times New Roman" w:hAnsi="Times New Roman" w:eastAsia="宋体"/>
                      <w:b/>
                      <w:caps w:val="0"/>
                      <w:color w:val="auto"/>
                      <w:szCs w:val="21"/>
                      <w:highlight w:val="none"/>
                    </w:rPr>
                    <w:t>储存量</w:t>
                  </w:r>
                  <w:r>
                    <w:rPr>
                      <w:rFonts w:hint="eastAsia"/>
                      <w:b/>
                      <w:caps w:val="0"/>
                      <w:color w:val="auto"/>
                      <w:szCs w:val="21"/>
                      <w:highlight w:val="none"/>
                      <w:lang w:val="en-US" w:eastAsia="zh-CN"/>
                    </w:rPr>
                    <w:t>t</w:t>
                  </w:r>
                </w:p>
              </w:tc>
              <w:tc>
                <w:tcPr>
                  <w:tcW w:w="915" w:type="pct"/>
                  <w:vMerge w:val="restart"/>
                  <w:tcBorders>
                    <w:tl2br w:val="nil"/>
                    <w:tr2bl w:val="nil"/>
                  </w:tcBorders>
                  <w:vAlign w:val="center"/>
                </w:tcPr>
                <w:p w14:paraId="2FC4CA91">
                  <w:pPr>
                    <w:adjustRightInd w:val="0"/>
                    <w:snapToGrid w:val="0"/>
                    <w:jc w:val="center"/>
                    <w:rPr>
                      <w:rFonts w:ascii="Times New Roman" w:hAnsi="Times New Roman" w:eastAsia="宋体"/>
                      <w:b/>
                      <w:caps w:val="0"/>
                      <w:color w:val="auto"/>
                      <w:szCs w:val="21"/>
                      <w:highlight w:val="none"/>
                    </w:rPr>
                  </w:pPr>
                  <w:r>
                    <w:rPr>
                      <w:rFonts w:ascii="Times New Roman" w:hAnsi="Times New Roman" w:eastAsia="宋体"/>
                      <w:b/>
                      <w:caps w:val="0"/>
                      <w:color w:val="auto"/>
                      <w:szCs w:val="21"/>
                      <w:highlight w:val="none"/>
                    </w:rPr>
                    <w:t>包装方式</w:t>
                  </w:r>
                  <w:r>
                    <w:rPr>
                      <w:rFonts w:hint="eastAsia" w:ascii="Times New Roman" w:hAnsi="Times New Roman" w:eastAsia="宋体"/>
                      <w:b/>
                      <w:caps w:val="0"/>
                      <w:color w:val="auto"/>
                      <w:szCs w:val="21"/>
                      <w:highlight w:val="none"/>
                    </w:rPr>
                    <w:t>/</w:t>
                  </w:r>
                  <w:r>
                    <w:rPr>
                      <w:rFonts w:ascii="Times New Roman" w:hAnsi="Times New Roman" w:eastAsia="宋体"/>
                      <w:b/>
                      <w:caps w:val="0"/>
                      <w:color w:val="auto"/>
                      <w:szCs w:val="21"/>
                      <w:highlight w:val="none"/>
                    </w:rPr>
                    <w:t>规格</w:t>
                  </w:r>
                </w:p>
              </w:tc>
            </w:tr>
            <w:tr w14:paraId="58589A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425" w:type="pct"/>
                  <w:vMerge w:val="continue"/>
                  <w:tcBorders>
                    <w:tl2br w:val="nil"/>
                    <w:tr2bl w:val="nil"/>
                  </w:tcBorders>
                  <w:vAlign w:val="center"/>
                </w:tcPr>
                <w:p w14:paraId="30D685C1">
                  <w:pPr>
                    <w:adjustRightInd w:val="0"/>
                    <w:snapToGrid w:val="0"/>
                    <w:jc w:val="center"/>
                    <w:rPr>
                      <w:rFonts w:ascii="Times New Roman" w:hAnsi="Times New Roman" w:eastAsia="宋体"/>
                      <w:b/>
                      <w:bCs/>
                      <w:caps w:val="0"/>
                      <w:color w:val="auto"/>
                      <w:szCs w:val="21"/>
                      <w:highlight w:val="none"/>
                    </w:rPr>
                  </w:pPr>
                </w:p>
              </w:tc>
              <w:tc>
                <w:tcPr>
                  <w:tcW w:w="675" w:type="pct"/>
                  <w:vMerge w:val="continue"/>
                  <w:tcBorders>
                    <w:tl2br w:val="nil"/>
                    <w:tr2bl w:val="nil"/>
                  </w:tcBorders>
                  <w:vAlign w:val="center"/>
                </w:tcPr>
                <w:p w14:paraId="6D9F0B40">
                  <w:pPr>
                    <w:adjustRightInd w:val="0"/>
                    <w:snapToGrid w:val="0"/>
                    <w:jc w:val="center"/>
                    <w:rPr>
                      <w:rFonts w:ascii="Times New Roman" w:hAnsi="Times New Roman" w:eastAsia="宋体"/>
                      <w:b/>
                      <w:bCs/>
                      <w:caps w:val="0"/>
                      <w:color w:val="auto"/>
                      <w:szCs w:val="21"/>
                      <w:highlight w:val="none"/>
                    </w:rPr>
                  </w:pPr>
                </w:p>
              </w:tc>
              <w:tc>
                <w:tcPr>
                  <w:tcW w:w="637" w:type="pct"/>
                  <w:tcBorders>
                    <w:tl2br w:val="nil"/>
                    <w:tr2bl w:val="nil"/>
                  </w:tcBorders>
                  <w:vAlign w:val="center"/>
                </w:tcPr>
                <w:p w14:paraId="2B0F6108">
                  <w:pPr>
                    <w:jc w:val="center"/>
                    <w:rPr>
                      <w:rFonts w:ascii="Times New Roman" w:hAnsi="Times New Roman" w:eastAsia="宋体"/>
                      <w:b/>
                      <w:caps w:val="0"/>
                      <w:color w:val="auto"/>
                      <w:szCs w:val="21"/>
                      <w:highlight w:val="none"/>
                    </w:rPr>
                  </w:pPr>
                  <w:r>
                    <w:rPr>
                      <w:rFonts w:hint="eastAsia" w:ascii="Times New Roman" w:hAnsi="Times New Roman" w:eastAsia="宋体"/>
                      <w:b/>
                      <w:caps w:val="0"/>
                      <w:color w:val="auto"/>
                      <w:szCs w:val="21"/>
                      <w:highlight w:val="none"/>
                      <w:lang w:eastAsia="zh-CN"/>
                    </w:rPr>
                    <w:t>扩建</w:t>
                  </w:r>
                  <w:r>
                    <w:rPr>
                      <w:rFonts w:hint="eastAsia" w:ascii="Times New Roman" w:hAnsi="Times New Roman" w:eastAsia="宋体"/>
                      <w:b/>
                      <w:caps w:val="0"/>
                      <w:color w:val="auto"/>
                      <w:szCs w:val="21"/>
                      <w:highlight w:val="none"/>
                    </w:rPr>
                    <w:t>前</w:t>
                  </w:r>
                </w:p>
              </w:tc>
              <w:tc>
                <w:tcPr>
                  <w:tcW w:w="727" w:type="pct"/>
                  <w:tcBorders>
                    <w:tl2br w:val="nil"/>
                    <w:tr2bl w:val="nil"/>
                  </w:tcBorders>
                  <w:vAlign w:val="center"/>
                </w:tcPr>
                <w:p w14:paraId="6CA451CB">
                  <w:pPr>
                    <w:jc w:val="center"/>
                    <w:rPr>
                      <w:rFonts w:ascii="Times New Roman" w:hAnsi="Times New Roman" w:eastAsia="宋体"/>
                      <w:b/>
                      <w:caps w:val="0"/>
                      <w:color w:val="auto"/>
                      <w:szCs w:val="21"/>
                      <w:highlight w:val="none"/>
                    </w:rPr>
                  </w:pPr>
                  <w:r>
                    <w:rPr>
                      <w:rFonts w:hint="eastAsia" w:ascii="Times New Roman" w:hAnsi="Times New Roman" w:eastAsia="宋体"/>
                      <w:b/>
                      <w:caps w:val="0"/>
                      <w:color w:val="auto"/>
                      <w:kern w:val="21"/>
                      <w:szCs w:val="21"/>
                      <w:highlight w:val="none"/>
                      <w:lang w:eastAsia="zh-CN"/>
                    </w:rPr>
                    <w:t>扩建</w:t>
                  </w:r>
                  <w:r>
                    <w:rPr>
                      <w:rFonts w:ascii="Times New Roman" w:hAnsi="Times New Roman" w:eastAsia="宋体"/>
                      <w:b/>
                      <w:caps w:val="0"/>
                      <w:color w:val="auto"/>
                      <w:kern w:val="21"/>
                      <w:szCs w:val="21"/>
                      <w:highlight w:val="none"/>
                    </w:rPr>
                    <w:t>后</w:t>
                  </w:r>
                </w:p>
              </w:tc>
              <w:tc>
                <w:tcPr>
                  <w:tcW w:w="783" w:type="pct"/>
                  <w:tcBorders>
                    <w:tl2br w:val="nil"/>
                    <w:tr2bl w:val="nil"/>
                  </w:tcBorders>
                  <w:vAlign w:val="center"/>
                </w:tcPr>
                <w:p w14:paraId="58D4CA8F">
                  <w:pPr>
                    <w:jc w:val="center"/>
                    <w:rPr>
                      <w:rFonts w:ascii="Times New Roman" w:hAnsi="Times New Roman" w:eastAsia="宋体"/>
                      <w:b/>
                      <w:caps w:val="0"/>
                      <w:color w:val="auto"/>
                      <w:szCs w:val="21"/>
                      <w:highlight w:val="none"/>
                    </w:rPr>
                  </w:pPr>
                  <w:r>
                    <w:rPr>
                      <w:rFonts w:ascii="Times New Roman" w:hAnsi="Times New Roman" w:eastAsia="宋体"/>
                      <w:b/>
                      <w:caps w:val="0"/>
                      <w:color w:val="auto"/>
                      <w:szCs w:val="21"/>
                      <w:highlight w:val="none"/>
                    </w:rPr>
                    <w:t>变化量</w:t>
                  </w:r>
                </w:p>
              </w:tc>
              <w:tc>
                <w:tcPr>
                  <w:tcW w:w="835" w:type="pct"/>
                  <w:vMerge w:val="continue"/>
                  <w:tcBorders>
                    <w:tl2br w:val="nil"/>
                    <w:tr2bl w:val="nil"/>
                  </w:tcBorders>
                  <w:vAlign w:val="center"/>
                </w:tcPr>
                <w:p w14:paraId="4A01F03C">
                  <w:pPr>
                    <w:jc w:val="center"/>
                    <w:rPr>
                      <w:rFonts w:ascii="Times New Roman" w:hAnsi="Times New Roman" w:eastAsia="宋体"/>
                      <w:b/>
                      <w:caps w:val="0"/>
                      <w:color w:val="auto"/>
                      <w:szCs w:val="21"/>
                      <w:highlight w:val="none"/>
                    </w:rPr>
                  </w:pPr>
                </w:p>
              </w:tc>
              <w:tc>
                <w:tcPr>
                  <w:tcW w:w="915" w:type="pct"/>
                  <w:vMerge w:val="continue"/>
                  <w:tcBorders>
                    <w:tl2br w:val="nil"/>
                    <w:tr2bl w:val="nil"/>
                  </w:tcBorders>
                  <w:vAlign w:val="center"/>
                </w:tcPr>
                <w:p w14:paraId="705C7125">
                  <w:pPr>
                    <w:jc w:val="center"/>
                    <w:rPr>
                      <w:rFonts w:ascii="Times New Roman" w:hAnsi="Times New Roman" w:eastAsia="宋体"/>
                      <w:b/>
                      <w:caps w:val="0"/>
                      <w:color w:val="auto"/>
                      <w:szCs w:val="21"/>
                      <w:highlight w:val="none"/>
                    </w:rPr>
                  </w:pPr>
                </w:p>
              </w:tc>
            </w:tr>
            <w:tr w14:paraId="498783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425" w:type="pct"/>
                  <w:tcBorders>
                    <w:tl2br w:val="nil"/>
                    <w:tr2bl w:val="nil"/>
                  </w:tcBorders>
                  <w:vAlign w:val="center"/>
                </w:tcPr>
                <w:p w14:paraId="18D93DAE">
                  <w:pPr>
                    <w:adjustRightInd w:val="0"/>
                    <w:snapToGrid w:val="0"/>
                    <w:jc w:val="center"/>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1</w:t>
                  </w:r>
                </w:p>
              </w:tc>
              <w:tc>
                <w:tcPr>
                  <w:tcW w:w="675" w:type="pct"/>
                  <w:tcBorders>
                    <w:tl2br w:val="nil"/>
                    <w:tr2bl w:val="nil"/>
                  </w:tcBorders>
                  <w:vAlign w:val="center"/>
                </w:tcPr>
                <w:p w14:paraId="04E48536">
                  <w:pPr>
                    <w:jc w:val="center"/>
                    <w:rPr>
                      <w:rFonts w:ascii="Times New Roman" w:hAnsi="Times New Roman" w:eastAsia="宋体"/>
                      <w:caps w:val="0"/>
                      <w:color w:val="auto"/>
                      <w:szCs w:val="21"/>
                      <w:highlight w:val="none"/>
                    </w:rPr>
                  </w:pPr>
                  <w:r>
                    <w:rPr>
                      <w:rFonts w:hint="eastAsia"/>
                      <w:color w:val="auto"/>
                      <w:szCs w:val="21"/>
                    </w:rPr>
                    <w:t>PP</w:t>
                  </w:r>
                </w:p>
              </w:tc>
              <w:tc>
                <w:tcPr>
                  <w:tcW w:w="637" w:type="pct"/>
                  <w:tcBorders>
                    <w:tl2br w:val="nil"/>
                    <w:tr2bl w:val="nil"/>
                  </w:tcBorders>
                  <w:vAlign w:val="center"/>
                </w:tcPr>
                <w:p w14:paraId="70E0721C">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olor w:val="auto"/>
                      <w:szCs w:val="21"/>
                      <w:lang w:val="en-US" w:eastAsia="zh-CN"/>
                    </w:rPr>
                    <w:t>1850</w:t>
                  </w:r>
                </w:p>
              </w:tc>
              <w:tc>
                <w:tcPr>
                  <w:tcW w:w="727" w:type="pct"/>
                  <w:tcBorders>
                    <w:tl2br w:val="nil"/>
                    <w:tr2bl w:val="nil"/>
                  </w:tcBorders>
                  <w:vAlign w:val="center"/>
                </w:tcPr>
                <w:p w14:paraId="4CB00E45">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olor w:val="auto"/>
                      <w:szCs w:val="21"/>
                      <w:lang w:val="en-US" w:eastAsia="zh-CN"/>
                    </w:rPr>
                    <w:t>1850</w:t>
                  </w:r>
                </w:p>
              </w:tc>
              <w:tc>
                <w:tcPr>
                  <w:tcW w:w="783" w:type="pct"/>
                  <w:tcBorders>
                    <w:tl2br w:val="nil"/>
                    <w:tr2bl w:val="nil"/>
                  </w:tcBorders>
                  <w:vAlign w:val="center"/>
                </w:tcPr>
                <w:p w14:paraId="70D74278">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0</w:t>
                  </w:r>
                </w:p>
              </w:tc>
              <w:tc>
                <w:tcPr>
                  <w:tcW w:w="835" w:type="pct"/>
                  <w:tcBorders>
                    <w:tl2br w:val="nil"/>
                    <w:tr2bl w:val="nil"/>
                  </w:tcBorders>
                  <w:vAlign w:val="center"/>
                </w:tcPr>
                <w:p w14:paraId="72C7FDD0">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100</w:t>
                  </w:r>
                </w:p>
              </w:tc>
              <w:tc>
                <w:tcPr>
                  <w:tcW w:w="915" w:type="pct"/>
                  <w:tcBorders>
                    <w:tl2br w:val="nil"/>
                    <w:tr2bl w:val="nil"/>
                  </w:tcBorders>
                  <w:vAlign w:val="center"/>
                </w:tcPr>
                <w:p w14:paraId="385EDB45">
                  <w:pPr>
                    <w:jc w:val="center"/>
                    <w:rPr>
                      <w:color w:val="auto"/>
                      <w:szCs w:val="21"/>
                    </w:rPr>
                  </w:pPr>
                  <w:r>
                    <w:rPr>
                      <w:color w:val="auto"/>
                      <w:szCs w:val="21"/>
                    </w:rPr>
                    <w:t>25kg袋装</w:t>
                  </w:r>
                </w:p>
              </w:tc>
            </w:tr>
            <w:tr w14:paraId="184520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425" w:type="pct"/>
                  <w:tcBorders>
                    <w:tl2br w:val="nil"/>
                    <w:tr2bl w:val="nil"/>
                  </w:tcBorders>
                  <w:vAlign w:val="center"/>
                </w:tcPr>
                <w:p w14:paraId="68CEE598">
                  <w:pPr>
                    <w:adjustRightInd w:val="0"/>
                    <w:snapToGrid w:val="0"/>
                    <w:jc w:val="center"/>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2</w:t>
                  </w:r>
                </w:p>
              </w:tc>
              <w:tc>
                <w:tcPr>
                  <w:tcW w:w="675" w:type="pct"/>
                  <w:tcBorders>
                    <w:tl2br w:val="nil"/>
                    <w:tr2bl w:val="nil"/>
                  </w:tcBorders>
                  <w:vAlign w:val="center"/>
                </w:tcPr>
                <w:p w14:paraId="0B8245B5">
                  <w:pPr>
                    <w:jc w:val="center"/>
                    <w:rPr>
                      <w:rFonts w:ascii="Times New Roman" w:hAnsi="Times New Roman" w:eastAsia="宋体"/>
                      <w:caps w:val="0"/>
                      <w:color w:val="auto"/>
                      <w:szCs w:val="21"/>
                      <w:highlight w:val="none"/>
                    </w:rPr>
                  </w:pPr>
                  <w:r>
                    <w:rPr>
                      <w:rFonts w:hint="eastAsia"/>
                      <w:color w:val="auto"/>
                      <w:szCs w:val="21"/>
                    </w:rPr>
                    <w:t>A</w:t>
                  </w:r>
                  <w:r>
                    <w:rPr>
                      <w:color w:val="auto"/>
                      <w:szCs w:val="21"/>
                    </w:rPr>
                    <w:t>BS</w:t>
                  </w:r>
                </w:p>
              </w:tc>
              <w:tc>
                <w:tcPr>
                  <w:tcW w:w="637" w:type="pct"/>
                  <w:tcBorders>
                    <w:tl2br w:val="nil"/>
                    <w:tr2bl w:val="nil"/>
                  </w:tcBorders>
                  <w:vAlign w:val="center"/>
                </w:tcPr>
                <w:p w14:paraId="7047B35F">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olor w:val="auto"/>
                      <w:szCs w:val="21"/>
                      <w:lang w:val="en-US" w:eastAsia="zh-CN"/>
                    </w:rPr>
                    <w:t>605</w:t>
                  </w:r>
                </w:p>
              </w:tc>
              <w:tc>
                <w:tcPr>
                  <w:tcW w:w="727" w:type="pct"/>
                  <w:tcBorders>
                    <w:tl2br w:val="nil"/>
                    <w:tr2bl w:val="nil"/>
                  </w:tcBorders>
                  <w:vAlign w:val="center"/>
                </w:tcPr>
                <w:p w14:paraId="35149008">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olor w:val="auto"/>
                      <w:szCs w:val="21"/>
                      <w:lang w:val="en-US" w:eastAsia="zh-CN"/>
                    </w:rPr>
                    <w:t>605</w:t>
                  </w:r>
                </w:p>
              </w:tc>
              <w:tc>
                <w:tcPr>
                  <w:tcW w:w="783" w:type="pct"/>
                  <w:tcBorders>
                    <w:tl2br w:val="nil"/>
                    <w:tr2bl w:val="nil"/>
                  </w:tcBorders>
                  <w:vAlign w:val="center"/>
                </w:tcPr>
                <w:p w14:paraId="4C4E6827">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0</w:t>
                  </w:r>
                </w:p>
              </w:tc>
              <w:tc>
                <w:tcPr>
                  <w:tcW w:w="835" w:type="pct"/>
                  <w:tcBorders>
                    <w:tl2br w:val="nil"/>
                    <w:tr2bl w:val="nil"/>
                  </w:tcBorders>
                  <w:vAlign w:val="center"/>
                </w:tcPr>
                <w:p w14:paraId="65991F47">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100</w:t>
                  </w:r>
                </w:p>
              </w:tc>
              <w:tc>
                <w:tcPr>
                  <w:tcW w:w="915" w:type="pct"/>
                  <w:tcBorders>
                    <w:tl2br w:val="nil"/>
                    <w:tr2bl w:val="nil"/>
                  </w:tcBorders>
                  <w:vAlign w:val="center"/>
                </w:tcPr>
                <w:p w14:paraId="4014FCE9">
                  <w:pPr>
                    <w:jc w:val="center"/>
                    <w:rPr>
                      <w:color w:val="auto"/>
                      <w:szCs w:val="21"/>
                    </w:rPr>
                  </w:pPr>
                  <w:r>
                    <w:rPr>
                      <w:color w:val="auto"/>
                      <w:szCs w:val="21"/>
                    </w:rPr>
                    <w:t>25kg袋装</w:t>
                  </w:r>
                </w:p>
              </w:tc>
            </w:tr>
            <w:tr w14:paraId="4810FB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425" w:type="pct"/>
                  <w:tcBorders>
                    <w:tl2br w:val="nil"/>
                    <w:tr2bl w:val="nil"/>
                  </w:tcBorders>
                  <w:vAlign w:val="center"/>
                </w:tcPr>
                <w:p w14:paraId="60018164">
                  <w:pPr>
                    <w:adjustRightInd w:val="0"/>
                    <w:snapToGrid w:val="0"/>
                    <w:jc w:val="center"/>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3</w:t>
                  </w:r>
                </w:p>
              </w:tc>
              <w:tc>
                <w:tcPr>
                  <w:tcW w:w="675" w:type="pct"/>
                  <w:tcBorders>
                    <w:tl2br w:val="nil"/>
                    <w:tr2bl w:val="nil"/>
                  </w:tcBorders>
                  <w:vAlign w:val="center"/>
                </w:tcPr>
                <w:p w14:paraId="2631FF68">
                  <w:pPr>
                    <w:jc w:val="center"/>
                    <w:rPr>
                      <w:rFonts w:ascii="Times New Roman" w:hAnsi="Times New Roman" w:eastAsia="宋体"/>
                      <w:caps w:val="0"/>
                      <w:color w:val="auto"/>
                      <w:szCs w:val="21"/>
                      <w:highlight w:val="none"/>
                    </w:rPr>
                  </w:pPr>
                  <w:r>
                    <w:rPr>
                      <w:rFonts w:hint="eastAsia"/>
                      <w:color w:val="auto"/>
                      <w:szCs w:val="21"/>
                    </w:rPr>
                    <w:t>P</w:t>
                  </w:r>
                  <w:r>
                    <w:rPr>
                      <w:color w:val="auto"/>
                      <w:szCs w:val="21"/>
                    </w:rPr>
                    <w:t>A66</w:t>
                  </w:r>
                </w:p>
              </w:tc>
              <w:tc>
                <w:tcPr>
                  <w:tcW w:w="637" w:type="pct"/>
                  <w:tcBorders>
                    <w:tl2br w:val="nil"/>
                    <w:tr2bl w:val="nil"/>
                  </w:tcBorders>
                  <w:vAlign w:val="center"/>
                </w:tcPr>
                <w:p w14:paraId="617A94CE">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olor w:val="auto"/>
                      <w:szCs w:val="21"/>
                      <w:lang w:val="en-US" w:eastAsia="zh-CN"/>
                    </w:rPr>
                    <w:t>60</w:t>
                  </w:r>
                </w:p>
              </w:tc>
              <w:tc>
                <w:tcPr>
                  <w:tcW w:w="727" w:type="pct"/>
                  <w:tcBorders>
                    <w:tl2br w:val="nil"/>
                    <w:tr2bl w:val="nil"/>
                  </w:tcBorders>
                  <w:vAlign w:val="center"/>
                </w:tcPr>
                <w:p w14:paraId="196D6694">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160</w:t>
                  </w:r>
                </w:p>
              </w:tc>
              <w:tc>
                <w:tcPr>
                  <w:tcW w:w="783" w:type="pct"/>
                  <w:tcBorders>
                    <w:tl2br w:val="nil"/>
                    <w:tr2bl w:val="nil"/>
                  </w:tcBorders>
                  <w:vAlign w:val="center"/>
                </w:tcPr>
                <w:p w14:paraId="2A9A719C">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+100</w:t>
                  </w:r>
                </w:p>
              </w:tc>
              <w:tc>
                <w:tcPr>
                  <w:tcW w:w="835" w:type="pct"/>
                  <w:tcBorders>
                    <w:tl2br w:val="nil"/>
                    <w:tr2bl w:val="nil"/>
                  </w:tcBorders>
                  <w:vAlign w:val="center"/>
                </w:tcPr>
                <w:p w14:paraId="57049A67">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50</w:t>
                  </w:r>
                </w:p>
              </w:tc>
              <w:tc>
                <w:tcPr>
                  <w:tcW w:w="915" w:type="pct"/>
                  <w:tcBorders>
                    <w:tl2br w:val="nil"/>
                    <w:tr2bl w:val="nil"/>
                  </w:tcBorders>
                  <w:vAlign w:val="center"/>
                </w:tcPr>
                <w:p w14:paraId="73B98299">
                  <w:pPr>
                    <w:jc w:val="center"/>
                    <w:rPr>
                      <w:color w:val="auto"/>
                      <w:szCs w:val="21"/>
                    </w:rPr>
                  </w:pPr>
                  <w:r>
                    <w:rPr>
                      <w:color w:val="auto"/>
                      <w:szCs w:val="21"/>
                    </w:rPr>
                    <w:t>25kg袋装</w:t>
                  </w:r>
                </w:p>
              </w:tc>
            </w:tr>
            <w:tr w14:paraId="7DD44F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5" w:type="pct"/>
                  <w:tcBorders>
                    <w:tl2br w:val="nil"/>
                    <w:tr2bl w:val="nil"/>
                  </w:tcBorders>
                  <w:vAlign w:val="center"/>
                </w:tcPr>
                <w:p w14:paraId="2133EB0D">
                  <w:pPr>
                    <w:adjustRightInd w:val="0"/>
                    <w:snapToGrid w:val="0"/>
                    <w:jc w:val="center"/>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4</w:t>
                  </w:r>
                </w:p>
              </w:tc>
              <w:tc>
                <w:tcPr>
                  <w:tcW w:w="675" w:type="pct"/>
                  <w:tcBorders>
                    <w:tl2br w:val="nil"/>
                    <w:tr2bl w:val="nil"/>
                  </w:tcBorders>
                  <w:vAlign w:val="center"/>
                </w:tcPr>
                <w:p w14:paraId="04ED879D">
                  <w:pPr>
                    <w:jc w:val="center"/>
                    <w:rPr>
                      <w:rFonts w:hint="default" w:ascii="Times New Roman" w:hAnsi="Times New Roman" w:eastAsia="宋体"/>
                      <w:caps w:val="0"/>
                      <w:color w:val="auto"/>
                      <w:szCs w:val="21"/>
                      <w:highlight w:val="none"/>
                      <w:lang w:val="en-US" w:eastAsia="zh-CN"/>
                    </w:rPr>
                  </w:pPr>
                  <w:r>
                    <w:rPr>
                      <w:rFonts w:hint="eastAsia"/>
                      <w:color w:val="auto"/>
                      <w:szCs w:val="21"/>
                      <w:lang w:val="en-US" w:eastAsia="zh-CN"/>
                    </w:rPr>
                    <w:t>PBT</w:t>
                  </w:r>
                </w:p>
              </w:tc>
              <w:tc>
                <w:tcPr>
                  <w:tcW w:w="637" w:type="pct"/>
                  <w:tcBorders>
                    <w:tl2br w:val="nil"/>
                    <w:tr2bl w:val="nil"/>
                  </w:tcBorders>
                  <w:vAlign w:val="center"/>
                </w:tcPr>
                <w:p w14:paraId="7BC27139">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olor w:val="auto"/>
                      <w:szCs w:val="21"/>
                      <w:lang w:val="en-US" w:eastAsia="zh-CN"/>
                    </w:rPr>
                    <w:t>125</w:t>
                  </w:r>
                </w:p>
              </w:tc>
              <w:tc>
                <w:tcPr>
                  <w:tcW w:w="727" w:type="pct"/>
                  <w:tcBorders>
                    <w:tl2br w:val="nil"/>
                    <w:tr2bl w:val="nil"/>
                  </w:tcBorders>
                  <w:vAlign w:val="center"/>
                </w:tcPr>
                <w:p w14:paraId="42BED6AB">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125</w:t>
                  </w:r>
                </w:p>
              </w:tc>
              <w:tc>
                <w:tcPr>
                  <w:tcW w:w="783" w:type="pct"/>
                  <w:tcBorders>
                    <w:tl2br w:val="nil"/>
                    <w:tr2bl w:val="nil"/>
                  </w:tcBorders>
                  <w:vAlign w:val="center"/>
                </w:tcPr>
                <w:p w14:paraId="7998D57E">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0</w:t>
                  </w:r>
                </w:p>
              </w:tc>
              <w:tc>
                <w:tcPr>
                  <w:tcW w:w="835" w:type="pct"/>
                  <w:tcBorders>
                    <w:tl2br w:val="nil"/>
                    <w:tr2bl w:val="nil"/>
                  </w:tcBorders>
                  <w:vAlign w:val="center"/>
                </w:tcPr>
                <w:p w14:paraId="07436B46">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20</w:t>
                  </w:r>
                </w:p>
              </w:tc>
              <w:tc>
                <w:tcPr>
                  <w:tcW w:w="915" w:type="pct"/>
                  <w:tcBorders>
                    <w:tl2br w:val="nil"/>
                    <w:tr2bl w:val="nil"/>
                  </w:tcBorders>
                  <w:vAlign w:val="center"/>
                </w:tcPr>
                <w:p w14:paraId="78DF009E">
                  <w:pPr>
                    <w:jc w:val="center"/>
                    <w:rPr>
                      <w:color w:val="auto"/>
                      <w:szCs w:val="21"/>
                    </w:rPr>
                  </w:pPr>
                  <w:r>
                    <w:rPr>
                      <w:color w:val="auto"/>
                      <w:szCs w:val="21"/>
                    </w:rPr>
                    <w:t>25kg袋装</w:t>
                  </w:r>
                </w:p>
              </w:tc>
            </w:tr>
            <w:tr w14:paraId="008FFF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25" w:type="pct"/>
                  <w:tcBorders>
                    <w:tl2br w:val="nil"/>
                    <w:tr2bl w:val="nil"/>
                  </w:tcBorders>
                  <w:vAlign w:val="center"/>
                </w:tcPr>
                <w:p w14:paraId="2BC5E15E">
                  <w:pPr>
                    <w:adjustRightInd w:val="0"/>
                    <w:snapToGrid w:val="0"/>
                    <w:jc w:val="center"/>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5</w:t>
                  </w:r>
                </w:p>
              </w:tc>
              <w:tc>
                <w:tcPr>
                  <w:tcW w:w="675" w:type="pct"/>
                  <w:tcBorders>
                    <w:tl2br w:val="nil"/>
                    <w:tr2bl w:val="nil"/>
                  </w:tcBorders>
                  <w:vAlign w:val="center"/>
                </w:tcPr>
                <w:p w14:paraId="20066E92">
                  <w:pPr>
                    <w:jc w:val="center"/>
                    <w:rPr>
                      <w:rFonts w:ascii="Times New Roman" w:hAnsi="Times New Roman" w:eastAsia="宋体"/>
                      <w:caps w:val="0"/>
                      <w:color w:val="auto"/>
                      <w:szCs w:val="21"/>
                      <w:highlight w:val="none"/>
                    </w:rPr>
                  </w:pPr>
                  <w:r>
                    <w:rPr>
                      <w:rFonts w:hint="eastAsia"/>
                      <w:color w:val="auto"/>
                      <w:szCs w:val="21"/>
                    </w:rPr>
                    <w:t>色母</w:t>
                  </w:r>
                </w:p>
              </w:tc>
              <w:tc>
                <w:tcPr>
                  <w:tcW w:w="637" w:type="pct"/>
                  <w:tcBorders>
                    <w:tl2br w:val="nil"/>
                    <w:tr2bl w:val="nil"/>
                  </w:tcBorders>
                  <w:vAlign w:val="center"/>
                </w:tcPr>
                <w:p w14:paraId="648B0B89">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olor w:val="auto"/>
                      <w:szCs w:val="21"/>
                      <w:lang w:val="en-US" w:eastAsia="zh-CN"/>
                    </w:rPr>
                    <w:t>37.3</w:t>
                  </w:r>
                </w:p>
              </w:tc>
              <w:tc>
                <w:tcPr>
                  <w:tcW w:w="727" w:type="pct"/>
                  <w:tcBorders>
                    <w:tl2br w:val="nil"/>
                    <w:tr2bl w:val="nil"/>
                  </w:tcBorders>
                  <w:vAlign w:val="center"/>
                </w:tcPr>
                <w:p w14:paraId="3B811546">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52.3</w:t>
                  </w:r>
                </w:p>
              </w:tc>
              <w:tc>
                <w:tcPr>
                  <w:tcW w:w="783" w:type="pct"/>
                  <w:tcBorders>
                    <w:tl2br w:val="nil"/>
                    <w:tr2bl w:val="nil"/>
                  </w:tcBorders>
                  <w:vAlign w:val="center"/>
                </w:tcPr>
                <w:p w14:paraId="4DFC9AA7">
                  <w:pPr>
                    <w:widowControl/>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+15</w:t>
                  </w:r>
                </w:p>
              </w:tc>
              <w:tc>
                <w:tcPr>
                  <w:tcW w:w="835" w:type="pct"/>
                  <w:tcBorders>
                    <w:tl2br w:val="nil"/>
                    <w:tr2bl w:val="nil"/>
                  </w:tcBorders>
                  <w:vAlign w:val="center"/>
                </w:tcPr>
                <w:p w14:paraId="42F30815">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5</w:t>
                  </w:r>
                </w:p>
              </w:tc>
              <w:tc>
                <w:tcPr>
                  <w:tcW w:w="915" w:type="pct"/>
                  <w:tcBorders>
                    <w:tl2br w:val="nil"/>
                    <w:tr2bl w:val="nil"/>
                  </w:tcBorders>
                  <w:vAlign w:val="center"/>
                </w:tcPr>
                <w:p w14:paraId="4F5CD120">
                  <w:pPr>
                    <w:jc w:val="center"/>
                    <w:rPr>
                      <w:color w:val="auto"/>
                      <w:szCs w:val="21"/>
                    </w:rPr>
                  </w:pPr>
                  <w:r>
                    <w:rPr>
                      <w:color w:val="auto"/>
                      <w:szCs w:val="21"/>
                    </w:rPr>
                    <w:t>25kg袋装</w:t>
                  </w:r>
                </w:p>
              </w:tc>
            </w:tr>
            <w:tr w14:paraId="4CC8F1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425" w:type="pct"/>
                  <w:tcBorders>
                    <w:tl2br w:val="nil"/>
                    <w:tr2bl w:val="nil"/>
                  </w:tcBorders>
                  <w:vAlign w:val="center"/>
                </w:tcPr>
                <w:p w14:paraId="4B786C26">
                  <w:pPr>
                    <w:adjustRightInd w:val="0"/>
                    <w:snapToGrid w:val="0"/>
                    <w:jc w:val="center"/>
                    <w:rPr>
                      <w:rFonts w:ascii="Times New Roman" w:hAnsi="Times New Roman" w:eastAsia="宋体"/>
                      <w:bCs/>
                      <w:caps w:val="0"/>
                      <w:color w:val="auto"/>
                      <w:szCs w:val="21"/>
                      <w:highlight w:val="none"/>
                    </w:rPr>
                  </w:pPr>
                  <w:r>
                    <w:rPr>
                      <w:rFonts w:hint="eastAsia" w:ascii="Times New Roman" w:hAnsi="Times New Roman" w:eastAsia="宋体"/>
                      <w:bCs/>
                      <w:caps w:val="0"/>
                      <w:color w:val="auto"/>
                      <w:szCs w:val="21"/>
                      <w:highlight w:val="none"/>
                    </w:rPr>
                    <w:t>6</w:t>
                  </w:r>
                </w:p>
              </w:tc>
              <w:tc>
                <w:tcPr>
                  <w:tcW w:w="675" w:type="pct"/>
                  <w:tcBorders>
                    <w:tl2br w:val="nil"/>
                    <w:tr2bl w:val="nil"/>
                  </w:tcBorders>
                  <w:vAlign w:val="center"/>
                </w:tcPr>
                <w:p w14:paraId="403AF374">
                  <w:pPr>
                    <w:jc w:val="center"/>
                    <w:rPr>
                      <w:rFonts w:ascii="Times New Roman" w:hAnsi="Times New Roman" w:eastAsia="宋体"/>
                      <w:caps w:val="0"/>
                      <w:color w:val="auto"/>
                      <w:szCs w:val="21"/>
                      <w:highlight w:val="none"/>
                    </w:rPr>
                  </w:pPr>
                  <w:r>
                    <w:rPr>
                      <w:rFonts w:hint="eastAsia"/>
                      <w:color w:val="auto"/>
                      <w:szCs w:val="21"/>
                    </w:rPr>
                    <w:t>黄铜带</w:t>
                  </w:r>
                </w:p>
              </w:tc>
              <w:tc>
                <w:tcPr>
                  <w:tcW w:w="637" w:type="pct"/>
                  <w:tcBorders>
                    <w:tl2br w:val="nil"/>
                    <w:tr2bl w:val="nil"/>
                  </w:tcBorders>
                  <w:vAlign w:val="center"/>
                </w:tcPr>
                <w:p w14:paraId="7A160B4D">
                  <w:pPr>
                    <w:jc w:val="center"/>
                    <w:rPr>
                      <w:rFonts w:hint="default" w:ascii="Times New Roman" w:hAnsi="Times New Roman" w:eastAsia="宋体" w:cs="Times New Roman"/>
                      <w:caps w:val="0"/>
                      <w:color w:val="auto"/>
                      <w:kern w:val="2"/>
                      <w:sz w:val="21"/>
                      <w:szCs w:val="21"/>
                      <w:highlight w:val="none"/>
                      <w:lang w:val="en-US" w:eastAsia="zh-CN" w:bidi="ar-SA"/>
                    </w:rPr>
                  </w:pPr>
                  <w:r>
                    <w:rPr>
                      <w:color w:val="auto"/>
                      <w:szCs w:val="21"/>
                    </w:rPr>
                    <w:t>220</w:t>
                  </w:r>
                </w:p>
              </w:tc>
              <w:tc>
                <w:tcPr>
                  <w:tcW w:w="727" w:type="pct"/>
                  <w:tcBorders>
                    <w:tl2br w:val="nil"/>
                    <w:tr2bl w:val="nil"/>
                  </w:tcBorders>
                  <w:vAlign w:val="center"/>
                </w:tcPr>
                <w:p w14:paraId="629081A3">
                  <w:pPr>
                    <w:snapToGrid w:val="0"/>
                    <w:ind w:left="-105" w:leftChars="-50" w:right="-105" w:rightChars="-50"/>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420</w:t>
                  </w:r>
                </w:p>
              </w:tc>
              <w:tc>
                <w:tcPr>
                  <w:tcW w:w="783" w:type="pct"/>
                  <w:tcBorders>
                    <w:tl2br w:val="nil"/>
                    <w:tr2bl w:val="nil"/>
                  </w:tcBorders>
                  <w:vAlign w:val="center"/>
                </w:tcPr>
                <w:p w14:paraId="3908B8F1">
                  <w:pPr>
                    <w:snapToGrid w:val="0"/>
                    <w:ind w:left="-105" w:leftChars="-50" w:right="-105" w:rightChars="-50"/>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+200</w:t>
                  </w:r>
                </w:p>
              </w:tc>
              <w:tc>
                <w:tcPr>
                  <w:tcW w:w="835" w:type="pct"/>
                  <w:tcBorders>
                    <w:tl2br w:val="nil"/>
                    <w:tr2bl w:val="nil"/>
                  </w:tcBorders>
                  <w:vAlign w:val="center"/>
                </w:tcPr>
                <w:p w14:paraId="729EF0B4">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20</w:t>
                  </w:r>
                </w:p>
              </w:tc>
              <w:tc>
                <w:tcPr>
                  <w:tcW w:w="915" w:type="pct"/>
                  <w:tcBorders>
                    <w:tl2br w:val="nil"/>
                    <w:tr2bl w:val="nil"/>
                  </w:tcBorders>
                  <w:vAlign w:val="center"/>
                </w:tcPr>
                <w:p w14:paraId="4AD9D3E5">
                  <w:pPr>
                    <w:jc w:val="center"/>
                    <w:rPr>
                      <w:rFonts w:hint="eastAsia"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w:t>
                  </w:r>
                </w:p>
              </w:tc>
            </w:tr>
            <w:tr w14:paraId="0EE469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25" w:type="pct"/>
                  <w:tcBorders>
                    <w:tl2br w:val="nil"/>
                    <w:tr2bl w:val="nil"/>
                  </w:tcBorders>
                  <w:vAlign w:val="center"/>
                </w:tcPr>
                <w:p w14:paraId="040A98DF">
                  <w:pPr>
                    <w:adjustRightInd w:val="0"/>
                    <w:snapToGrid w:val="0"/>
                    <w:jc w:val="center"/>
                    <w:rPr>
                      <w:rFonts w:ascii="Times New Roman" w:hAnsi="Times New Roman" w:eastAsia="宋体"/>
                      <w:bCs/>
                      <w:caps w:val="0"/>
                      <w:color w:val="auto"/>
                      <w:szCs w:val="21"/>
                      <w:highlight w:val="none"/>
                    </w:rPr>
                  </w:pPr>
                  <w:r>
                    <w:rPr>
                      <w:rFonts w:hint="eastAsia" w:ascii="Times New Roman" w:hAnsi="Times New Roman" w:eastAsia="宋体"/>
                      <w:bCs/>
                      <w:caps w:val="0"/>
                      <w:color w:val="auto"/>
                      <w:szCs w:val="21"/>
                      <w:highlight w:val="none"/>
                    </w:rPr>
                    <w:t>7</w:t>
                  </w:r>
                </w:p>
              </w:tc>
              <w:tc>
                <w:tcPr>
                  <w:tcW w:w="675" w:type="pct"/>
                  <w:tcBorders>
                    <w:tl2br w:val="nil"/>
                    <w:tr2bl w:val="nil"/>
                  </w:tcBorders>
                  <w:vAlign w:val="center"/>
                </w:tcPr>
                <w:p w14:paraId="3E1E51B2">
                  <w:pPr>
                    <w:jc w:val="center"/>
                    <w:rPr>
                      <w:rFonts w:ascii="Times New Roman" w:hAnsi="Times New Roman" w:eastAsia="宋体"/>
                      <w:caps w:val="0"/>
                      <w:color w:val="auto"/>
                      <w:szCs w:val="21"/>
                      <w:highlight w:val="none"/>
                    </w:rPr>
                  </w:pPr>
                  <w:r>
                    <w:rPr>
                      <w:rFonts w:hint="eastAsia"/>
                      <w:color w:val="auto"/>
                      <w:szCs w:val="21"/>
                    </w:rPr>
                    <w:t>黄板带</w:t>
                  </w:r>
                </w:p>
              </w:tc>
              <w:tc>
                <w:tcPr>
                  <w:tcW w:w="637" w:type="pct"/>
                  <w:tcBorders>
                    <w:tl2br w:val="nil"/>
                    <w:tr2bl w:val="nil"/>
                  </w:tcBorders>
                  <w:vAlign w:val="center"/>
                </w:tcPr>
                <w:p w14:paraId="5FEA4643">
                  <w:pPr>
                    <w:jc w:val="center"/>
                    <w:rPr>
                      <w:rFonts w:hint="default" w:ascii="Times New Roman" w:hAnsi="Times New Roman" w:eastAsia="宋体" w:cs="Times New Roman"/>
                      <w:caps w:val="0"/>
                      <w:color w:val="auto"/>
                      <w:kern w:val="2"/>
                      <w:sz w:val="21"/>
                      <w:szCs w:val="21"/>
                      <w:highlight w:val="none"/>
                      <w:lang w:val="en-US" w:eastAsia="zh-CN" w:bidi="ar-SA"/>
                    </w:rPr>
                  </w:pPr>
                  <w:r>
                    <w:rPr>
                      <w:color w:val="auto"/>
                      <w:szCs w:val="21"/>
                    </w:rPr>
                    <w:t>150</w:t>
                  </w:r>
                </w:p>
              </w:tc>
              <w:tc>
                <w:tcPr>
                  <w:tcW w:w="727" w:type="pct"/>
                  <w:tcBorders>
                    <w:tl2br w:val="nil"/>
                    <w:tr2bl w:val="nil"/>
                  </w:tcBorders>
                  <w:vAlign w:val="center"/>
                </w:tcPr>
                <w:p w14:paraId="384F583F">
                  <w:pPr>
                    <w:snapToGrid w:val="0"/>
                    <w:ind w:left="-105" w:leftChars="-50" w:right="-105" w:rightChars="-50"/>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250</w:t>
                  </w:r>
                </w:p>
              </w:tc>
              <w:tc>
                <w:tcPr>
                  <w:tcW w:w="783" w:type="pct"/>
                  <w:tcBorders>
                    <w:tl2br w:val="nil"/>
                    <w:tr2bl w:val="nil"/>
                  </w:tcBorders>
                  <w:vAlign w:val="center"/>
                </w:tcPr>
                <w:p w14:paraId="3CCE3FC4">
                  <w:pPr>
                    <w:snapToGrid w:val="0"/>
                    <w:ind w:left="-105" w:leftChars="-50" w:right="-105" w:rightChars="-50"/>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+100</w:t>
                  </w:r>
                </w:p>
              </w:tc>
              <w:tc>
                <w:tcPr>
                  <w:tcW w:w="835" w:type="pct"/>
                  <w:tcBorders>
                    <w:tl2br w:val="nil"/>
                    <w:tr2bl w:val="nil"/>
                  </w:tcBorders>
                  <w:vAlign w:val="center"/>
                </w:tcPr>
                <w:p w14:paraId="022418A3">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25</w:t>
                  </w:r>
                </w:p>
              </w:tc>
              <w:tc>
                <w:tcPr>
                  <w:tcW w:w="915" w:type="pct"/>
                  <w:tcBorders>
                    <w:tl2br w:val="nil"/>
                    <w:tr2bl w:val="nil"/>
                  </w:tcBorders>
                  <w:vAlign w:val="center"/>
                </w:tcPr>
                <w:p w14:paraId="5DF28647">
                  <w:pPr>
                    <w:jc w:val="center"/>
                    <w:rPr>
                      <w:rFonts w:hint="eastAsia"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w:t>
                  </w:r>
                </w:p>
              </w:tc>
            </w:tr>
            <w:tr w14:paraId="1603E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25" w:type="pct"/>
                  <w:tcBorders>
                    <w:tl2br w:val="nil"/>
                    <w:tr2bl w:val="nil"/>
                  </w:tcBorders>
                  <w:vAlign w:val="center"/>
                </w:tcPr>
                <w:p w14:paraId="16CDC4F6">
                  <w:pPr>
                    <w:adjustRightInd w:val="0"/>
                    <w:snapToGrid w:val="0"/>
                    <w:jc w:val="center"/>
                    <w:rPr>
                      <w:rFonts w:ascii="Times New Roman" w:hAnsi="Times New Roman" w:eastAsia="宋体"/>
                      <w:bCs/>
                      <w:caps w:val="0"/>
                      <w:color w:val="auto"/>
                      <w:szCs w:val="21"/>
                      <w:highlight w:val="none"/>
                    </w:rPr>
                  </w:pPr>
                  <w:r>
                    <w:rPr>
                      <w:rFonts w:hint="eastAsia" w:ascii="Times New Roman" w:hAnsi="Times New Roman" w:eastAsia="宋体"/>
                      <w:bCs/>
                      <w:caps w:val="0"/>
                      <w:color w:val="auto"/>
                      <w:szCs w:val="21"/>
                      <w:highlight w:val="none"/>
                    </w:rPr>
                    <w:t>8</w:t>
                  </w:r>
                </w:p>
              </w:tc>
              <w:tc>
                <w:tcPr>
                  <w:tcW w:w="675" w:type="pct"/>
                  <w:tcBorders>
                    <w:tl2br w:val="nil"/>
                    <w:tr2bl w:val="nil"/>
                  </w:tcBorders>
                  <w:vAlign w:val="center"/>
                </w:tcPr>
                <w:p w14:paraId="00E5A2E7">
                  <w:pPr>
                    <w:jc w:val="center"/>
                    <w:rPr>
                      <w:rFonts w:ascii="Times New Roman" w:hAnsi="Times New Roman" w:eastAsia="宋体"/>
                      <w:caps w:val="0"/>
                      <w:color w:val="auto"/>
                      <w:szCs w:val="21"/>
                      <w:highlight w:val="none"/>
                    </w:rPr>
                  </w:pPr>
                  <w:r>
                    <w:rPr>
                      <w:color w:val="auto"/>
                      <w:szCs w:val="21"/>
                    </w:rPr>
                    <w:t>半成品钢板</w:t>
                  </w:r>
                </w:p>
              </w:tc>
              <w:tc>
                <w:tcPr>
                  <w:tcW w:w="637" w:type="pct"/>
                  <w:tcBorders>
                    <w:tl2br w:val="nil"/>
                    <w:tr2bl w:val="nil"/>
                  </w:tcBorders>
                  <w:vAlign w:val="center"/>
                </w:tcPr>
                <w:p w14:paraId="3392CD65">
                  <w:pPr>
                    <w:jc w:val="center"/>
                    <w:rPr>
                      <w:rFonts w:hint="default" w:ascii="Times New Roman" w:hAnsi="Times New Roman" w:eastAsia="宋体" w:cs="Times New Roman"/>
                      <w:caps w:val="0"/>
                      <w:color w:val="auto"/>
                      <w:kern w:val="2"/>
                      <w:sz w:val="21"/>
                      <w:szCs w:val="21"/>
                      <w:highlight w:val="none"/>
                      <w:lang w:val="en-US" w:eastAsia="zh-CN" w:bidi="ar-SA"/>
                    </w:rPr>
                  </w:pPr>
                  <w:r>
                    <w:rPr>
                      <w:color w:val="auto"/>
                      <w:szCs w:val="21"/>
                    </w:rPr>
                    <w:t>1</w:t>
                  </w:r>
                </w:p>
              </w:tc>
              <w:tc>
                <w:tcPr>
                  <w:tcW w:w="727" w:type="pct"/>
                  <w:tcBorders>
                    <w:tl2br w:val="nil"/>
                    <w:tr2bl w:val="nil"/>
                  </w:tcBorders>
                  <w:vAlign w:val="center"/>
                </w:tcPr>
                <w:p w14:paraId="32B6A991">
                  <w:pPr>
                    <w:snapToGrid w:val="0"/>
                    <w:ind w:left="-105" w:leftChars="-50" w:right="-105" w:rightChars="-50"/>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1</w:t>
                  </w:r>
                </w:p>
              </w:tc>
              <w:tc>
                <w:tcPr>
                  <w:tcW w:w="783" w:type="pct"/>
                  <w:tcBorders>
                    <w:tl2br w:val="nil"/>
                    <w:tr2bl w:val="nil"/>
                  </w:tcBorders>
                  <w:vAlign w:val="center"/>
                </w:tcPr>
                <w:p w14:paraId="7D05BDDF">
                  <w:pPr>
                    <w:snapToGrid w:val="0"/>
                    <w:ind w:left="-105" w:leftChars="-50" w:right="-105" w:rightChars="-50"/>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0</w:t>
                  </w:r>
                </w:p>
              </w:tc>
              <w:tc>
                <w:tcPr>
                  <w:tcW w:w="835" w:type="pct"/>
                  <w:tcBorders>
                    <w:tl2br w:val="nil"/>
                    <w:tr2bl w:val="nil"/>
                  </w:tcBorders>
                  <w:vAlign w:val="center"/>
                </w:tcPr>
                <w:p w14:paraId="7125ECDF">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0.5</w:t>
                  </w:r>
                </w:p>
              </w:tc>
              <w:tc>
                <w:tcPr>
                  <w:tcW w:w="915" w:type="pct"/>
                  <w:tcBorders>
                    <w:tl2br w:val="nil"/>
                    <w:tr2bl w:val="nil"/>
                  </w:tcBorders>
                  <w:vAlign w:val="center"/>
                </w:tcPr>
                <w:p w14:paraId="3A39C4FE">
                  <w:pPr>
                    <w:jc w:val="center"/>
                    <w:rPr>
                      <w:rFonts w:hint="eastAsia"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w:t>
                  </w:r>
                </w:p>
              </w:tc>
            </w:tr>
            <w:tr w14:paraId="7C520C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25" w:type="pct"/>
                  <w:tcBorders>
                    <w:tl2br w:val="nil"/>
                    <w:tr2bl w:val="nil"/>
                  </w:tcBorders>
                  <w:vAlign w:val="center"/>
                </w:tcPr>
                <w:p w14:paraId="22DCD5A8">
                  <w:pPr>
                    <w:adjustRightInd w:val="0"/>
                    <w:snapToGrid w:val="0"/>
                    <w:jc w:val="center"/>
                    <w:rPr>
                      <w:rFonts w:ascii="Times New Roman" w:hAnsi="Times New Roman" w:eastAsia="宋体"/>
                      <w:bCs/>
                      <w:caps w:val="0"/>
                      <w:color w:val="auto"/>
                      <w:szCs w:val="21"/>
                      <w:highlight w:val="none"/>
                    </w:rPr>
                  </w:pPr>
                  <w:r>
                    <w:rPr>
                      <w:rFonts w:hint="eastAsia" w:ascii="Times New Roman" w:hAnsi="Times New Roman" w:eastAsia="宋体"/>
                      <w:bCs/>
                      <w:caps w:val="0"/>
                      <w:color w:val="auto"/>
                      <w:szCs w:val="21"/>
                      <w:highlight w:val="none"/>
                    </w:rPr>
                    <w:t>9</w:t>
                  </w:r>
                </w:p>
              </w:tc>
              <w:tc>
                <w:tcPr>
                  <w:tcW w:w="675" w:type="pct"/>
                  <w:tcBorders>
                    <w:tl2br w:val="nil"/>
                    <w:tr2bl w:val="nil"/>
                  </w:tcBorders>
                  <w:vAlign w:val="center"/>
                </w:tcPr>
                <w:p w14:paraId="3E00C26A">
                  <w:pPr>
                    <w:jc w:val="center"/>
                    <w:rPr>
                      <w:rFonts w:ascii="Times New Roman" w:hAnsi="Times New Roman" w:eastAsia="宋体"/>
                      <w:caps w:val="0"/>
                      <w:color w:val="auto"/>
                      <w:szCs w:val="21"/>
                      <w:highlight w:val="none"/>
                    </w:rPr>
                  </w:pPr>
                  <w:r>
                    <w:rPr>
                      <w:rFonts w:hint="eastAsia"/>
                      <w:color w:val="auto"/>
                      <w:szCs w:val="21"/>
                    </w:rPr>
                    <w:t>水性切削液</w:t>
                  </w:r>
                </w:p>
              </w:tc>
              <w:tc>
                <w:tcPr>
                  <w:tcW w:w="637" w:type="pct"/>
                  <w:tcBorders>
                    <w:tl2br w:val="nil"/>
                    <w:tr2bl w:val="nil"/>
                  </w:tcBorders>
                  <w:vAlign w:val="center"/>
                </w:tcPr>
                <w:p w14:paraId="0181D11B">
                  <w:pPr>
                    <w:jc w:val="center"/>
                    <w:rPr>
                      <w:rFonts w:hint="default" w:ascii="Times New Roman" w:hAnsi="Times New Roman" w:eastAsia="宋体" w:cs="Times New Roman"/>
                      <w:caps w:val="0"/>
                      <w:color w:val="auto"/>
                      <w:kern w:val="2"/>
                      <w:sz w:val="21"/>
                      <w:szCs w:val="21"/>
                      <w:highlight w:val="none"/>
                      <w:lang w:val="en-US" w:eastAsia="zh-CN" w:bidi="ar-SA"/>
                    </w:rPr>
                  </w:pPr>
                  <w:r>
                    <w:rPr>
                      <w:color w:val="auto"/>
                      <w:szCs w:val="21"/>
                    </w:rPr>
                    <w:t>0.</w:t>
                  </w:r>
                  <w:r>
                    <w:rPr>
                      <w:rFonts w:hint="eastAsia"/>
                      <w:color w:val="auto"/>
                      <w:szCs w:val="21"/>
                      <w:lang w:val="en-US" w:eastAsia="zh-CN"/>
                    </w:rPr>
                    <w:t>11</w:t>
                  </w:r>
                </w:p>
              </w:tc>
              <w:tc>
                <w:tcPr>
                  <w:tcW w:w="727" w:type="pct"/>
                  <w:tcBorders>
                    <w:tl2br w:val="nil"/>
                    <w:tr2bl w:val="nil"/>
                  </w:tcBorders>
                  <w:vAlign w:val="center"/>
                </w:tcPr>
                <w:p w14:paraId="48245357">
                  <w:pPr>
                    <w:snapToGrid w:val="0"/>
                    <w:ind w:left="-105" w:leftChars="-50" w:right="-105" w:rightChars="-50"/>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0.13</w:t>
                  </w:r>
                </w:p>
              </w:tc>
              <w:tc>
                <w:tcPr>
                  <w:tcW w:w="783" w:type="pct"/>
                  <w:tcBorders>
                    <w:tl2br w:val="nil"/>
                    <w:tr2bl w:val="nil"/>
                  </w:tcBorders>
                  <w:vAlign w:val="center"/>
                </w:tcPr>
                <w:p w14:paraId="4E8A7699">
                  <w:pPr>
                    <w:snapToGrid w:val="0"/>
                    <w:ind w:left="-105" w:leftChars="-50" w:right="-105" w:rightChars="-50"/>
                    <w:jc w:val="center"/>
                    <w:rPr>
                      <w:rFonts w:hint="default"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+0.02</w:t>
                  </w:r>
                </w:p>
              </w:tc>
              <w:tc>
                <w:tcPr>
                  <w:tcW w:w="835" w:type="pct"/>
                  <w:tcBorders>
                    <w:tl2br w:val="nil"/>
                    <w:tr2bl w:val="nil"/>
                  </w:tcBorders>
                  <w:vAlign w:val="center"/>
                </w:tcPr>
                <w:p w14:paraId="3AE46FB0">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0.01</w:t>
                  </w:r>
                </w:p>
              </w:tc>
              <w:tc>
                <w:tcPr>
                  <w:tcW w:w="915" w:type="pct"/>
                  <w:tcBorders>
                    <w:tl2br w:val="nil"/>
                    <w:tr2bl w:val="nil"/>
                  </w:tcBorders>
                  <w:vAlign w:val="center"/>
                </w:tcPr>
                <w:p w14:paraId="32230C70">
                  <w:pPr>
                    <w:jc w:val="center"/>
                    <w:rPr>
                      <w:color w:val="auto"/>
                      <w:szCs w:val="21"/>
                    </w:rPr>
                  </w:pPr>
                  <w:r>
                    <w:rPr>
                      <w:rFonts w:hint="eastAsia"/>
                      <w:color w:val="auto"/>
                      <w:szCs w:val="21"/>
                      <w:lang w:val="en-US" w:eastAsia="zh-CN"/>
                    </w:rPr>
                    <w:t>1</w:t>
                  </w:r>
                  <w:r>
                    <w:rPr>
                      <w:color w:val="auto"/>
                      <w:szCs w:val="21"/>
                    </w:rPr>
                    <w:t>0kg/桶</w:t>
                  </w:r>
                </w:p>
              </w:tc>
            </w:tr>
            <w:tr w14:paraId="34B364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25" w:type="pct"/>
                  <w:tcBorders>
                    <w:tl2br w:val="nil"/>
                    <w:tr2bl w:val="nil"/>
                  </w:tcBorders>
                  <w:vAlign w:val="center"/>
                </w:tcPr>
                <w:p w14:paraId="798A4051">
                  <w:pPr>
                    <w:adjustRightInd w:val="0"/>
                    <w:snapToGrid w:val="0"/>
                    <w:jc w:val="center"/>
                    <w:rPr>
                      <w:rFonts w:ascii="Times New Roman" w:hAnsi="Times New Roman" w:eastAsia="宋体"/>
                      <w:bCs/>
                      <w:caps w:val="0"/>
                      <w:color w:val="auto"/>
                      <w:szCs w:val="21"/>
                      <w:highlight w:val="none"/>
                    </w:rPr>
                  </w:pPr>
                  <w:r>
                    <w:rPr>
                      <w:rFonts w:hint="eastAsia" w:ascii="Times New Roman" w:hAnsi="Times New Roman" w:eastAsia="宋体"/>
                      <w:bCs/>
                      <w:caps w:val="0"/>
                      <w:color w:val="auto"/>
                      <w:szCs w:val="21"/>
                      <w:highlight w:val="none"/>
                    </w:rPr>
                    <w:t>10</w:t>
                  </w:r>
                </w:p>
              </w:tc>
              <w:tc>
                <w:tcPr>
                  <w:tcW w:w="675" w:type="pct"/>
                  <w:tcBorders>
                    <w:tl2br w:val="nil"/>
                    <w:tr2bl w:val="nil"/>
                  </w:tcBorders>
                  <w:vAlign w:val="center"/>
                </w:tcPr>
                <w:p w14:paraId="31982972">
                  <w:pPr>
                    <w:jc w:val="center"/>
                    <w:rPr>
                      <w:rFonts w:hint="eastAsia" w:ascii="Times New Roman" w:hAnsi="Times New Roman" w:eastAsia="宋体"/>
                      <w:caps w:val="0"/>
                      <w:snapToGrid w:val="0"/>
                      <w:color w:val="auto"/>
                      <w:kern w:val="0"/>
                      <w:szCs w:val="21"/>
                      <w:highlight w:val="none"/>
                      <w:lang w:val="en-US" w:eastAsia="zh-CN"/>
                    </w:rPr>
                  </w:pPr>
                  <w:r>
                    <w:rPr>
                      <w:rFonts w:hint="eastAsia"/>
                      <w:color w:val="auto"/>
                      <w:szCs w:val="21"/>
                    </w:rPr>
                    <w:t>润滑油</w:t>
                  </w:r>
                </w:p>
              </w:tc>
              <w:tc>
                <w:tcPr>
                  <w:tcW w:w="637" w:type="pct"/>
                  <w:tcBorders>
                    <w:tl2br w:val="nil"/>
                    <w:tr2bl w:val="nil"/>
                  </w:tcBorders>
                  <w:vAlign w:val="center"/>
                </w:tcPr>
                <w:p w14:paraId="17C9FA0F">
                  <w:pPr>
                    <w:jc w:val="center"/>
                    <w:rPr>
                      <w:rFonts w:hint="default" w:ascii="Times New Roman" w:hAnsi="Times New Roman" w:eastAsia="宋体" w:cs="Times New Roman"/>
                      <w:caps w:val="0"/>
                      <w:snapToGrid w:val="0"/>
                      <w:color w:val="auto"/>
                      <w:kern w:val="0"/>
                      <w:sz w:val="21"/>
                      <w:szCs w:val="21"/>
                      <w:highlight w:val="none"/>
                      <w:lang w:val="en-US" w:eastAsia="zh-CN" w:bidi="ar-SA"/>
                    </w:rPr>
                  </w:pPr>
                  <w:r>
                    <w:rPr>
                      <w:rFonts w:hint="eastAsia"/>
                      <w:color w:val="auto"/>
                      <w:szCs w:val="21"/>
                      <w:lang w:val="en-US" w:eastAsia="zh-CN"/>
                    </w:rPr>
                    <w:t>3.2</w:t>
                  </w:r>
                </w:p>
              </w:tc>
              <w:tc>
                <w:tcPr>
                  <w:tcW w:w="727" w:type="pct"/>
                  <w:tcBorders>
                    <w:tl2br w:val="nil"/>
                    <w:tr2bl w:val="nil"/>
                  </w:tcBorders>
                  <w:vAlign w:val="center"/>
                </w:tcPr>
                <w:p w14:paraId="4AD4C408">
                  <w:pPr>
                    <w:widowControl/>
                    <w:jc w:val="center"/>
                    <w:rPr>
                      <w:rFonts w:hint="default" w:ascii="Times New Roman" w:hAnsi="Times New Roman" w:eastAsia="宋体"/>
                      <w:caps w:val="0"/>
                      <w:snapToGrid w:val="0"/>
                      <w:color w:val="auto"/>
                      <w:kern w:val="0"/>
                      <w:szCs w:val="21"/>
                      <w:highlight w:val="none"/>
                      <w:lang w:val="en-US" w:eastAsia="zh-CN"/>
                    </w:rPr>
                  </w:pPr>
                  <w:r>
                    <w:rPr>
                      <w:rFonts w:hint="eastAsia"/>
                      <w:caps w:val="0"/>
                      <w:snapToGrid w:val="0"/>
                      <w:color w:val="auto"/>
                      <w:kern w:val="0"/>
                      <w:szCs w:val="21"/>
                      <w:highlight w:val="none"/>
                      <w:lang w:val="en-US" w:eastAsia="zh-CN"/>
                    </w:rPr>
                    <w:t>4.7</w:t>
                  </w:r>
                </w:p>
              </w:tc>
              <w:tc>
                <w:tcPr>
                  <w:tcW w:w="783" w:type="pct"/>
                  <w:tcBorders>
                    <w:tl2br w:val="nil"/>
                    <w:tr2bl w:val="nil"/>
                  </w:tcBorders>
                  <w:vAlign w:val="center"/>
                </w:tcPr>
                <w:p w14:paraId="181AA37F">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+1.5</w:t>
                  </w:r>
                </w:p>
              </w:tc>
              <w:tc>
                <w:tcPr>
                  <w:tcW w:w="835" w:type="pct"/>
                  <w:tcBorders>
                    <w:tl2br w:val="nil"/>
                    <w:tr2bl w:val="nil"/>
                  </w:tcBorders>
                  <w:vAlign w:val="center"/>
                </w:tcPr>
                <w:p w14:paraId="25B29B2B">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0.9</w:t>
                  </w:r>
                </w:p>
              </w:tc>
              <w:tc>
                <w:tcPr>
                  <w:tcW w:w="915" w:type="pct"/>
                  <w:tcBorders>
                    <w:tl2br w:val="nil"/>
                    <w:tr2bl w:val="nil"/>
                  </w:tcBorders>
                  <w:vAlign w:val="center"/>
                </w:tcPr>
                <w:p w14:paraId="62841E7F">
                  <w:pPr>
                    <w:jc w:val="center"/>
                    <w:rPr>
                      <w:color w:val="auto"/>
                      <w:szCs w:val="21"/>
                    </w:rPr>
                  </w:pPr>
                  <w:r>
                    <w:rPr>
                      <w:color w:val="auto"/>
                      <w:szCs w:val="21"/>
                    </w:rPr>
                    <w:t>180kg/桶</w:t>
                  </w:r>
                </w:p>
              </w:tc>
            </w:tr>
            <w:tr w14:paraId="1CD141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25" w:type="pct"/>
                  <w:tcBorders>
                    <w:tl2br w:val="nil"/>
                    <w:tr2bl w:val="nil"/>
                  </w:tcBorders>
                  <w:vAlign w:val="center"/>
                </w:tcPr>
                <w:p w14:paraId="3E2662FD">
                  <w:pPr>
                    <w:adjustRightInd w:val="0"/>
                    <w:snapToGrid w:val="0"/>
                    <w:jc w:val="center"/>
                    <w:rPr>
                      <w:rFonts w:ascii="Times New Roman" w:hAnsi="Times New Roman" w:eastAsia="宋体"/>
                      <w:bCs/>
                      <w:caps w:val="0"/>
                      <w:color w:val="auto"/>
                      <w:szCs w:val="21"/>
                      <w:highlight w:val="none"/>
                    </w:rPr>
                  </w:pPr>
                  <w:r>
                    <w:rPr>
                      <w:rFonts w:hint="eastAsia" w:ascii="Times New Roman" w:hAnsi="Times New Roman" w:eastAsia="宋体"/>
                      <w:bCs/>
                      <w:caps w:val="0"/>
                      <w:color w:val="auto"/>
                      <w:szCs w:val="21"/>
                      <w:highlight w:val="none"/>
                    </w:rPr>
                    <w:t>1</w:t>
                  </w:r>
                  <w:r>
                    <w:rPr>
                      <w:rFonts w:ascii="Times New Roman" w:hAnsi="Times New Roman" w:eastAsia="宋体"/>
                      <w:bCs/>
                      <w:caps w:val="0"/>
                      <w:color w:val="auto"/>
                      <w:szCs w:val="21"/>
                      <w:highlight w:val="none"/>
                    </w:rPr>
                    <w:t>1</w:t>
                  </w:r>
                </w:p>
              </w:tc>
              <w:tc>
                <w:tcPr>
                  <w:tcW w:w="675" w:type="pct"/>
                  <w:tcBorders>
                    <w:tl2br w:val="nil"/>
                    <w:tr2bl w:val="nil"/>
                  </w:tcBorders>
                  <w:vAlign w:val="center"/>
                </w:tcPr>
                <w:p w14:paraId="2469E0A4">
                  <w:pPr>
                    <w:jc w:val="center"/>
                    <w:rPr>
                      <w:rFonts w:ascii="Times New Roman" w:hAnsi="Times New Roman" w:eastAsia="宋体"/>
                      <w:caps w:val="0"/>
                      <w:snapToGrid w:val="0"/>
                      <w:color w:val="auto"/>
                      <w:kern w:val="0"/>
                      <w:szCs w:val="21"/>
                      <w:highlight w:val="none"/>
                    </w:rPr>
                  </w:pPr>
                  <w:r>
                    <w:rPr>
                      <w:rFonts w:hint="eastAsia"/>
                      <w:color w:val="auto"/>
                      <w:szCs w:val="21"/>
                    </w:rPr>
                    <w:t>电线</w:t>
                  </w:r>
                </w:p>
              </w:tc>
              <w:tc>
                <w:tcPr>
                  <w:tcW w:w="637" w:type="pct"/>
                  <w:tcBorders>
                    <w:tl2br w:val="nil"/>
                    <w:tr2bl w:val="nil"/>
                  </w:tcBorders>
                  <w:vAlign w:val="center"/>
                </w:tcPr>
                <w:p w14:paraId="24A495FF">
                  <w:pPr>
                    <w:jc w:val="center"/>
                    <w:rPr>
                      <w:rFonts w:hint="default" w:ascii="Times New Roman" w:hAnsi="Times New Roman" w:eastAsia="宋体" w:cs="Times New Roman"/>
                      <w:caps w:val="0"/>
                      <w:snapToGrid w:val="0"/>
                      <w:color w:val="auto"/>
                      <w:kern w:val="0"/>
                      <w:sz w:val="21"/>
                      <w:szCs w:val="21"/>
                      <w:highlight w:val="none"/>
                      <w:lang w:val="en-US" w:eastAsia="zh-CN" w:bidi="ar-SA"/>
                    </w:rPr>
                  </w:pPr>
                  <w:r>
                    <w:rPr>
                      <w:rFonts w:hint="eastAsia"/>
                      <w:color w:val="auto"/>
                      <w:szCs w:val="21"/>
                      <w:lang w:val="en-US" w:eastAsia="zh-CN"/>
                    </w:rPr>
                    <w:t>5.2</w:t>
                  </w:r>
                </w:p>
              </w:tc>
              <w:tc>
                <w:tcPr>
                  <w:tcW w:w="727" w:type="pct"/>
                  <w:tcBorders>
                    <w:tl2br w:val="nil"/>
                    <w:tr2bl w:val="nil"/>
                  </w:tcBorders>
                  <w:vAlign w:val="center"/>
                </w:tcPr>
                <w:p w14:paraId="53F9EA6D">
                  <w:pPr>
                    <w:widowControl/>
                    <w:jc w:val="center"/>
                    <w:rPr>
                      <w:rFonts w:hint="default" w:ascii="Times New Roman" w:hAnsi="Times New Roman" w:eastAsia="宋体"/>
                      <w:caps w:val="0"/>
                      <w:snapToGrid w:val="0"/>
                      <w:color w:val="auto"/>
                      <w:kern w:val="0"/>
                      <w:szCs w:val="21"/>
                      <w:highlight w:val="none"/>
                      <w:lang w:val="en-US" w:eastAsia="zh-CN"/>
                    </w:rPr>
                  </w:pPr>
                  <w:r>
                    <w:rPr>
                      <w:rFonts w:hint="eastAsia"/>
                      <w:caps w:val="0"/>
                      <w:snapToGrid w:val="0"/>
                      <w:color w:val="auto"/>
                      <w:kern w:val="0"/>
                      <w:szCs w:val="21"/>
                      <w:highlight w:val="none"/>
                      <w:lang w:val="en-US" w:eastAsia="zh-CN"/>
                    </w:rPr>
                    <w:t>85.2</w:t>
                  </w:r>
                </w:p>
              </w:tc>
              <w:tc>
                <w:tcPr>
                  <w:tcW w:w="783" w:type="pct"/>
                  <w:tcBorders>
                    <w:tl2br w:val="nil"/>
                    <w:tr2bl w:val="nil"/>
                  </w:tcBorders>
                  <w:vAlign w:val="center"/>
                </w:tcPr>
                <w:p w14:paraId="4F3653DA">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+80</w:t>
                  </w:r>
                </w:p>
              </w:tc>
              <w:tc>
                <w:tcPr>
                  <w:tcW w:w="835" w:type="pct"/>
                  <w:tcBorders>
                    <w:tl2br w:val="nil"/>
                    <w:tr2bl w:val="nil"/>
                  </w:tcBorders>
                  <w:vAlign w:val="center"/>
                </w:tcPr>
                <w:p w14:paraId="6E145E08">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20</w:t>
                  </w:r>
                </w:p>
              </w:tc>
              <w:tc>
                <w:tcPr>
                  <w:tcW w:w="915" w:type="pct"/>
                  <w:tcBorders>
                    <w:tl2br w:val="nil"/>
                    <w:tr2bl w:val="nil"/>
                  </w:tcBorders>
                  <w:vAlign w:val="center"/>
                </w:tcPr>
                <w:p w14:paraId="12294E09">
                  <w:pPr>
                    <w:jc w:val="center"/>
                    <w:rPr>
                      <w:color w:val="auto"/>
                      <w:szCs w:val="21"/>
                    </w:rPr>
                  </w:pPr>
                  <w:r>
                    <w:rPr>
                      <w:color w:val="auto"/>
                      <w:szCs w:val="21"/>
                    </w:rPr>
                    <w:t>捆装</w:t>
                  </w:r>
                </w:p>
              </w:tc>
            </w:tr>
            <w:tr w14:paraId="2ED160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25" w:type="pct"/>
                  <w:tcBorders>
                    <w:tl2br w:val="nil"/>
                    <w:tr2bl w:val="nil"/>
                  </w:tcBorders>
                  <w:vAlign w:val="center"/>
                </w:tcPr>
                <w:p w14:paraId="5F3315A1">
                  <w:pPr>
                    <w:adjustRightInd w:val="0"/>
                    <w:snapToGrid w:val="0"/>
                    <w:jc w:val="center"/>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12</w:t>
                  </w:r>
                </w:p>
              </w:tc>
              <w:tc>
                <w:tcPr>
                  <w:tcW w:w="675" w:type="pct"/>
                  <w:tcBorders>
                    <w:tl2br w:val="nil"/>
                    <w:tr2bl w:val="nil"/>
                  </w:tcBorders>
                  <w:vAlign w:val="center"/>
                </w:tcPr>
                <w:p w14:paraId="05D9C339">
                  <w:pPr>
                    <w:snapToGrid w:val="0"/>
                    <w:ind w:left="-105" w:leftChars="-50" w:right="-105" w:rightChars="-50"/>
                    <w:jc w:val="center"/>
                    <w:rPr>
                      <w:rFonts w:ascii="Times New Roman" w:hAnsi="Times New Roman" w:eastAsia="宋体" w:cs="Times New Roman"/>
                      <w:caps w:val="0"/>
                      <w:color w:val="auto"/>
                      <w:kern w:val="2"/>
                      <w:sz w:val="21"/>
                      <w:szCs w:val="21"/>
                      <w:highlight w:val="none"/>
                      <w:lang w:val="en-US" w:eastAsia="zh-CN" w:bidi="ar-SA"/>
                    </w:rPr>
                  </w:pPr>
                  <w:r>
                    <w:rPr>
                      <w:rFonts w:ascii="Times New Roman" w:hAnsi="Times New Roman" w:eastAsia="宋体"/>
                      <w:caps w:val="0"/>
                      <w:snapToGrid w:val="0"/>
                      <w:color w:val="auto"/>
                      <w:kern w:val="0"/>
                      <w:szCs w:val="21"/>
                      <w:highlight w:val="none"/>
                    </w:rPr>
                    <w:t>水</w:t>
                  </w:r>
                </w:p>
              </w:tc>
              <w:tc>
                <w:tcPr>
                  <w:tcW w:w="637" w:type="pct"/>
                  <w:tcBorders>
                    <w:tl2br w:val="nil"/>
                    <w:tr2bl w:val="nil"/>
                  </w:tcBorders>
                  <w:vAlign w:val="center"/>
                </w:tcPr>
                <w:p w14:paraId="30D3A7B5">
                  <w:pPr>
                    <w:snapToGrid w:val="0"/>
                    <w:ind w:left="-105" w:leftChars="-50" w:right="-105" w:rightChars="-50"/>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15962.2</w:t>
                  </w:r>
                </w:p>
              </w:tc>
              <w:tc>
                <w:tcPr>
                  <w:tcW w:w="727" w:type="pct"/>
                  <w:tcBorders>
                    <w:tl2br w:val="nil"/>
                    <w:tr2bl w:val="nil"/>
                  </w:tcBorders>
                  <w:vAlign w:val="center"/>
                </w:tcPr>
                <w:p w14:paraId="6CE4562D">
                  <w:pPr>
                    <w:tabs>
                      <w:tab w:val="left" w:pos="924"/>
                    </w:tabs>
                    <w:ind w:left="-105" w:leftChars="-50" w:right="-105" w:rightChars="-50"/>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21801.8</w:t>
                  </w:r>
                </w:p>
              </w:tc>
              <w:tc>
                <w:tcPr>
                  <w:tcW w:w="783" w:type="pct"/>
                  <w:tcBorders>
                    <w:tl2br w:val="nil"/>
                    <w:tr2bl w:val="nil"/>
                  </w:tcBorders>
                  <w:vAlign w:val="center"/>
                </w:tcPr>
                <w:p w14:paraId="28673185">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+5839.6</w:t>
                  </w:r>
                </w:p>
              </w:tc>
              <w:tc>
                <w:tcPr>
                  <w:tcW w:w="835" w:type="pct"/>
                  <w:tcBorders>
                    <w:tl2br w:val="nil"/>
                    <w:tr2bl w:val="nil"/>
                  </w:tcBorders>
                  <w:vAlign w:val="center"/>
                </w:tcPr>
                <w:p w14:paraId="70E88385">
                  <w:pPr>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w:t>
                  </w:r>
                </w:p>
              </w:tc>
              <w:tc>
                <w:tcPr>
                  <w:tcW w:w="915" w:type="pct"/>
                  <w:tcBorders>
                    <w:tl2br w:val="nil"/>
                    <w:tr2bl w:val="nil"/>
                  </w:tcBorders>
                  <w:vAlign w:val="center"/>
                </w:tcPr>
                <w:p w14:paraId="66DCBDE1">
                  <w:pPr>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w:t>
                  </w:r>
                </w:p>
              </w:tc>
            </w:tr>
            <w:tr w14:paraId="0455A9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25" w:type="pct"/>
                  <w:tcBorders>
                    <w:tl2br w:val="nil"/>
                    <w:tr2bl w:val="nil"/>
                  </w:tcBorders>
                  <w:vAlign w:val="center"/>
                </w:tcPr>
                <w:p w14:paraId="4BDA19B8">
                  <w:pPr>
                    <w:adjustRightInd w:val="0"/>
                    <w:snapToGrid w:val="0"/>
                    <w:jc w:val="center"/>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13</w:t>
                  </w:r>
                </w:p>
              </w:tc>
              <w:tc>
                <w:tcPr>
                  <w:tcW w:w="675" w:type="pct"/>
                  <w:tcBorders>
                    <w:tl2br w:val="nil"/>
                    <w:tr2bl w:val="nil"/>
                  </w:tcBorders>
                  <w:vAlign w:val="center"/>
                </w:tcPr>
                <w:p w14:paraId="0EED1990">
                  <w:pPr>
                    <w:tabs>
                      <w:tab w:val="left" w:pos="924"/>
                    </w:tabs>
                    <w:ind w:left="-105" w:leftChars="-50" w:right="-105" w:rightChars="-50"/>
                    <w:jc w:val="center"/>
                    <w:rPr>
                      <w:rFonts w:ascii="Times New Roman" w:hAnsi="Times New Roman" w:eastAsia="宋体" w:cs="Times New Roman"/>
                      <w:caps w:val="0"/>
                      <w:color w:val="auto"/>
                      <w:kern w:val="2"/>
                      <w:sz w:val="21"/>
                      <w:szCs w:val="21"/>
                      <w:highlight w:val="none"/>
                      <w:lang w:val="en-US" w:eastAsia="zh-CN" w:bidi="ar-SA"/>
                    </w:rPr>
                  </w:pPr>
                  <w:r>
                    <w:rPr>
                      <w:rFonts w:ascii="Times New Roman" w:hAnsi="Times New Roman" w:eastAsia="宋体"/>
                      <w:caps w:val="0"/>
                      <w:color w:val="auto"/>
                      <w:szCs w:val="21"/>
                      <w:highlight w:val="none"/>
                    </w:rPr>
                    <w:t>电</w:t>
                  </w:r>
                </w:p>
              </w:tc>
              <w:tc>
                <w:tcPr>
                  <w:tcW w:w="637" w:type="pct"/>
                  <w:tcBorders>
                    <w:tl2br w:val="nil"/>
                    <w:tr2bl w:val="nil"/>
                  </w:tcBorders>
                  <w:vAlign w:val="center"/>
                </w:tcPr>
                <w:p w14:paraId="20D8F9CF">
                  <w:pPr>
                    <w:tabs>
                      <w:tab w:val="left" w:pos="924"/>
                    </w:tabs>
                    <w:ind w:left="-105" w:leftChars="-50" w:right="-105" w:rightChars="-50"/>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170kWh</w:t>
                  </w:r>
                </w:p>
              </w:tc>
              <w:tc>
                <w:tcPr>
                  <w:tcW w:w="727" w:type="pct"/>
                  <w:tcBorders>
                    <w:tl2br w:val="nil"/>
                    <w:tr2bl w:val="nil"/>
                  </w:tcBorders>
                  <w:vAlign w:val="center"/>
                </w:tcPr>
                <w:p w14:paraId="3F5D2182">
                  <w:pPr>
                    <w:tabs>
                      <w:tab w:val="left" w:pos="924"/>
                    </w:tabs>
                    <w:ind w:left="-105" w:leftChars="-50" w:right="-105" w:rightChars="-50"/>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190</w:t>
                  </w:r>
                  <w:r>
                    <w:rPr>
                      <w:rFonts w:hint="eastAsia" w:cs="Times New Roman"/>
                      <w:caps w:val="0"/>
                      <w:color w:val="auto"/>
                      <w:kern w:val="2"/>
                      <w:sz w:val="21"/>
                      <w:szCs w:val="21"/>
                      <w:highlight w:val="none"/>
                      <w:lang w:val="en-US" w:eastAsia="zh-CN" w:bidi="ar-SA"/>
                    </w:rPr>
                    <w:t>kWh</w:t>
                  </w:r>
                </w:p>
              </w:tc>
              <w:tc>
                <w:tcPr>
                  <w:tcW w:w="783" w:type="pct"/>
                  <w:tcBorders>
                    <w:tl2br w:val="nil"/>
                    <w:tr2bl w:val="nil"/>
                  </w:tcBorders>
                  <w:vAlign w:val="center"/>
                </w:tcPr>
                <w:p w14:paraId="385AD151">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+20</w:t>
                  </w:r>
                  <w:r>
                    <w:rPr>
                      <w:rFonts w:hint="eastAsia" w:cs="Times New Roman"/>
                      <w:caps w:val="0"/>
                      <w:color w:val="auto"/>
                      <w:kern w:val="2"/>
                      <w:sz w:val="21"/>
                      <w:szCs w:val="21"/>
                      <w:highlight w:val="none"/>
                      <w:lang w:val="en-US" w:eastAsia="zh-CN" w:bidi="ar-SA"/>
                    </w:rPr>
                    <w:t>kWh</w:t>
                  </w:r>
                </w:p>
              </w:tc>
              <w:tc>
                <w:tcPr>
                  <w:tcW w:w="835" w:type="pct"/>
                  <w:tcBorders>
                    <w:tl2br w:val="nil"/>
                    <w:tr2bl w:val="nil"/>
                  </w:tcBorders>
                  <w:vAlign w:val="center"/>
                </w:tcPr>
                <w:p w14:paraId="6EF1F28E">
                  <w:pPr>
                    <w:jc w:val="center"/>
                    <w:rPr>
                      <w:rFonts w:hint="eastAsia" w:ascii="Times New Roman" w:hAnsi="Times New Roman" w:eastAsia="宋体" w:cs="Times New Roman"/>
                      <w:caps w:val="0"/>
                      <w:color w:val="auto"/>
                      <w:kern w:val="2"/>
                      <w:sz w:val="21"/>
                      <w:szCs w:val="21"/>
                      <w:highlight w:val="none"/>
                      <w:lang w:val="en-US" w:eastAsia="zh-CN" w:bidi="ar-SA"/>
                    </w:rPr>
                  </w:pPr>
                  <w:r>
                    <w:rPr>
                      <w:rFonts w:hint="eastAsia" w:ascii="Times New Roman" w:hAnsi="Times New Roman" w:eastAsia="宋体"/>
                      <w:caps w:val="0"/>
                      <w:color w:val="auto"/>
                      <w:szCs w:val="21"/>
                      <w:highlight w:val="none"/>
                    </w:rPr>
                    <w:t>/</w:t>
                  </w:r>
                </w:p>
              </w:tc>
              <w:tc>
                <w:tcPr>
                  <w:tcW w:w="915" w:type="pct"/>
                  <w:tcBorders>
                    <w:tl2br w:val="nil"/>
                    <w:tr2bl w:val="nil"/>
                  </w:tcBorders>
                  <w:vAlign w:val="center"/>
                </w:tcPr>
                <w:p w14:paraId="0B379ECF">
                  <w:pPr>
                    <w:jc w:val="center"/>
                    <w:rPr>
                      <w:rFonts w:hint="eastAsia" w:ascii="Times New Roman" w:hAnsi="Times New Roman" w:eastAsia="宋体" w:cs="Times New Roman"/>
                      <w:caps w:val="0"/>
                      <w:color w:val="auto"/>
                      <w:kern w:val="2"/>
                      <w:sz w:val="21"/>
                      <w:szCs w:val="21"/>
                      <w:highlight w:val="none"/>
                      <w:lang w:val="en-US" w:eastAsia="zh-CN" w:bidi="ar-SA"/>
                    </w:rPr>
                  </w:pPr>
                  <w:r>
                    <w:rPr>
                      <w:rFonts w:hint="eastAsia" w:ascii="Times New Roman" w:hAnsi="Times New Roman" w:eastAsia="宋体"/>
                      <w:caps w:val="0"/>
                      <w:color w:val="auto"/>
                      <w:szCs w:val="21"/>
                      <w:highlight w:val="none"/>
                    </w:rPr>
                    <w:t>/</w:t>
                  </w:r>
                </w:p>
              </w:tc>
            </w:tr>
          </w:tbl>
          <w:p w14:paraId="4A6807F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hAnsi="Times New Roman" w:eastAsia="宋体"/>
                <w:b/>
                <w:bCs/>
                <w:caps w:val="0"/>
                <w:color w:val="auto"/>
                <w:sz w:val="24"/>
                <w:szCs w:val="20"/>
                <w:highlight w:val="none"/>
              </w:rPr>
            </w:pPr>
            <w:r>
              <w:rPr>
                <w:color w:val="auto"/>
                <w:kern w:val="24"/>
                <w:szCs w:val="21"/>
              </w:rPr>
              <w:t>备注：本项目使用的</w:t>
            </w:r>
            <w:r>
              <w:rPr>
                <w:rFonts w:hint="eastAsia"/>
                <w:color w:val="auto"/>
                <w:kern w:val="24"/>
                <w:szCs w:val="21"/>
                <w:lang w:val="en-US" w:eastAsia="zh-CN"/>
              </w:rPr>
              <w:t>PA66</w:t>
            </w:r>
            <w:r>
              <w:rPr>
                <w:rFonts w:hint="eastAsia"/>
                <w:color w:val="auto"/>
                <w:szCs w:val="21"/>
              </w:rPr>
              <w:t>为新料，非再生塑料。</w:t>
            </w:r>
          </w:p>
          <w:p w14:paraId="313855BA">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b/>
                <w:bCs/>
                <w:caps w:val="0"/>
                <w:color w:val="auto"/>
                <w:sz w:val="24"/>
                <w:szCs w:val="20"/>
                <w:highlight w:val="none"/>
              </w:rPr>
            </w:pPr>
            <w:r>
              <w:rPr>
                <w:rFonts w:ascii="Times New Roman" w:hAnsi="Times New Roman" w:eastAsia="宋体"/>
                <w:b/>
                <w:bCs/>
                <w:caps w:val="0"/>
                <w:color w:val="auto"/>
                <w:sz w:val="24"/>
                <w:szCs w:val="20"/>
                <w:highlight w:val="none"/>
              </w:rPr>
              <w:t>主要原辅料理化性质：</w:t>
            </w:r>
          </w:p>
          <w:p w14:paraId="2A357C0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eastAsia="宋体"/>
                <w:b/>
                <w:caps w:val="0"/>
                <w:color w:val="auto"/>
                <w:sz w:val="24"/>
                <w:highlight w:val="none"/>
              </w:rPr>
            </w:pPr>
            <w:r>
              <w:rPr>
                <w:rFonts w:ascii="Times New Roman" w:hAnsi="Times New Roman" w:eastAsia="宋体"/>
                <w:b/>
                <w:caps w:val="0"/>
                <w:color w:val="auto"/>
                <w:sz w:val="24"/>
                <w:highlight w:val="none"/>
              </w:rPr>
              <w:t>表2-</w:t>
            </w:r>
            <w:r>
              <w:rPr>
                <w:rFonts w:hint="eastAsia"/>
                <w:b/>
                <w:caps w:val="0"/>
                <w:color w:val="auto"/>
                <w:sz w:val="24"/>
                <w:highlight w:val="none"/>
                <w:lang w:val="en-US" w:eastAsia="zh-CN"/>
              </w:rPr>
              <w:t>7</w:t>
            </w:r>
            <w:r>
              <w:rPr>
                <w:rFonts w:ascii="Times New Roman" w:hAnsi="Times New Roman" w:eastAsia="宋体"/>
                <w:b/>
                <w:caps w:val="0"/>
                <w:color w:val="auto"/>
                <w:sz w:val="24"/>
                <w:highlight w:val="none"/>
              </w:rPr>
              <w:t xml:space="preserve">  主要化学品成分一览表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6645"/>
            </w:tblGrid>
            <w:tr w14:paraId="772C61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786" w:type="pct"/>
                  <w:tcBorders>
                    <w:tl2br w:val="nil"/>
                    <w:tr2bl w:val="nil"/>
                  </w:tcBorders>
                  <w:vAlign w:val="center"/>
                </w:tcPr>
                <w:p w14:paraId="199138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auto"/>
                      <w:szCs w:val="21"/>
                    </w:rPr>
                  </w:pPr>
                  <w:r>
                    <w:rPr>
                      <w:rFonts w:hint="eastAsia"/>
                      <w:b/>
                      <w:color w:val="auto"/>
                      <w:szCs w:val="21"/>
                    </w:rPr>
                    <w:t>原辅料名称</w:t>
                  </w:r>
                </w:p>
              </w:tc>
              <w:tc>
                <w:tcPr>
                  <w:tcW w:w="4213" w:type="pct"/>
                  <w:tcBorders>
                    <w:tl2br w:val="nil"/>
                    <w:tr2bl w:val="nil"/>
                  </w:tcBorders>
                  <w:vAlign w:val="center"/>
                </w:tcPr>
                <w:p w14:paraId="732F4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auto"/>
                      <w:szCs w:val="21"/>
                    </w:rPr>
                  </w:pPr>
                  <w:r>
                    <w:rPr>
                      <w:rFonts w:hint="eastAsia"/>
                      <w:b/>
                      <w:color w:val="auto"/>
                      <w:szCs w:val="21"/>
                    </w:rPr>
                    <w:t>理化性质</w:t>
                  </w:r>
                </w:p>
              </w:tc>
            </w:tr>
            <w:tr w14:paraId="3C3A2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786" w:type="pct"/>
                  <w:tcBorders>
                    <w:tl2br w:val="nil"/>
                    <w:tr2bl w:val="nil"/>
                  </w:tcBorders>
                  <w:vAlign w:val="center"/>
                </w:tcPr>
                <w:p w14:paraId="3530C74C">
                  <w:pPr>
                    <w:jc w:val="center"/>
                    <w:rPr>
                      <w:rFonts w:hint="default" w:eastAsia="宋体"/>
                      <w:color w:val="auto"/>
                      <w:szCs w:val="21"/>
                      <w:lang w:val="en-US" w:eastAsia="zh-CN"/>
                    </w:rPr>
                  </w:pPr>
                  <w:r>
                    <w:rPr>
                      <w:rFonts w:hint="eastAsia"/>
                      <w:color w:val="auto"/>
                      <w:szCs w:val="21"/>
                      <w:lang w:val="en-US" w:eastAsia="zh-CN"/>
                    </w:rPr>
                    <w:t>PA66</w:t>
                  </w:r>
                </w:p>
              </w:tc>
              <w:tc>
                <w:tcPr>
                  <w:tcW w:w="4213" w:type="pct"/>
                  <w:tcBorders>
                    <w:tl2br w:val="nil"/>
                    <w:tr2bl w:val="nil"/>
                  </w:tcBorders>
                  <w:vAlign w:val="center"/>
                </w:tcPr>
                <w:p w14:paraId="019BD12B">
                  <w:pPr>
                    <w:rPr>
                      <w:color w:val="auto"/>
                      <w:kern w:val="24"/>
                      <w:szCs w:val="21"/>
                    </w:rPr>
                  </w:pPr>
                  <w:r>
                    <w:rPr>
                      <w:rFonts w:hint="eastAsia"/>
                      <w:color w:val="auto"/>
                      <w:kern w:val="24"/>
                      <w:szCs w:val="21"/>
                    </w:rPr>
                    <w:t>PA66（聚酰胺66或尼龙66）是一种热塑性树脂，一般是由己二酸和己二胺缩聚制的。不溶于一般溶剂，仅溶于间苯甲酚等</w:t>
                  </w:r>
                  <w:r>
                    <w:rPr>
                      <w:rFonts w:hint="eastAsia"/>
                      <w:color w:val="auto"/>
                      <w:kern w:val="24"/>
                      <w:szCs w:val="21"/>
                      <w:lang w:eastAsia="zh-CN"/>
                    </w:rPr>
                    <w:t>，</w:t>
                  </w:r>
                  <w:r>
                    <w:rPr>
                      <w:rFonts w:hint="eastAsia"/>
                      <w:color w:val="auto"/>
                      <w:kern w:val="24"/>
                      <w:szCs w:val="21"/>
                    </w:rPr>
                    <w:t>CAS编号：32131-17-2</w:t>
                  </w:r>
                  <w:r>
                    <w:rPr>
                      <w:rFonts w:hint="eastAsia"/>
                      <w:color w:val="auto"/>
                      <w:kern w:val="24"/>
                      <w:szCs w:val="21"/>
                      <w:lang w:eastAsia="zh-CN"/>
                    </w:rPr>
                    <w:t>，</w:t>
                  </w:r>
                  <w:r>
                    <w:rPr>
                      <w:rFonts w:hint="eastAsia"/>
                      <w:color w:val="auto"/>
                      <w:kern w:val="24"/>
                      <w:szCs w:val="21"/>
                    </w:rPr>
                    <w:t>PA66塑胶原料为半透明或不透明乳白包或带黄色颗粒状结晶形聚合物，具有可塑性。密度（g/cm</w:t>
                  </w:r>
                  <w:r>
                    <w:rPr>
                      <w:rFonts w:hint="eastAsia"/>
                      <w:color w:val="auto"/>
                      <w:kern w:val="24"/>
                      <w:szCs w:val="21"/>
                      <w:vertAlign w:val="superscript"/>
                    </w:rPr>
                    <w:t>3</w:t>
                  </w:r>
                  <w:r>
                    <w:rPr>
                      <w:rFonts w:hint="eastAsia"/>
                      <w:color w:val="auto"/>
                      <w:kern w:val="24"/>
                      <w:szCs w:val="21"/>
                    </w:rPr>
                    <w:t>） 1．10-1．14；拉伸强度</w:t>
                  </w:r>
                  <w:r>
                    <w:rPr>
                      <w:rFonts w:hint="eastAsia"/>
                      <w:color w:val="auto"/>
                      <w:kern w:val="24"/>
                      <w:szCs w:val="21"/>
                      <w:lang w:eastAsia="zh-CN"/>
                    </w:rPr>
                    <w:t>（</w:t>
                  </w:r>
                  <w:r>
                    <w:rPr>
                      <w:rFonts w:hint="eastAsia"/>
                      <w:color w:val="auto"/>
                      <w:kern w:val="24"/>
                      <w:szCs w:val="21"/>
                    </w:rPr>
                    <w:t>MPa</w:t>
                  </w:r>
                  <w:r>
                    <w:rPr>
                      <w:rFonts w:hint="eastAsia"/>
                      <w:color w:val="auto"/>
                      <w:kern w:val="24"/>
                      <w:szCs w:val="21"/>
                      <w:lang w:eastAsia="zh-CN"/>
                    </w:rPr>
                    <w:t>）</w:t>
                  </w:r>
                  <w:r>
                    <w:rPr>
                      <w:rFonts w:hint="eastAsia"/>
                      <w:color w:val="auto"/>
                      <w:kern w:val="24"/>
                      <w:szCs w:val="21"/>
                    </w:rPr>
                    <w:t xml:space="preserve"> 60. 0-80．0；洛氏硬度118；熔点252℃；脆化温度-30℃；热分解温度大于350℃；连续耐热80-120℃；冲击强度（kJ/m</w:t>
                  </w:r>
                  <w:r>
                    <w:rPr>
                      <w:rFonts w:hint="eastAsia"/>
                      <w:color w:val="auto"/>
                      <w:kern w:val="24"/>
                      <w:szCs w:val="21"/>
                      <w:vertAlign w:val="superscript"/>
                    </w:rPr>
                    <w:t>2</w:t>
                  </w:r>
                  <w:r>
                    <w:rPr>
                      <w:rFonts w:hint="eastAsia"/>
                      <w:color w:val="auto"/>
                      <w:kern w:val="24"/>
                      <w:szCs w:val="21"/>
                    </w:rPr>
                    <w:t>） 60-100；静弯曲强度</w:t>
                  </w:r>
                  <w:r>
                    <w:rPr>
                      <w:rFonts w:hint="eastAsia"/>
                      <w:color w:val="auto"/>
                      <w:kern w:val="24"/>
                      <w:szCs w:val="21"/>
                      <w:lang w:eastAsia="zh-CN"/>
                    </w:rPr>
                    <w:t>（</w:t>
                  </w:r>
                  <w:r>
                    <w:rPr>
                      <w:rFonts w:hint="eastAsia"/>
                      <w:color w:val="auto"/>
                      <w:kern w:val="24"/>
                      <w:szCs w:val="21"/>
                    </w:rPr>
                    <w:t>MPa</w:t>
                  </w:r>
                  <w:r>
                    <w:rPr>
                      <w:rFonts w:hint="eastAsia"/>
                      <w:color w:val="auto"/>
                      <w:kern w:val="24"/>
                      <w:szCs w:val="21"/>
                      <w:lang w:eastAsia="zh-CN"/>
                    </w:rPr>
                    <w:t>）</w:t>
                  </w:r>
                  <w:r>
                    <w:rPr>
                      <w:rFonts w:hint="eastAsia"/>
                      <w:color w:val="auto"/>
                      <w:kern w:val="24"/>
                      <w:szCs w:val="21"/>
                    </w:rPr>
                    <w:t xml:space="preserve"> 1 00-120；马丁耐热</w:t>
                  </w:r>
                  <w:r>
                    <w:rPr>
                      <w:rFonts w:hint="eastAsia"/>
                      <w:color w:val="auto"/>
                      <w:kern w:val="24"/>
                      <w:szCs w:val="21"/>
                      <w:lang w:eastAsia="zh-CN"/>
                    </w:rPr>
                    <w:t>（</w:t>
                  </w:r>
                  <w:r>
                    <w:rPr>
                      <w:rFonts w:hint="eastAsia"/>
                      <w:color w:val="auto"/>
                      <w:kern w:val="24"/>
                      <w:szCs w:val="21"/>
                    </w:rPr>
                    <w:t>℃</w:t>
                  </w:r>
                  <w:r>
                    <w:rPr>
                      <w:rFonts w:hint="eastAsia"/>
                      <w:color w:val="auto"/>
                      <w:kern w:val="24"/>
                      <w:szCs w:val="21"/>
                      <w:lang w:eastAsia="zh-CN"/>
                    </w:rPr>
                    <w:t>）</w:t>
                  </w:r>
                  <w:r>
                    <w:rPr>
                      <w:rFonts w:hint="eastAsia"/>
                      <w:color w:val="auto"/>
                      <w:kern w:val="24"/>
                      <w:szCs w:val="21"/>
                    </w:rPr>
                    <w:t xml:space="preserve"> 50-60；弯曲弹性模量 </w:t>
                  </w:r>
                  <w:r>
                    <w:rPr>
                      <w:rFonts w:hint="eastAsia"/>
                      <w:color w:val="auto"/>
                      <w:kern w:val="24"/>
                      <w:szCs w:val="21"/>
                      <w:lang w:eastAsia="zh-CN"/>
                    </w:rPr>
                    <w:t>（</w:t>
                  </w:r>
                  <w:r>
                    <w:rPr>
                      <w:rFonts w:hint="eastAsia"/>
                      <w:color w:val="auto"/>
                      <w:kern w:val="24"/>
                      <w:szCs w:val="21"/>
                    </w:rPr>
                    <w:t>MPa</w:t>
                  </w:r>
                  <w:r>
                    <w:rPr>
                      <w:rFonts w:hint="eastAsia"/>
                      <w:color w:val="auto"/>
                      <w:kern w:val="24"/>
                      <w:szCs w:val="21"/>
                      <w:lang w:eastAsia="zh-CN"/>
                    </w:rPr>
                    <w:t>）</w:t>
                  </w:r>
                  <w:r>
                    <w:rPr>
                      <w:rFonts w:hint="eastAsia"/>
                      <w:color w:val="auto"/>
                      <w:kern w:val="24"/>
                      <w:szCs w:val="21"/>
                    </w:rPr>
                    <w:t xml:space="preserve"> 2000～3000；体积电阻率（Ωcm）1.83×1015；平衡吸水率</w:t>
                  </w:r>
                  <w:r>
                    <w:rPr>
                      <w:rFonts w:hint="eastAsia"/>
                      <w:color w:val="auto"/>
                      <w:kern w:val="24"/>
                      <w:szCs w:val="21"/>
                      <w:lang w:val="en-US" w:eastAsia="zh-CN"/>
                    </w:rPr>
                    <w:t>2.5</w:t>
                  </w:r>
                  <w:r>
                    <w:rPr>
                      <w:rFonts w:hint="eastAsia"/>
                      <w:color w:val="auto"/>
                      <w:kern w:val="24"/>
                      <w:szCs w:val="21"/>
                    </w:rPr>
                    <w:t>%；介电常数</w:t>
                  </w:r>
                  <w:r>
                    <w:rPr>
                      <w:rFonts w:hint="eastAsia"/>
                      <w:color w:val="auto"/>
                      <w:kern w:val="24"/>
                      <w:szCs w:val="21"/>
                      <w:lang w:val="en-US" w:eastAsia="zh-CN"/>
                    </w:rPr>
                    <w:t>1.</w:t>
                  </w:r>
                  <w:r>
                    <w:rPr>
                      <w:rFonts w:hint="eastAsia"/>
                      <w:color w:val="auto"/>
                      <w:kern w:val="24"/>
                      <w:szCs w:val="21"/>
                    </w:rPr>
                    <w:t>63。</w:t>
                  </w:r>
                </w:p>
              </w:tc>
            </w:tr>
          </w:tbl>
          <w:p w14:paraId="49B063D8">
            <w:pPr>
              <w:spacing w:before="120" w:beforeLines="50" w:line="360" w:lineRule="auto"/>
              <w:ind w:firstLine="420"/>
              <w:rPr>
                <w:rFonts w:hint="eastAsia" w:ascii="Times New Roman" w:hAnsi="Times New Roman" w:eastAsia="宋体"/>
                <w:b/>
                <w:caps w:val="0"/>
                <w:color w:val="auto"/>
                <w:sz w:val="24"/>
                <w:highlight w:val="none"/>
              </w:rPr>
            </w:pPr>
          </w:p>
          <w:p w14:paraId="657A2DC2">
            <w:pPr>
              <w:spacing w:before="120" w:beforeLines="50" w:line="360" w:lineRule="auto"/>
              <w:ind w:firstLine="420"/>
              <w:rPr>
                <w:rFonts w:hint="eastAsia" w:ascii="Times New Roman" w:hAnsi="Times New Roman" w:eastAsia="宋体"/>
                <w:b/>
                <w:caps w:val="0"/>
                <w:color w:val="auto"/>
                <w:sz w:val="24"/>
                <w:highlight w:val="none"/>
              </w:rPr>
            </w:pPr>
          </w:p>
          <w:p w14:paraId="17DD244C">
            <w:pPr>
              <w:spacing w:before="120" w:beforeLines="50" w:line="360" w:lineRule="auto"/>
              <w:ind w:firstLine="420"/>
              <w:rPr>
                <w:rFonts w:hint="eastAsia" w:ascii="Times New Roman" w:hAnsi="Times New Roman" w:eastAsia="宋体"/>
                <w:b/>
                <w:caps w:val="0"/>
                <w:color w:val="auto"/>
                <w:sz w:val="24"/>
                <w:highlight w:val="none"/>
              </w:rPr>
            </w:pPr>
          </w:p>
          <w:p w14:paraId="72CD00E3">
            <w:pPr>
              <w:spacing w:before="120" w:beforeLines="50" w:line="360" w:lineRule="auto"/>
              <w:ind w:firstLine="420"/>
              <w:rPr>
                <w:rFonts w:hint="eastAsia" w:ascii="Times New Roman" w:hAnsi="Times New Roman" w:eastAsia="宋体"/>
                <w:b/>
                <w:caps w:val="0"/>
                <w:color w:val="auto"/>
                <w:sz w:val="24"/>
                <w:highlight w:val="none"/>
              </w:rPr>
            </w:pPr>
          </w:p>
          <w:p w14:paraId="58EC58BC">
            <w:pPr>
              <w:spacing w:before="120" w:beforeLines="50" w:line="360" w:lineRule="auto"/>
              <w:ind w:firstLine="420"/>
              <w:rPr>
                <w:rFonts w:hint="eastAsia" w:ascii="Times New Roman" w:hAnsi="Times New Roman" w:eastAsia="宋体"/>
                <w:b/>
                <w:caps w:val="0"/>
                <w:color w:val="auto"/>
                <w:sz w:val="24"/>
                <w:highlight w:val="none"/>
              </w:rPr>
            </w:pPr>
          </w:p>
          <w:p w14:paraId="7FCC65E8">
            <w:pPr>
              <w:spacing w:before="120" w:beforeLines="50" w:line="360" w:lineRule="auto"/>
              <w:ind w:firstLine="420"/>
              <w:rPr>
                <w:rFonts w:hint="eastAsia" w:ascii="Times New Roman" w:hAnsi="Times New Roman" w:eastAsia="宋体"/>
                <w:b/>
                <w:caps w:val="0"/>
                <w:color w:val="auto"/>
                <w:sz w:val="24"/>
                <w:highlight w:val="none"/>
              </w:rPr>
            </w:pPr>
          </w:p>
          <w:p w14:paraId="18EE50C3">
            <w:pPr>
              <w:spacing w:before="120" w:beforeLines="50" w:line="360" w:lineRule="auto"/>
              <w:ind w:firstLine="420"/>
              <w:rPr>
                <w:rFonts w:hint="eastAsia" w:ascii="Times New Roman" w:hAnsi="Times New Roman" w:eastAsia="宋体"/>
                <w:b/>
                <w:caps w:val="0"/>
                <w:color w:val="auto"/>
                <w:sz w:val="24"/>
                <w:highlight w:val="none"/>
              </w:rPr>
            </w:pPr>
          </w:p>
          <w:p w14:paraId="6DFFF579">
            <w:pPr>
              <w:spacing w:before="120" w:beforeLines="50" w:line="360" w:lineRule="auto"/>
              <w:ind w:firstLine="420"/>
              <w:rPr>
                <w:rFonts w:hint="eastAsia" w:ascii="Times New Roman" w:hAnsi="Times New Roman" w:eastAsia="宋体"/>
                <w:b/>
                <w:caps w:val="0"/>
                <w:color w:val="auto"/>
                <w:sz w:val="24"/>
                <w:highlight w:val="none"/>
              </w:rPr>
            </w:pPr>
          </w:p>
          <w:p w14:paraId="4B1E2A82">
            <w:pPr>
              <w:spacing w:before="120" w:beforeLines="50" w:line="360" w:lineRule="auto"/>
              <w:ind w:firstLine="420"/>
              <w:rPr>
                <w:rFonts w:hint="eastAsia" w:ascii="Times New Roman" w:hAnsi="Times New Roman" w:eastAsia="宋体"/>
                <w:b/>
                <w:caps w:val="0"/>
                <w:color w:val="auto"/>
                <w:sz w:val="24"/>
                <w:highlight w:val="none"/>
              </w:rPr>
            </w:pPr>
          </w:p>
          <w:p w14:paraId="5ACE5569">
            <w:pPr>
              <w:spacing w:before="120" w:beforeLines="50" w:line="360" w:lineRule="auto"/>
              <w:ind w:firstLine="420"/>
              <w:rPr>
                <w:rFonts w:ascii="Times New Roman" w:hAnsi="Times New Roman" w:eastAsia="宋体"/>
                <w:b/>
                <w:caps w:val="0"/>
                <w:color w:val="auto"/>
                <w:sz w:val="24"/>
                <w:highlight w:val="none"/>
              </w:rPr>
            </w:pPr>
            <w:r>
              <w:rPr>
                <w:rFonts w:hint="eastAsia" w:ascii="Times New Roman" w:hAnsi="Times New Roman" w:eastAsia="宋体"/>
                <w:b/>
                <w:caps w:val="0"/>
                <w:color w:val="auto"/>
                <w:sz w:val="24"/>
                <w:highlight w:val="none"/>
              </w:rPr>
              <w:t>6、水平衡</w:t>
            </w:r>
          </w:p>
          <w:p w14:paraId="7A061C73">
            <w:pPr>
              <w:spacing w:line="360" w:lineRule="auto"/>
              <w:ind w:firstLine="480" w:firstLineChars="200"/>
              <w:rPr>
                <w:rFonts w:hint="eastAsia" w:ascii="Times New Roman" w:hAnsi="Times New Roman" w:eastAsia="宋体"/>
                <w:caps w:val="0"/>
                <w:color w:val="auto"/>
                <w:sz w:val="24"/>
                <w:highlight w:val="none"/>
              </w:rPr>
            </w:pPr>
            <w:r>
              <w:rPr>
                <w:rFonts w:ascii="Times New Roman" w:hAnsi="Times New Roman" w:eastAsia="宋体"/>
                <w:caps w:val="0"/>
                <w:color w:val="auto"/>
                <w:sz w:val="24"/>
                <w:highlight w:val="none"/>
              </w:rPr>
              <w:t>项目用水主要为</w:t>
            </w:r>
            <w:r>
              <w:rPr>
                <w:rFonts w:hint="eastAsia" w:ascii="Times New Roman" w:hAnsi="Times New Roman" w:eastAsia="宋体"/>
                <w:caps w:val="0"/>
                <w:color w:val="auto"/>
                <w:sz w:val="24"/>
                <w:highlight w:val="none"/>
                <w:lang w:val="en-US" w:eastAsia="zh-CN"/>
              </w:rPr>
              <w:t>生活用水，</w:t>
            </w:r>
            <w:r>
              <w:rPr>
                <w:rFonts w:hint="eastAsia"/>
                <w:caps w:val="0"/>
                <w:color w:val="auto"/>
                <w:sz w:val="24"/>
                <w:highlight w:val="none"/>
                <w:lang w:val="en-US" w:eastAsia="zh-CN"/>
              </w:rPr>
              <w:t>潮湿用水、切削液配制用水、冷却塔用水</w:t>
            </w:r>
            <w:bookmarkStart w:id="5" w:name="OLE_LINK7"/>
            <w:r>
              <w:rPr>
                <w:rFonts w:hint="eastAsia" w:ascii="Times New Roman" w:hAnsi="Times New Roman" w:eastAsia="宋体"/>
                <w:caps w:val="0"/>
                <w:color w:val="auto"/>
                <w:sz w:val="24"/>
                <w:highlight w:val="none"/>
              </w:rPr>
              <w:t>。</w:t>
            </w:r>
            <w:bookmarkEnd w:id="5"/>
          </w:p>
          <w:p w14:paraId="0A9E24E8">
            <w:pPr>
              <w:spacing w:line="360" w:lineRule="auto"/>
              <w:ind w:firstLine="420"/>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项目水平衡图见下图。</w:t>
            </w:r>
          </w:p>
          <w:p w14:paraId="3B5308EC">
            <w:pPr>
              <w:spacing w:line="360" w:lineRule="auto"/>
              <w:rPr>
                <w:rFonts w:ascii="Times New Roman" w:hAnsi="Times New Roman" w:eastAsia="宋体"/>
                <w:caps w:val="0"/>
                <w:color w:val="auto"/>
                <w:highlight w:val="none"/>
              </w:rPr>
            </w:pPr>
            <w:r>
              <w:rPr>
                <w:color w:val="auto"/>
              </w:rPr>
              <w:drawing>
                <wp:inline distT="0" distB="0" distL="114300" distR="114300">
                  <wp:extent cx="5003800" cy="3164840"/>
                  <wp:effectExtent l="0" t="0" r="6350" b="16510"/>
                  <wp:docPr id="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
                          <pic:cNvPicPr>
                            <a:picLocks noChangeAspect="1"/>
                          </pic:cNvPicPr>
                        </pic:nvPicPr>
                        <pic:blipFill>
                          <a:blip r:embed="rId8"/>
                          <a:stretch>
                            <a:fillRect/>
                          </a:stretch>
                        </pic:blipFill>
                        <pic:spPr>
                          <a:xfrm>
                            <a:off x="0" y="0"/>
                            <a:ext cx="5003800" cy="3164840"/>
                          </a:xfrm>
                          <a:prstGeom prst="rect">
                            <a:avLst/>
                          </a:prstGeom>
                          <a:noFill/>
                          <a:ln>
                            <a:noFill/>
                          </a:ln>
                        </pic:spPr>
                      </pic:pic>
                    </a:graphicData>
                  </a:graphic>
                </wp:inline>
              </w:drawing>
            </w:r>
          </w:p>
          <w:p w14:paraId="0A1B850A">
            <w:pPr>
              <w:spacing w:line="360" w:lineRule="auto"/>
              <w:ind w:firstLine="482" w:firstLineChars="200"/>
              <w:jc w:val="center"/>
              <w:rPr>
                <w:rFonts w:ascii="Times New Roman" w:hAnsi="Times New Roman" w:eastAsia="宋体"/>
                <w:b/>
                <w:bCs/>
                <w:caps w:val="0"/>
                <w:color w:val="auto"/>
                <w:sz w:val="24"/>
                <w:highlight w:val="none"/>
              </w:rPr>
            </w:pPr>
            <w:r>
              <w:rPr>
                <w:rFonts w:hint="eastAsia" w:ascii="Times New Roman" w:hAnsi="Times New Roman" w:eastAsia="宋体"/>
                <w:b/>
                <w:bCs/>
                <w:caps w:val="0"/>
                <w:color w:val="auto"/>
                <w:sz w:val="24"/>
                <w:highlight w:val="none"/>
              </w:rPr>
              <w:t>图2-</w:t>
            </w:r>
            <w:r>
              <w:rPr>
                <w:rFonts w:hint="eastAsia" w:ascii="Times New Roman" w:hAnsi="Times New Roman" w:eastAsia="宋体"/>
                <w:b/>
                <w:bCs/>
                <w:caps w:val="0"/>
                <w:color w:val="auto"/>
                <w:sz w:val="24"/>
                <w:highlight w:val="none"/>
                <w:lang w:val="en-US" w:eastAsia="zh-CN"/>
              </w:rPr>
              <w:t>1</w:t>
            </w:r>
            <w:r>
              <w:rPr>
                <w:rFonts w:hint="eastAsia"/>
                <w:b/>
                <w:bCs/>
                <w:caps w:val="0"/>
                <w:color w:val="auto"/>
                <w:sz w:val="24"/>
                <w:highlight w:val="none"/>
                <w:lang w:val="en-US" w:eastAsia="zh-CN"/>
              </w:rPr>
              <w:t>本次</w:t>
            </w:r>
            <w:r>
              <w:rPr>
                <w:rFonts w:hint="eastAsia" w:ascii="Times New Roman" w:hAnsi="Times New Roman" w:eastAsia="宋体"/>
                <w:b/>
                <w:bCs/>
                <w:caps w:val="0"/>
                <w:color w:val="auto"/>
                <w:sz w:val="24"/>
                <w:highlight w:val="none"/>
              </w:rPr>
              <w:t>项目水平衡图（t/</w:t>
            </w:r>
            <w:r>
              <w:rPr>
                <w:rFonts w:ascii="Times New Roman" w:hAnsi="Times New Roman" w:eastAsia="宋体"/>
                <w:b/>
                <w:bCs/>
                <w:caps w:val="0"/>
                <w:color w:val="auto"/>
                <w:sz w:val="24"/>
                <w:highlight w:val="none"/>
              </w:rPr>
              <w:t>d</w:t>
            </w:r>
            <w:r>
              <w:rPr>
                <w:rFonts w:hint="eastAsia" w:ascii="Times New Roman" w:hAnsi="Times New Roman" w:eastAsia="宋体"/>
                <w:b/>
                <w:bCs/>
                <w:caps w:val="0"/>
                <w:color w:val="auto"/>
                <w:sz w:val="24"/>
                <w:highlight w:val="none"/>
              </w:rPr>
              <w:t>）</w:t>
            </w:r>
          </w:p>
          <w:p w14:paraId="59CC246E">
            <w:pPr>
              <w:spacing w:line="360" w:lineRule="auto"/>
              <w:ind w:firstLine="420"/>
              <w:rPr>
                <w:rFonts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lang w:eastAsia="zh-CN"/>
              </w:rPr>
              <w:t>扩建</w:t>
            </w:r>
            <w:r>
              <w:rPr>
                <w:rFonts w:hint="eastAsia" w:ascii="Times New Roman" w:hAnsi="Times New Roman" w:eastAsia="宋体"/>
                <w:caps w:val="0"/>
                <w:color w:val="auto"/>
                <w:sz w:val="24"/>
                <w:highlight w:val="none"/>
              </w:rPr>
              <w:t>后全厂水平衡图见下图 2-</w:t>
            </w:r>
            <w:r>
              <w:rPr>
                <w:rFonts w:hint="eastAsia" w:ascii="Times New Roman" w:hAnsi="Times New Roman" w:eastAsia="宋体"/>
                <w:caps w:val="0"/>
                <w:color w:val="auto"/>
                <w:sz w:val="24"/>
                <w:highlight w:val="none"/>
                <w:lang w:val="en-US" w:eastAsia="zh-CN"/>
              </w:rPr>
              <w:t>2</w:t>
            </w:r>
            <w:r>
              <w:rPr>
                <w:rFonts w:hint="eastAsia" w:ascii="Times New Roman" w:hAnsi="Times New Roman" w:eastAsia="宋体"/>
                <w:caps w:val="0"/>
                <w:color w:val="auto"/>
                <w:sz w:val="24"/>
                <w:highlight w:val="none"/>
              </w:rPr>
              <w:t>。</w:t>
            </w:r>
          </w:p>
          <w:p w14:paraId="01F9B1BD">
            <w:pPr>
              <w:jc w:val="center"/>
              <w:rPr>
                <w:rFonts w:ascii="Times New Roman" w:hAnsi="Times New Roman" w:eastAsia="宋体"/>
                <w:caps w:val="0"/>
                <w:color w:val="auto"/>
                <w:highlight w:val="none"/>
              </w:rPr>
            </w:pPr>
            <w:r>
              <w:rPr>
                <w:color w:val="auto"/>
              </w:rPr>
              <w:drawing>
                <wp:inline distT="0" distB="0" distL="114300" distR="114300">
                  <wp:extent cx="5000625" cy="3199130"/>
                  <wp:effectExtent l="0" t="0" r="9525" b="1270"/>
                  <wp:docPr id="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pic:cNvPicPr>
                            <a:picLocks noChangeAspect="1"/>
                          </pic:cNvPicPr>
                        </pic:nvPicPr>
                        <pic:blipFill>
                          <a:blip r:embed="rId9"/>
                          <a:stretch>
                            <a:fillRect/>
                          </a:stretch>
                        </pic:blipFill>
                        <pic:spPr>
                          <a:xfrm>
                            <a:off x="0" y="0"/>
                            <a:ext cx="5000625" cy="3199130"/>
                          </a:xfrm>
                          <a:prstGeom prst="rect">
                            <a:avLst/>
                          </a:prstGeom>
                          <a:noFill/>
                          <a:ln>
                            <a:noFill/>
                          </a:ln>
                        </pic:spPr>
                      </pic:pic>
                    </a:graphicData>
                  </a:graphic>
                </wp:inline>
              </w:drawing>
            </w:r>
          </w:p>
          <w:p w14:paraId="6D5C38D3">
            <w:pPr>
              <w:jc w:val="center"/>
              <w:rPr>
                <w:rFonts w:ascii="Times New Roman" w:hAnsi="Times New Roman" w:eastAsia="宋体"/>
                <w:caps w:val="0"/>
                <w:color w:val="auto"/>
                <w:highlight w:val="none"/>
              </w:rPr>
            </w:pPr>
          </w:p>
          <w:p w14:paraId="0C3626B8">
            <w:pPr>
              <w:spacing w:line="360" w:lineRule="auto"/>
              <w:ind w:firstLine="482" w:firstLineChars="200"/>
              <w:jc w:val="center"/>
              <w:rPr>
                <w:rFonts w:ascii="Times New Roman" w:hAnsi="Times New Roman" w:eastAsia="宋体"/>
                <w:b/>
                <w:bCs/>
                <w:caps w:val="0"/>
                <w:color w:val="auto"/>
                <w:sz w:val="24"/>
                <w:highlight w:val="none"/>
              </w:rPr>
            </w:pPr>
            <w:r>
              <w:rPr>
                <w:rFonts w:hint="eastAsia" w:ascii="Times New Roman" w:hAnsi="Times New Roman" w:eastAsia="宋体"/>
                <w:b/>
                <w:bCs/>
                <w:caps w:val="0"/>
                <w:color w:val="auto"/>
                <w:sz w:val="24"/>
                <w:highlight w:val="none"/>
              </w:rPr>
              <w:t>图2-</w:t>
            </w:r>
            <w:r>
              <w:rPr>
                <w:rFonts w:hint="eastAsia" w:ascii="Times New Roman" w:hAnsi="Times New Roman" w:eastAsia="宋体"/>
                <w:b/>
                <w:bCs/>
                <w:caps w:val="0"/>
                <w:color w:val="auto"/>
                <w:sz w:val="24"/>
                <w:highlight w:val="none"/>
                <w:lang w:val="en-US" w:eastAsia="zh-CN"/>
              </w:rPr>
              <w:t>2</w:t>
            </w:r>
            <w:r>
              <w:rPr>
                <w:rFonts w:hint="eastAsia" w:ascii="Times New Roman" w:hAnsi="Times New Roman" w:eastAsia="宋体"/>
                <w:b/>
                <w:bCs/>
                <w:caps w:val="0"/>
                <w:color w:val="auto"/>
                <w:sz w:val="24"/>
                <w:highlight w:val="none"/>
                <w:lang w:eastAsia="zh-CN"/>
              </w:rPr>
              <w:t>扩建</w:t>
            </w:r>
            <w:r>
              <w:rPr>
                <w:rFonts w:hint="eastAsia" w:ascii="Times New Roman" w:hAnsi="Times New Roman" w:eastAsia="宋体"/>
                <w:b/>
                <w:bCs/>
                <w:caps w:val="0"/>
                <w:color w:val="auto"/>
                <w:sz w:val="24"/>
                <w:highlight w:val="none"/>
              </w:rPr>
              <w:t>后全厂水平衡图（t/</w:t>
            </w:r>
            <w:r>
              <w:rPr>
                <w:rFonts w:ascii="Times New Roman" w:hAnsi="Times New Roman" w:eastAsia="宋体"/>
                <w:b/>
                <w:bCs/>
                <w:caps w:val="0"/>
                <w:color w:val="auto"/>
                <w:sz w:val="24"/>
                <w:highlight w:val="none"/>
              </w:rPr>
              <w:t>d</w:t>
            </w:r>
            <w:r>
              <w:rPr>
                <w:rFonts w:hint="eastAsia" w:ascii="Times New Roman" w:hAnsi="Times New Roman" w:eastAsia="宋体"/>
                <w:b/>
                <w:bCs/>
                <w:caps w:val="0"/>
                <w:color w:val="auto"/>
                <w:sz w:val="24"/>
                <w:highlight w:val="none"/>
              </w:rPr>
              <w:t>）</w:t>
            </w:r>
          </w:p>
          <w:p w14:paraId="291C675C">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ascii="Times New Roman" w:hAnsi="Times New Roman" w:eastAsia="宋体"/>
                <w:b/>
                <w:caps w:val="0"/>
                <w:color w:val="auto"/>
                <w:kern w:val="0"/>
                <w:sz w:val="24"/>
                <w:highlight w:val="none"/>
              </w:rPr>
            </w:pPr>
            <w:r>
              <w:rPr>
                <w:rFonts w:hint="eastAsia"/>
                <w:b/>
                <w:caps w:val="0"/>
                <w:color w:val="auto"/>
                <w:kern w:val="0"/>
                <w:sz w:val="24"/>
                <w:highlight w:val="none"/>
                <w:lang w:val="en-US" w:eastAsia="zh-CN"/>
              </w:rPr>
              <w:t>7</w:t>
            </w:r>
            <w:r>
              <w:rPr>
                <w:rFonts w:hint="eastAsia" w:ascii="Times New Roman" w:hAnsi="Times New Roman" w:eastAsia="宋体"/>
                <w:b/>
                <w:caps w:val="0"/>
                <w:color w:val="auto"/>
                <w:kern w:val="0"/>
                <w:sz w:val="24"/>
                <w:highlight w:val="none"/>
              </w:rPr>
              <w:t>、项目平面布局合理性</w:t>
            </w:r>
          </w:p>
          <w:p w14:paraId="50595C5E">
            <w:pPr>
              <w:keepNext w:val="0"/>
              <w:keepLines w:val="0"/>
              <w:pageBreakBefore w:val="0"/>
              <w:kinsoku/>
              <w:wordWrap/>
              <w:overflowPunct/>
              <w:topLinePunct w:val="0"/>
              <w:autoSpaceDE/>
              <w:autoSpaceDN/>
              <w:bidi w:val="0"/>
              <w:adjustRightInd/>
              <w:snapToGrid/>
              <w:spacing w:line="360" w:lineRule="auto"/>
              <w:ind w:left="0" w:leftChars="0" w:firstLine="420"/>
              <w:textAlignment w:val="auto"/>
              <w:rPr>
                <w:rFonts w:ascii="Times New Roman" w:hAnsi="Times New Roman" w:eastAsia="宋体"/>
                <w:bCs/>
                <w:caps w:val="0"/>
                <w:color w:val="auto"/>
                <w:sz w:val="24"/>
                <w:highlight w:val="none"/>
              </w:rPr>
            </w:pPr>
            <w:r>
              <w:rPr>
                <w:rFonts w:hint="eastAsia" w:ascii="Times New Roman" w:hAnsi="Times New Roman" w:eastAsia="宋体"/>
                <w:bCs/>
                <w:caps w:val="0"/>
                <w:color w:val="auto"/>
                <w:sz w:val="24"/>
                <w:highlight w:val="none"/>
              </w:rPr>
              <w:t>本项目利用厂区现有厂房，厂区共</w:t>
            </w:r>
            <w:r>
              <w:rPr>
                <w:rFonts w:hint="eastAsia"/>
                <w:bCs/>
                <w:caps w:val="0"/>
                <w:color w:val="auto"/>
                <w:sz w:val="24"/>
                <w:highlight w:val="none"/>
                <w:lang w:val="en-US" w:eastAsia="zh-CN"/>
              </w:rPr>
              <w:t>建设11</w:t>
            </w:r>
            <w:r>
              <w:rPr>
                <w:rFonts w:hint="eastAsia" w:ascii="Times New Roman" w:hAnsi="Times New Roman" w:eastAsia="宋体"/>
                <w:bCs/>
                <w:caps w:val="0"/>
                <w:color w:val="auto"/>
                <w:sz w:val="24"/>
                <w:highlight w:val="none"/>
              </w:rPr>
              <w:t>栋厂房和1栋办公楼，主要生产车间为1#~2#厂房，厂区内厂房均布置为东西走向，1#厂房位于厂区中央，2#厂房位于1#厂房北部，8#厂房位于1#厂房南部，其余厂房均位于1#厂房东侧，</w:t>
            </w:r>
            <w:r>
              <w:rPr>
                <w:rFonts w:hint="eastAsia"/>
                <w:bCs/>
                <w:caps w:val="0"/>
                <w:color w:val="auto"/>
                <w:sz w:val="24"/>
                <w:highlight w:val="none"/>
                <w:lang w:val="en-US" w:eastAsia="zh-CN"/>
              </w:rPr>
              <w:t>本次新建的10#厂房位于厂区东北侧，11#厂房位于厂区东侧，</w:t>
            </w:r>
            <w:r>
              <w:rPr>
                <w:rFonts w:hint="eastAsia" w:ascii="Times New Roman" w:hAnsi="Times New Roman" w:eastAsia="宋体"/>
                <w:bCs/>
                <w:caps w:val="0"/>
                <w:color w:val="auto"/>
                <w:sz w:val="24"/>
                <w:highlight w:val="none"/>
              </w:rPr>
              <w:t>厂内综合办公楼位于西北角，原料区位于注塑车间内，成品区位于8#厂房，一般固废库位于1#厂房内，危废暂存库位于厂区西南侧。从项目平面布置可看出，其人流、车流、货运路线清晰，厂区平面布置有利于项目生产运行过程中各部门的生产协作，提高生产效率。总体来说，项目的总平面布置较为合理</w:t>
            </w:r>
            <w:r>
              <w:rPr>
                <w:rFonts w:ascii="Times New Roman" w:hAnsi="Times New Roman" w:eastAsia="宋体"/>
                <w:bCs/>
                <w:caps w:val="0"/>
                <w:color w:val="auto"/>
                <w:sz w:val="24"/>
                <w:highlight w:val="none"/>
              </w:rPr>
              <w:t>。</w:t>
            </w:r>
          </w:p>
          <w:p w14:paraId="7E0DAC3A">
            <w:pPr>
              <w:keepNext w:val="0"/>
              <w:keepLines w:val="0"/>
              <w:pageBreakBefore w:val="0"/>
              <w:widowControl/>
              <w:kinsoku/>
              <w:wordWrap/>
              <w:overflowPunct/>
              <w:topLinePunct w:val="0"/>
              <w:autoSpaceDE/>
              <w:autoSpaceDN/>
              <w:bidi w:val="0"/>
              <w:adjustRightInd/>
              <w:snapToGrid/>
              <w:spacing w:line="360" w:lineRule="auto"/>
              <w:ind w:left="0" w:leftChars="0" w:firstLine="482" w:firstLineChars="200"/>
              <w:textAlignment w:val="auto"/>
              <w:rPr>
                <w:rFonts w:ascii="Times New Roman" w:hAnsi="Times New Roman" w:eastAsia="宋体"/>
                <w:b/>
                <w:caps w:val="0"/>
                <w:color w:val="auto"/>
                <w:kern w:val="0"/>
                <w:sz w:val="24"/>
                <w:highlight w:val="none"/>
              </w:rPr>
            </w:pPr>
            <w:r>
              <w:rPr>
                <w:rFonts w:hint="eastAsia"/>
                <w:b/>
                <w:caps w:val="0"/>
                <w:color w:val="auto"/>
                <w:kern w:val="0"/>
                <w:sz w:val="24"/>
                <w:highlight w:val="none"/>
                <w:lang w:val="en-US" w:eastAsia="zh-CN"/>
              </w:rPr>
              <w:t>8</w:t>
            </w:r>
            <w:r>
              <w:rPr>
                <w:rFonts w:hint="eastAsia" w:ascii="Times New Roman" w:hAnsi="Times New Roman" w:eastAsia="宋体"/>
                <w:b/>
                <w:caps w:val="0"/>
                <w:color w:val="auto"/>
                <w:kern w:val="0"/>
                <w:sz w:val="24"/>
                <w:highlight w:val="none"/>
              </w:rPr>
              <w:t>、</w:t>
            </w:r>
            <w:r>
              <w:rPr>
                <w:rFonts w:ascii="Times New Roman" w:hAnsi="Times New Roman" w:eastAsia="宋体"/>
                <w:b/>
                <w:caps w:val="0"/>
                <w:color w:val="auto"/>
                <w:kern w:val="0"/>
                <w:sz w:val="24"/>
                <w:highlight w:val="none"/>
              </w:rPr>
              <w:t>周边环境概况</w:t>
            </w:r>
          </w:p>
          <w:p w14:paraId="4A919F70">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aps w:val="0"/>
                <w:color w:val="auto"/>
                <w:sz w:val="24"/>
                <w:highlight w:val="none"/>
                <w:lang w:val="en-US"/>
              </w:rPr>
            </w:pPr>
            <w:r>
              <w:rPr>
                <w:rFonts w:hint="eastAsia" w:ascii="Times New Roman" w:hAnsi="Times New Roman" w:eastAsia="宋体" w:cs="Times New Roman"/>
                <w:caps w:val="0"/>
                <w:color w:val="auto"/>
                <w:sz w:val="24"/>
                <w:highlight w:val="none"/>
              </w:rPr>
              <w:t>项目位于芜湖市弋江区高新技术开发区漳河路28号，项目所在地北侧为</w:t>
            </w:r>
            <w:r>
              <w:rPr>
                <w:rFonts w:hint="eastAsia" w:cs="Times New Roman"/>
                <w:caps w:val="0"/>
                <w:color w:val="auto"/>
                <w:sz w:val="24"/>
                <w:highlight w:val="none"/>
                <w:lang w:val="en-US" w:eastAsia="zh-CN"/>
              </w:rPr>
              <w:t>兴业路</w:t>
            </w:r>
            <w:r>
              <w:rPr>
                <w:rFonts w:hint="eastAsia" w:ascii="Times New Roman" w:hAnsi="Times New Roman" w:eastAsia="宋体" w:cs="Times New Roman"/>
                <w:caps w:val="0"/>
                <w:color w:val="auto"/>
                <w:sz w:val="24"/>
                <w:highlight w:val="none"/>
              </w:rPr>
              <w:t>，</w:t>
            </w:r>
            <w:r>
              <w:rPr>
                <w:rFonts w:hint="eastAsia" w:cs="Times New Roman"/>
                <w:caps w:val="0"/>
                <w:color w:val="auto"/>
                <w:sz w:val="24"/>
                <w:highlight w:val="none"/>
                <w:lang w:val="en-US" w:eastAsia="zh-CN"/>
              </w:rPr>
              <w:t>南</w:t>
            </w:r>
            <w:r>
              <w:rPr>
                <w:rFonts w:hint="eastAsia" w:ascii="Times New Roman" w:hAnsi="Times New Roman" w:eastAsia="宋体" w:cs="Times New Roman"/>
                <w:caps w:val="0"/>
                <w:color w:val="auto"/>
                <w:sz w:val="24"/>
                <w:highlight w:val="none"/>
              </w:rPr>
              <w:t>侧为</w:t>
            </w:r>
            <w:r>
              <w:rPr>
                <w:rFonts w:hint="eastAsia" w:cs="Times New Roman"/>
                <w:caps w:val="0"/>
                <w:color w:val="auto"/>
                <w:sz w:val="24"/>
                <w:highlight w:val="none"/>
                <w:lang w:val="en-US" w:eastAsia="zh-CN"/>
              </w:rPr>
              <w:t>恒昌路</w:t>
            </w:r>
            <w:r>
              <w:rPr>
                <w:rFonts w:hint="eastAsia" w:ascii="Times New Roman" w:hAnsi="Times New Roman" w:eastAsia="宋体" w:cs="Times New Roman"/>
                <w:caps w:val="0"/>
                <w:color w:val="auto"/>
                <w:sz w:val="24"/>
                <w:highlight w:val="none"/>
              </w:rPr>
              <w:t>，</w:t>
            </w:r>
            <w:r>
              <w:rPr>
                <w:rFonts w:hint="eastAsia" w:cs="Times New Roman"/>
                <w:caps w:val="0"/>
                <w:color w:val="auto"/>
                <w:sz w:val="24"/>
                <w:highlight w:val="none"/>
                <w:lang w:val="en-US" w:eastAsia="zh-CN"/>
              </w:rPr>
              <w:t>东</w:t>
            </w:r>
            <w:r>
              <w:rPr>
                <w:rFonts w:hint="eastAsia" w:ascii="Times New Roman" w:hAnsi="Times New Roman" w:eastAsia="宋体" w:cs="Times New Roman"/>
                <w:caps w:val="0"/>
                <w:color w:val="auto"/>
                <w:sz w:val="24"/>
                <w:highlight w:val="none"/>
              </w:rPr>
              <w:t>侧为</w:t>
            </w:r>
            <w:r>
              <w:rPr>
                <w:rFonts w:hint="eastAsia" w:cs="Times New Roman"/>
                <w:caps w:val="0"/>
                <w:color w:val="auto"/>
                <w:sz w:val="24"/>
                <w:highlight w:val="none"/>
                <w:lang w:val="en-US" w:eastAsia="zh-CN"/>
              </w:rPr>
              <w:t>芜湖东方教具有限公司</w:t>
            </w:r>
            <w:r>
              <w:rPr>
                <w:rFonts w:hint="eastAsia" w:ascii="Times New Roman" w:hAnsi="Times New Roman" w:eastAsia="宋体" w:cs="Times New Roman"/>
                <w:caps w:val="0"/>
                <w:color w:val="auto"/>
                <w:sz w:val="24"/>
                <w:highlight w:val="none"/>
              </w:rPr>
              <w:t>，西侧</w:t>
            </w:r>
            <w:r>
              <w:rPr>
                <w:rFonts w:hint="eastAsia" w:cs="Times New Roman"/>
                <w:caps w:val="0"/>
                <w:color w:val="auto"/>
                <w:sz w:val="24"/>
                <w:highlight w:val="none"/>
                <w:lang w:val="en-US" w:eastAsia="zh-CN"/>
              </w:rPr>
              <w:t>为</w:t>
            </w:r>
            <w:r>
              <w:rPr>
                <w:rFonts w:hint="eastAsia" w:ascii="Times New Roman" w:hAnsi="Times New Roman" w:eastAsia="宋体" w:cs="Times New Roman"/>
                <w:caps w:val="0"/>
                <w:color w:val="auto"/>
                <w:sz w:val="24"/>
                <w:highlight w:val="none"/>
              </w:rPr>
              <w:t>漳河路。</w:t>
            </w:r>
            <w:r>
              <w:rPr>
                <w:rFonts w:hint="eastAsia" w:ascii="Times New Roman" w:hAnsi="Times New Roman" w:eastAsia="宋体" w:cs="Times New Roman"/>
                <w:caps w:val="0"/>
                <w:color w:val="auto"/>
                <w:sz w:val="24"/>
                <w:highlight w:val="none"/>
                <w:lang w:val="en-US" w:eastAsia="zh-CN"/>
              </w:rPr>
              <w:t>厂界周边500m范围内，无大气环境保护目标。项目周边环境概况图见附图</w:t>
            </w:r>
            <w:r>
              <w:rPr>
                <w:rFonts w:hint="eastAsia" w:cs="Times New Roman"/>
                <w:caps w:val="0"/>
                <w:color w:val="auto"/>
                <w:sz w:val="24"/>
                <w:highlight w:val="none"/>
                <w:lang w:val="en-US" w:eastAsia="zh-CN"/>
              </w:rPr>
              <w:t>二</w:t>
            </w:r>
            <w:r>
              <w:rPr>
                <w:rFonts w:hint="eastAsia" w:ascii="Times New Roman" w:hAnsi="Times New Roman" w:eastAsia="宋体" w:cs="Times New Roman"/>
                <w:caps w:val="0"/>
                <w:color w:val="auto"/>
                <w:sz w:val="24"/>
                <w:highlight w:val="none"/>
                <w:lang w:val="en-US" w:eastAsia="zh-CN"/>
              </w:rPr>
              <w:t>。</w:t>
            </w:r>
          </w:p>
          <w:p w14:paraId="15D525BA">
            <w:pPr>
              <w:keepNext w:val="0"/>
              <w:keepLines w:val="0"/>
              <w:pageBreakBefore w:val="0"/>
              <w:kinsoku/>
              <w:wordWrap/>
              <w:overflowPunct/>
              <w:topLinePunct w:val="0"/>
              <w:autoSpaceDE/>
              <w:autoSpaceDN/>
              <w:bidi w:val="0"/>
              <w:adjustRightInd/>
              <w:snapToGrid/>
              <w:spacing w:line="360" w:lineRule="auto"/>
              <w:ind w:left="0" w:leftChars="0" w:firstLine="482" w:firstLineChars="200"/>
              <w:textAlignment w:val="auto"/>
              <w:rPr>
                <w:rFonts w:ascii="Times New Roman" w:hAnsi="Times New Roman" w:eastAsia="宋体"/>
                <w:caps w:val="0"/>
                <w:color w:val="auto"/>
                <w:sz w:val="24"/>
                <w:highlight w:val="none"/>
              </w:rPr>
            </w:pPr>
            <w:r>
              <w:rPr>
                <w:rFonts w:hint="eastAsia"/>
                <w:b/>
                <w:caps w:val="0"/>
                <w:color w:val="auto"/>
                <w:kern w:val="0"/>
                <w:sz w:val="24"/>
                <w:highlight w:val="none"/>
                <w:lang w:val="en-US" w:eastAsia="zh-CN"/>
              </w:rPr>
              <w:t>9</w:t>
            </w:r>
            <w:r>
              <w:rPr>
                <w:rFonts w:hint="eastAsia" w:ascii="Times New Roman" w:hAnsi="Times New Roman" w:eastAsia="宋体"/>
                <w:b/>
                <w:caps w:val="0"/>
                <w:color w:val="auto"/>
                <w:kern w:val="0"/>
                <w:sz w:val="24"/>
                <w:highlight w:val="none"/>
              </w:rPr>
              <w:t>、生产制度和劳动定员</w:t>
            </w:r>
          </w:p>
          <w:p w14:paraId="3CB8C027">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aps w:val="0"/>
                <w:color w:val="auto"/>
                <w:sz w:val="24"/>
                <w:highlight w:val="none"/>
                <w:lang w:val="en-US" w:eastAsia="zh-CN"/>
              </w:rPr>
            </w:pPr>
            <w:r>
              <w:rPr>
                <w:rFonts w:hint="eastAsia" w:ascii="Times New Roman" w:hAnsi="Times New Roman" w:eastAsia="宋体"/>
                <w:caps w:val="0"/>
                <w:color w:val="auto"/>
                <w:sz w:val="24"/>
                <w:highlight w:val="none"/>
              </w:rPr>
              <w:t>劳动定员：现有项目劳动定员</w:t>
            </w:r>
            <w:r>
              <w:rPr>
                <w:rFonts w:hint="eastAsia"/>
                <w:caps w:val="0"/>
                <w:color w:val="auto"/>
                <w:sz w:val="24"/>
                <w:highlight w:val="none"/>
                <w:lang w:val="en-US" w:eastAsia="zh-CN"/>
              </w:rPr>
              <w:t>3</w:t>
            </w:r>
            <w:r>
              <w:rPr>
                <w:rFonts w:hint="eastAsia" w:ascii="Times New Roman" w:hAnsi="Times New Roman" w:eastAsia="宋体"/>
                <w:caps w:val="0"/>
                <w:color w:val="auto"/>
                <w:sz w:val="24"/>
                <w:highlight w:val="none"/>
              </w:rPr>
              <w:t>00人，本次</w:t>
            </w:r>
            <w:r>
              <w:rPr>
                <w:rFonts w:hint="eastAsia" w:ascii="Times New Roman" w:hAnsi="Times New Roman" w:eastAsia="宋体"/>
                <w:caps w:val="0"/>
                <w:color w:val="auto"/>
                <w:sz w:val="24"/>
                <w:highlight w:val="none"/>
                <w:lang w:eastAsia="zh-CN"/>
              </w:rPr>
              <w:t>扩建</w:t>
            </w:r>
            <w:r>
              <w:rPr>
                <w:rFonts w:hint="eastAsia" w:ascii="Times New Roman" w:hAnsi="Times New Roman" w:eastAsia="宋体"/>
                <w:caps w:val="0"/>
                <w:color w:val="auto"/>
                <w:sz w:val="24"/>
                <w:highlight w:val="none"/>
              </w:rPr>
              <w:t>项目新增</w:t>
            </w:r>
            <w:r>
              <w:rPr>
                <w:rFonts w:hint="eastAsia"/>
                <w:caps w:val="0"/>
                <w:color w:val="auto"/>
                <w:sz w:val="24"/>
                <w:highlight w:val="none"/>
                <w:lang w:val="en-US" w:eastAsia="zh-CN"/>
              </w:rPr>
              <w:t>1</w:t>
            </w:r>
            <w:r>
              <w:rPr>
                <w:rFonts w:hint="eastAsia" w:ascii="Times New Roman" w:hAnsi="Times New Roman" w:eastAsia="宋体"/>
                <w:caps w:val="0"/>
                <w:color w:val="auto"/>
                <w:sz w:val="24"/>
                <w:highlight w:val="none"/>
                <w:lang w:val="en-US" w:eastAsia="zh-CN"/>
              </w:rPr>
              <w:t>50</w:t>
            </w:r>
            <w:r>
              <w:rPr>
                <w:rFonts w:hint="eastAsia" w:ascii="Times New Roman" w:hAnsi="Times New Roman" w:eastAsia="宋体"/>
                <w:caps w:val="0"/>
                <w:color w:val="auto"/>
                <w:sz w:val="24"/>
                <w:highlight w:val="none"/>
              </w:rPr>
              <w:t>人，</w:t>
            </w:r>
            <w:r>
              <w:rPr>
                <w:rFonts w:hint="eastAsia" w:ascii="Times New Roman" w:hAnsi="Times New Roman" w:eastAsia="宋体"/>
                <w:caps w:val="0"/>
                <w:color w:val="auto"/>
                <w:sz w:val="24"/>
                <w:highlight w:val="none"/>
                <w:lang w:eastAsia="zh-CN"/>
              </w:rPr>
              <w:t>扩建</w:t>
            </w:r>
            <w:r>
              <w:rPr>
                <w:rFonts w:hint="eastAsia" w:ascii="Times New Roman" w:hAnsi="Times New Roman" w:eastAsia="宋体"/>
                <w:caps w:val="0"/>
                <w:color w:val="auto"/>
                <w:sz w:val="24"/>
                <w:highlight w:val="none"/>
              </w:rPr>
              <w:t>后全厂共</w:t>
            </w:r>
            <w:r>
              <w:rPr>
                <w:rFonts w:hint="eastAsia"/>
                <w:caps w:val="0"/>
                <w:color w:val="auto"/>
                <w:sz w:val="24"/>
                <w:highlight w:val="none"/>
                <w:lang w:val="en-US" w:eastAsia="zh-CN"/>
              </w:rPr>
              <w:t>4</w:t>
            </w:r>
            <w:r>
              <w:rPr>
                <w:rFonts w:hint="eastAsia" w:ascii="Times New Roman" w:hAnsi="Times New Roman" w:eastAsia="宋体"/>
                <w:caps w:val="0"/>
                <w:color w:val="auto"/>
                <w:sz w:val="24"/>
                <w:highlight w:val="none"/>
                <w:lang w:val="en-US" w:eastAsia="zh-CN"/>
              </w:rPr>
              <w:t>5</w:t>
            </w:r>
            <w:r>
              <w:rPr>
                <w:rFonts w:hint="eastAsia" w:ascii="Times New Roman" w:hAnsi="Times New Roman" w:eastAsia="宋体"/>
                <w:caps w:val="0"/>
                <w:color w:val="auto"/>
                <w:sz w:val="24"/>
                <w:highlight w:val="none"/>
              </w:rPr>
              <w:t>0人。</w:t>
            </w:r>
          </w:p>
          <w:p w14:paraId="384F5E24">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生产制度：年生产300天，</w:t>
            </w:r>
            <w:r>
              <w:rPr>
                <w:rFonts w:hint="eastAsia"/>
                <w:caps w:val="0"/>
                <w:color w:val="auto"/>
                <w:sz w:val="24"/>
                <w:highlight w:val="none"/>
                <w:lang w:val="en-US" w:eastAsia="zh-CN"/>
              </w:rPr>
              <w:t>两</w:t>
            </w:r>
            <w:r>
              <w:rPr>
                <w:rFonts w:hint="eastAsia" w:ascii="Times New Roman" w:hAnsi="Times New Roman" w:eastAsia="宋体"/>
                <w:caps w:val="0"/>
                <w:color w:val="auto"/>
                <w:sz w:val="24"/>
                <w:highlight w:val="none"/>
              </w:rPr>
              <w:t>班制，每班8小时</w:t>
            </w:r>
            <w:r>
              <w:rPr>
                <w:rFonts w:hint="eastAsia"/>
                <w:caps w:val="0"/>
                <w:color w:val="auto"/>
                <w:sz w:val="24"/>
                <w:highlight w:val="none"/>
                <w:lang w:val="en-US" w:eastAsia="zh-CN"/>
              </w:rPr>
              <w:t>，</w:t>
            </w:r>
            <w:r>
              <w:rPr>
                <w:rFonts w:hint="eastAsia" w:ascii="Times New Roman" w:hAnsi="Times New Roman" w:eastAsia="宋体"/>
                <w:caps w:val="0"/>
                <w:color w:val="auto"/>
                <w:sz w:val="24"/>
                <w:highlight w:val="none"/>
              </w:rPr>
              <w:t>年运行</w:t>
            </w:r>
            <w:r>
              <w:rPr>
                <w:rFonts w:hint="eastAsia"/>
                <w:caps w:val="0"/>
                <w:color w:val="auto"/>
                <w:sz w:val="24"/>
                <w:highlight w:val="none"/>
                <w:lang w:val="en-US" w:eastAsia="zh-CN"/>
              </w:rPr>
              <w:t>48</w:t>
            </w:r>
            <w:r>
              <w:rPr>
                <w:rFonts w:hint="eastAsia" w:ascii="Times New Roman" w:hAnsi="Times New Roman" w:eastAsia="宋体"/>
                <w:caps w:val="0"/>
                <w:color w:val="auto"/>
                <w:sz w:val="24"/>
                <w:highlight w:val="none"/>
              </w:rPr>
              <w:t>00h</w:t>
            </w:r>
            <w:r>
              <w:rPr>
                <w:rFonts w:hint="eastAsia"/>
                <w:caps w:val="0"/>
                <w:color w:val="auto"/>
                <w:sz w:val="24"/>
                <w:highlight w:val="none"/>
                <w:lang w:val="en-US" w:eastAsia="zh-CN"/>
              </w:rPr>
              <w:t>工作时间为8：00-24：00，其中注塑机年运行时间为4000h</w:t>
            </w:r>
            <w:r>
              <w:rPr>
                <w:rFonts w:hint="eastAsia" w:ascii="Times New Roman" w:hAnsi="Times New Roman" w:eastAsia="宋体"/>
                <w:caps w:val="0"/>
                <w:color w:val="auto"/>
                <w:sz w:val="24"/>
                <w:highlight w:val="none"/>
              </w:rPr>
              <w:t>。</w:t>
            </w:r>
          </w:p>
          <w:p w14:paraId="39EF63B5">
            <w:pPr>
              <w:pStyle w:val="7"/>
              <w:rPr>
                <w:rFonts w:hint="eastAsia" w:ascii="Times New Roman" w:hAnsi="Times New Roman" w:eastAsia="宋体"/>
                <w:caps w:val="0"/>
                <w:color w:val="auto"/>
                <w:sz w:val="24"/>
                <w:highlight w:val="none"/>
              </w:rPr>
            </w:pPr>
          </w:p>
          <w:p w14:paraId="1CEFAF08">
            <w:pPr>
              <w:rPr>
                <w:rFonts w:hint="eastAsia" w:ascii="Times New Roman" w:hAnsi="Times New Roman" w:eastAsia="宋体"/>
                <w:caps w:val="0"/>
                <w:color w:val="auto"/>
                <w:sz w:val="24"/>
                <w:highlight w:val="none"/>
              </w:rPr>
            </w:pPr>
          </w:p>
          <w:p w14:paraId="101673A5">
            <w:pPr>
              <w:pStyle w:val="7"/>
              <w:rPr>
                <w:rFonts w:hint="eastAsia" w:ascii="Times New Roman" w:hAnsi="Times New Roman" w:eastAsia="宋体"/>
                <w:caps w:val="0"/>
                <w:color w:val="auto"/>
                <w:sz w:val="24"/>
                <w:highlight w:val="none"/>
              </w:rPr>
            </w:pPr>
          </w:p>
          <w:p w14:paraId="2E5630EB">
            <w:pPr>
              <w:rPr>
                <w:rFonts w:hint="eastAsia" w:ascii="Times New Roman" w:hAnsi="Times New Roman" w:eastAsia="宋体"/>
                <w:caps w:val="0"/>
                <w:color w:val="auto"/>
                <w:sz w:val="24"/>
                <w:highlight w:val="none"/>
              </w:rPr>
            </w:pPr>
          </w:p>
          <w:p w14:paraId="493B6066">
            <w:pPr>
              <w:pStyle w:val="7"/>
              <w:rPr>
                <w:rFonts w:hint="eastAsia" w:ascii="Times New Roman" w:hAnsi="Times New Roman" w:eastAsia="宋体"/>
                <w:caps w:val="0"/>
                <w:color w:val="auto"/>
                <w:sz w:val="24"/>
                <w:highlight w:val="none"/>
              </w:rPr>
            </w:pPr>
          </w:p>
          <w:p w14:paraId="3C8DA1BF">
            <w:pPr>
              <w:rPr>
                <w:rFonts w:hint="eastAsia" w:ascii="Times New Roman" w:hAnsi="Times New Roman" w:eastAsia="宋体"/>
                <w:caps w:val="0"/>
                <w:color w:val="auto"/>
                <w:sz w:val="24"/>
                <w:highlight w:val="none"/>
              </w:rPr>
            </w:pPr>
          </w:p>
          <w:p w14:paraId="4B3CC5FB">
            <w:pPr>
              <w:pStyle w:val="7"/>
              <w:rPr>
                <w:rFonts w:hint="eastAsia" w:ascii="Times New Roman" w:hAnsi="Times New Roman" w:eastAsia="宋体"/>
                <w:caps w:val="0"/>
                <w:color w:val="auto"/>
                <w:sz w:val="24"/>
                <w:highlight w:val="none"/>
              </w:rPr>
            </w:pPr>
          </w:p>
          <w:p w14:paraId="4A7C7C27">
            <w:pPr>
              <w:rPr>
                <w:rFonts w:hint="eastAsia" w:ascii="Times New Roman" w:hAnsi="Times New Roman" w:eastAsia="宋体"/>
                <w:caps w:val="0"/>
                <w:color w:val="auto"/>
                <w:sz w:val="24"/>
                <w:highlight w:val="none"/>
              </w:rPr>
            </w:pPr>
          </w:p>
          <w:p w14:paraId="2BA4103A">
            <w:pPr>
              <w:pStyle w:val="7"/>
              <w:rPr>
                <w:rFonts w:hint="eastAsia" w:ascii="Times New Roman" w:hAnsi="Times New Roman" w:eastAsia="宋体"/>
                <w:caps w:val="0"/>
                <w:color w:val="auto"/>
                <w:sz w:val="24"/>
                <w:highlight w:val="none"/>
              </w:rPr>
            </w:pPr>
          </w:p>
          <w:p w14:paraId="15658DA5">
            <w:pPr>
              <w:rPr>
                <w:rFonts w:hint="eastAsia" w:ascii="Times New Roman" w:hAnsi="Times New Roman" w:eastAsia="宋体"/>
                <w:caps w:val="0"/>
                <w:color w:val="auto"/>
                <w:sz w:val="24"/>
                <w:highlight w:val="none"/>
              </w:rPr>
            </w:pPr>
          </w:p>
          <w:p w14:paraId="562137BF">
            <w:pPr>
              <w:pStyle w:val="7"/>
              <w:rPr>
                <w:color w:val="auto"/>
              </w:rPr>
            </w:pPr>
          </w:p>
        </w:tc>
      </w:tr>
      <w:tr w14:paraId="3FACB9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22" w:type="dxa"/>
            <w:vAlign w:val="center"/>
          </w:tcPr>
          <w:p w14:paraId="49EDFC43">
            <w:pPr>
              <w:pStyle w:val="18"/>
              <w:adjustRightInd w:val="0"/>
              <w:snapToGrid w:val="0"/>
              <w:spacing w:before="0" w:beforeAutospacing="0" w:after="0" w:afterAutospacing="0"/>
              <w:jc w:val="center"/>
              <w:rPr>
                <w:rFonts w:ascii="Times New Roman" w:hAnsi="Times New Roman" w:eastAsia="宋体"/>
                <w:caps w:val="0"/>
                <w:color w:val="auto"/>
                <w:szCs w:val="24"/>
                <w:highlight w:val="none"/>
              </w:rPr>
            </w:pPr>
            <w:r>
              <w:rPr>
                <w:rFonts w:ascii="Times New Roman" w:hAnsi="Times New Roman" w:eastAsia="宋体"/>
                <w:caps w:val="0"/>
                <w:color w:val="auto"/>
                <w:szCs w:val="24"/>
                <w:highlight w:val="none"/>
              </w:rPr>
              <w:t>工艺流程和产排污环节</w:t>
            </w:r>
          </w:p>
        </w:tc>
        <w:tc>
          <w:tcPr>
            <w:tcW w:w="8102" w:type="dxa"/>
          </w:tcPr>
          <w:p w14:paraId="40815764">
            <w:pPr>
              <w:keepNext w:val="0"/>
              <w:keepLines w:val="0"/>
              <w:pageBreakBefore w:val="0"/>
              <w:widowControl w:val="0"/>
              <w:kinsoku/>
              <w:wordWrap/>
              <w:overflowPunct/>
              <w:topLinePunct w:val="0"/>
              <w:autoSpaceDE w:val="0"/>
              <w:autoSpaceDN w:val="0"/>
              <w:bidi w:val="0"/>
              <w:adjustRightInd w:val="0"/>
              <w:snapToGrid w:val="0"/>
              <w:spacing w:beforeAutospacing="0" w:line="360" w:lineRule="auto"/>
              <w:ind w:right="0" w:firstLine="482" w:firstLineChars="200"/>
              <w:jc w:val="left"/>
              <w:textAlignment w:val="auto"/>
              <w:rPr>
                <w:color w:val="auto"/>
              </w:rPr>
            </w:pPr>
            <w:r>
              <w:rPr>
                <w:rFonts w:ascii="Times New Roman" w:hAnsi="Times New Roman" w:eastAsia="宋体"/>
                <w:b/>
                <w:bCs/>
                <w:caps w:val="0"/>
                <w:color w:val="auto"/>
                <w:kern w:val="0"/>
                <w:sz w:val="24"/>
                <w:highlight w:val="none"/>
              </w:rPr>
              <w:t>项目生产工艺流程及产污环节分析</w:t>
            </w:r>
          </w:p>
          <w:p w14:paraId="34B1E6FC">
            <w:pPr>
              <w:pStyle w:val="7"/>
              <w:keepNext w:val="0"/>
              <w:keepLines w:val="0"/>
              <w:pageBreakBefore w:val="0"/>
              <w:kinsoku/>
              <w:wordWrap/>
              <w:overflowPunct/>
              <w:topLinePunct w:val="0"/>
              <w:bidi w:val="0"/>
              <w:snapToGrid w:val="0"/>
              <w:spacing w:before="0" w:after="0" w:line="360" w:lineRule="auto"/>
              <w:ind w:right="0" w:firstLine="480" w:firstLineChars="200"/>
              <w:textAlignment w:val="auto"/>
              <w:rPr>
                <w:rFonts w:hint="eastAsia"/>
                <w:b w:val="0"/>
                <w:bCs/>
                <w:caps w:val="0"/>
                <w:color w:val="auto"/>
                <w:kern w:val="0"/>
                <w:sz w:val="22"/>
                <w:szCs w:val="18"/>
                <w:highlight w:val="none"/>
                <w:lang w:val="en-US" w:eastAsia="zh-CN"/>
              </w:rPr>
            </w:pPr>
            <w:r>
              <w:rPr>
                <w:rFonts w:hint="eastAsia" w:ascii="Times New Roman" w:hAnsi="Times New Roman" w:eastAsia="宋体" w:cs="Times New Roman"/>
                <w:caps w:val="0"/>
                <w:color w:val="auto"/>
                <w:kern w:val="2"/>
                <w:sz w:val="24"/>
                <w:szCs w:val="24"/>
                <w:highlight w:val="none"/>
                <w:lang w:val="en-US" w:eastAsia="zh-CN" w:bidi="ar-SA"/>
              </w:rPr>
              <w:t>高压连接器为高压线束配套零配件，自用，不单独作为产品出售</w:t>
            </w:r>
            <w:r>
              <w:rPr>
                <w:rFonts w:hint="eastAsia" w:cs="Times New Roman"/>
                <w:caps w:val="0"/>
                <w:color w:val="auto"/>
                <w:kern w:val="2"/>
                <w:sz w:val="24"/>
                <w:szCs w:val="24"/>
                <w:highlight w:val="none"/>
                <w:lang w:val="en-US" w:eastAsia="zh-CN" w:bidi="ar-SA"/>
              </w:rPr>
              <w:t>，生产工艺流程如下</w:t>
            </w:r>
            <w:r>
              <w:rPr>
                <w:rFonts w:hint="eastAsia" w:ascii="Times New Roman" w:hAnsi="Times New Roman" w:eastAsia="宋体" w:cs="Times New Roman"/>
                <w:caps w:val="0"/>
                <w:color w:val="auto"/>
                <w:kern w:val="2"/>
                <w:sz w:val="24"/>
                <w:szCs w:val="24"/>
                <w:highlight w:val="none"/>
                <w:lang w:val="en-US" w:eastAsia="zh-CN" w:bidi="ar-SA"/>
              </w:rPr>
              <w:t>。</w:t>
            </w:r>
          </w:p>
          <w:p w14:paraId="1AC1BAFA">
            <w:pPr>
              <w:spacing w:line="360" w:lineRule="auto"/>
              <w:ind w:firstLine="420" w:firstLineChars="200"/>
              <w:jc w:val="center"/>
              <w:rPr>
                <w:rFonts w:hint="eastAsia" w:ascii="Times New Roman" w:hAnsi="Times New Roman" w:eastAsia="宋体"/>
                <w:caps w:val="0"/>
                <w:color w:val="auto"/>
                <w:sz w:val="24"/>
                <w:highlight w:val="none"/>
                <w:lang w:val="en-US" w:eastAsia="zh-CN"/>
              </w:rPr>
            </w:pPr>
            <w:r>
              <w:drawing>
                <wp:inline distT="0" distB="0" distL="114300" distR="114300">
                  <wp:extent cx="4052570" cy="3690620"/>
                  <wp:effectExtent l="0" t="0" r="5080" b="508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10"/>
                          <a:stretch>
                            <a:fillRect/>
                          </a:stretch>
                        </pic:blipFill>
                        <pic:spPr>
                          <a:xfrm>
                            <a:off x="0" y="0"/>
                            <a:ext cx="4052570" cy="3690620"/>
                          </a:xfrm>
                          <a:prstGeom prst="rect">
                            <a:avLst/>
                          </a:prstGeom>
                          <a:noFill/>
                          <a:ln>
                            <a:noFill/>
                          </a:ln>
                        </pic:spPr>
                      </pic:pic>
                    </a:graphicData>
                  </a:graphic>
                </wp:inline>
              </w:drawing>
            </w:r>
          </w:p>
          <w:p w14:paraId="19F8F849">
            <w:pPr>
              <w:spacing w:line="360" w:lineRule="auto"/>
              <w:jc w:val="center"/>
              <w:rPr>
                <w:b/>
                <w:bCs/>
                <w:iCs/>
                <w:color w:val="auto"/>
                <w:kern w:val="0"/>
                <w:sz w:val="24"/>
              </w:rPr>
            </w:pPr>
            <w:r>
              <w:rPr>
                <w:rFonts w:hint="eastAsia"/>
                <w:b/>
                <w:bCs/>
                <w:iCs/>
                <w:color w:val="auto"/>
                <w:kern w:val="0"/>
                <w:sz w:val="24"/>
              </w:rPr>
              <w:t>图2-</w:t>
            </w:r>
            <w:r>
              <w:rPr>
                <w:rFonts w:hint="eastAsia"/>
                <w:b/>
                <w:bCs/>
                <w:iCs/>
                <w:color w:val="auto"/>
                <w:kern w:val="0"/>
                <w:sz w:val="24"/>
                <w:lang w:val="en-US" w:eastAsia="zh-CN"/>
              </w:rPr>
              <w:t>3</w:t>
            </w:r>
            <w:r>
              <w:rPr>
                <w:b/>
                <w:bCs/>
                <w:iCs/>
                <w:color w:val="auto"/>
                <w:kern w:val="0"/>
                <w:sz w:val="24"/>
              </w:rPr>
              <w:t xml:space="preserve">  </w:t>
            </w:r>
            <w:r>
              <w:rPr>
                <w:rFonts w:hint="eastAsia"/>
                <w:b/>
                <w:bCs/>
                <w:iCs/>
                <w:color w:val="auto"/>
                <w:kern w:val="0"/>
                <w:sz w:val="24"/>
              </w:rPr>
              <w:t>高压连接器生产工艺流程图</w:t>
            </w:r>
          </w:p>
          <w:p w14:paraId="46B14D7D">
            <w:pPr>
              <w:autoSpaceDE w:val="0"/>
              <w:autoSpaceDN w:val="0"/>
              <w:adjustRightInd w:val="0"/>
              <w:snapToGrid w:val="0"/>
              <w:spacing w:line="360" w:lineRule="auto"/>
              <w:rPr>
                <w:b/>
                <w:color w:val="auto"/>
                <w:kern w:val="0"/>
                <w:sz w:val="24"/>
                <w:szCs w:val="20"/>
              </w:rPr>
            </w:pPr>
            <w:r>
              <w:rPr>
                <w:rFonts w:hint="eastAsia"/>
                <w:b/>
                <w:color w:val="auto"/>
                <w:kern w:val="0"/>
                <w:sz w:val="24"/>
                <w:szCs w:val="20"/>
              </w:rPr>
              <w:t>生产工艺流程简述：</w:t>
            </w:r>
          </w:p>
          <w:p w14:paraId="28040FA7">
            <w:pPr>
              <w:spacing w:line="360" w:lineRule="auto"/>
              <w:ind w:firstLine="480" w:firstLineChars="200"/>
              <w:jc w:val="left"/>
              <w:rPr>
                <w:bCs/>
                <w:iCs/>
                <w:color w:val="auto"/>
                <w:kern w:val="0"/>
                <w:sz w:val="24"/>
              </w:rPr>
            </w:pPr>
            <w:r>
              <w:rPr>
                <w:rFonts w:hint="eastAsia"/>
                <w:bCs/>
                <w:iCs/>
                <w:color w:val="auto"/>
                <w:kern w:val="0"/>
                <w:sz w:val="24"/>
              </w:rPr>
              <w:t>（1）切割下料：外购黄铜带</w:t>
            </w:r>
            <w:r>
              <w:rPr>
                <w:rFonts w:hint="eastAsia"/>
                <w:bCs/>
                <w:iCs/>
                <w:color w:val="auto"/>
                <w:kern w:val="0"/>
                <w:sz w:val="24"/>
                <w:lang w:eastAsia="zh-CN"/>
              </w:rPr>
              <w:t>、</w:t>
            </w:r>
            <w:r>
              <w:rPr>
                <w:rFonts w:hint="eastAsia"/>
                <w:bCs/>
                <w:iCs/>
                <w:color w:val="auto"/>
                <w:kern w:val="0"/>
                <w:sz w:val="24"/>
                <w:lang w:val="en-US" w:eastAsia="zh-CN"/>
              </w:rPr>
              <w:t>黄铜板</w:t>
            </w:r>
            <w:r>
              <w:rPr>
                <w:rFonts w:hint="eastAsia"/>
                <w:bCs/>
                <w:iCs/>
                <w:color w:val="auto"/>
                <w:kern w:val="0"/>
                <w:sz w:val="24"/>
              </w:rPr>
              <w:t>经切割机分切下料，方便后续加工，本项目采用线切割，作业过程加入切削液，切削液经滤网过滤掉切割过程产生的废金属屑后循环使用，定期更换，因此会产生废切削液S</w:t>
            </w:r>
            <w:r>
              <w:rPr>
                <w:rFonts w:hint="eastAsia"/>
                <w:bCs/>
                <w:iCs/>
                <w:color w:val="auto"/>
                <w:kern w:val="0"/>
                <w:sz w:val="24"/>
                <w:lang w:val="en-US" w:eastAsia="zh-CN"/>
              </w:rPr>
              <w:t>1</w:t>
            </w:r>
            <w:r>
              <w:rPr>
                <w:rFonts w:hint="eastAsia"/>
                <w:bCs/>
                <w:iCs/>
                <w:color w:val="auto"/>
                <w:kern w:val="0"/>
                <w:sz w:val="24"/>
              </w:rPr>
              <w:t>、废金属碎屑S</w:t>
            </w:r>
            <w:r>
              <w:rPr>
                <w:rFonts w:hint="eastAsia"/>
                <w:bCs/>
                <w:iCs/>
                <w:color w:val="auto"/>
                <w:kern w:val="0"/>
                <w:sz w:val="24"/>
                <w:lang w:val="en-US" w:eastAsia="zh-CN"/>
              </w:rPr>
              <w:t>2</w:t>
            </w:r>
            <w:r>
              <w:rPr>
                <w:rFonts w:hint="eastAsia"/>
                <w:bCs/>
                <w:iCs/>
                <w:color w:val="auto"/>
                <w:kern w:val="0"/>
                <w:sz w:val="24"/>
              </w:rPr>
              <w:t>，同时会</w:t>
            </w:r>
            <w:r>
              <w:rPr>
                <w:rFonts w:hint="eastAsia"/>
                <w:bCs/>
                <w:iCs/>
                <w:color w:val="auto"/>
                <w:kern w:val="0"/>
                <w:sz w:val="24"/>
                <w:lang w:val="en-US" w:eastAsia="zh-CN"/>
              </w:rPr>
              <w:t>产生</w:t>
            </w:r>
            <w:r>
              <w:rPr>
                <w:rFonts w:hint="eastAsia"/>
                <w:bCs/>
                <w:iCs/>
                <w:color w:val="auto"/>
                <w:kern w:val="0"/>
                <w:sz w:val="24"/>
              </w:rPr>
              <w:t>金属边角料S</w:t>
            </w:r>
            <w:r>
              <w:rPr>
                <w:rFonts w:hint="eastAsia"/>
                <w:bCs/>
                <w:iCs/>
                <w:color w:val="auto"/>
                <w:kern w:val="0"/>
                <w:sz w:val="24"/>
                <w:lang w:val="en-US" w:eastAsia="zh-CN"/>
              </w:rPr>
              <w:t>3、含切削液的废金属屑S4</w:t>
            </w:r>
            <w:r>
              <w:rPr>
                <w:rFonts w:hint="eastAsia"/>
                <w:bCs/>
                <w:iCs/>
                <w:color w:val="auto"/>
                <w:kern w:val="0"/>
                <w:sz w:val="24"/>
              </w:rPr>
              <w:t>和噪声N。</w:t>
            </w:r>
          </w:p>
          <w:p w14:paraId="18D2B409">
            <w:pPr>
              <w:spacing w:line="360" w:lineRule="auto"/>
              <w:ind w:firstLine="480" w:firstLineChars="200"/>
              <w:jc w:val="left"/>
              <w:rPr>
                <w:bCs/>
                <w:iCs/>
                <w:color w:val="auto"/>
                <w:kern w:val="0"/>
                <w:sz w:val="24"/>
              </w:rPr>
            </w:pPr>
            <w:r>
              <w:rPr>
                <w:rFonts w:hint="eastAsia"/>
                <w:bCs/>
                <w:iCs/>
                <w:color w:val="auto"/>
                <w:kern w:val="0"/>
                <w:sz w:val="24"/>
              </w:rPr>
              <w:t>（2）冲压成型：下料后的黄铜带通过冲床冲压成型，</w:t>
            </w:r>
            <w:r>
              <w:rPr>
                <w:rFonts w:hint="eastAsia"/>
                <w:bCs/>
                <w:iCs/>
                <w:color w:val="auto"/>
                <w:kern w:val="0"/>
                <w:sz w:val="24"/>
                <w:lang w:val="en-US" w:eastAsia="zh-CN"/>
              </w:rPr>
              <w:t>此</w:t>
            </w:r>
            <w:r>
              <w:rPr>
                <w:rFonts w:hint="eastAsia"/>
                <w:bCs/>
                <w:iCs/>
                <w:color w:val="auto"/>
                <w:kern w:val="0"/>
                <w:sz w:val="24"/>
              </w:rPr>
              <w:t>工序会产生金属边角料S</w:t>
            </w:r>
            <w:r>
              <w:rPr>
                <w:rFonts w:hint="eastAsia"/>
                <w:bCs/>
                <w:iCs/>
                <w:color w:val="auto"/>
                <w:kern w:val="0"/>
                <w:sz w:val="24"/>
                <w:lang w:val="en-US" w:eastAsia="zh-CN"/>
              </w:rPr>
              <w:t>5</w:t>
            </w:r>
            <w:r>
              <w:rPr>
                <w:rFonts w:hint="eastAsia"/>
                <w:bCs/>
                <w:iCs/>
                <w:color w:val="auto"/>
                <w:kern w:val="0"/>
                <w:sz w:val="24"/>
              </w:rPr>
              <w:t>和噪声N</w:t>
            </w:r>
            <w:r>
              <w:rPr>
                <w:bCs/>
                <w:iCs/>
                <w:color w:val="auto"/>
                <w:kern w:val="0"/>
                <w:sz w:val="24"/>
              </w:rPr>
              <w:t>。</w:t>
            </w:r>
          </w:p>
          <w:p w14:paraId="360AD785">
            <w:pPr>
              <w:spacing w:line="360" w:lineRule="auto"/>
              <w:ind w:firstLine="480" w:firstLineChars="200"/>
              <w:jc w:val="left"/>
              <w:rPr>
                <w:bCs/>
                <w:iCs/>
                <w:color w:val="auto"/>
                <w:kern w:val="0"/>
                <w:sz w:val="24"/>
              </w:rPr>
            </w:pPr>
            <w:r>
              <w:rPr>
                <w:rFonts w:hint="eastAsia"/>
                <w:bCs/>
                <w:iCs/>
                <w:color w:val="auto"/>
                <w:kern w:val="0"/>
                <w:sz w:val="24"/>
              </w:rPr>
              <w:t>（3）检验：冲压成型后的产品经人工检验产品尺寸、外观等，该工序会产生</w:t>
            </w:r>
            <w:r>
              <w:rPr>
                <w:rFonts w:hint="eastAsia"/>
                <w:bCs/>
                <w:iCs/>
                <w:color w:val="auto"/>
                <w:kern w:val="0"/>
                <w:sz w:val="24"/>
                <w:lang w:val="en-US" w:eastAsia="zh-CN"/>
              </w:rPr>
              <w:t>不合格高压连接器</w:t>
            </w:r>
            <w:r>
              <w:rPr>
                <w:rFonts w:hint="eastAsia"/>
                <w:bCs/>
                <w:iCs/>
                <w:color w:val="auto"/>
                <w:kern w:val="0"/>
                <w:sz w:val="24"/>
              </w:rPr>
              <w:t>S</w:t>
            </w:r>
            <w:r>
              <w:rPr>
                <w:rFonts w:hint="eastAsia"/>
                <w:bCs/>
                <w:iCs/>
                <w:color w:val="auto"/>
                <w:kern w:val="0"/>
                <w:sz w:val="24"/>
                <w:lang w:val="en-US" w:eastAsia="zh-CN"/>
              </w:rPr>
              <w:t>6</w:t>
            </w:r>
            <w:r>
              <w:rPr>
                <w:bCs/>
                <w:iCs/>
                <w:color w:val="auto"/>
                <w:kern w:val="0"/>
                <w:sz w:val="24"/>
              </w:rPr>
              <w:t>。</w:t>
            </w:r>
          </w:p>
          <w:p w14:paraId="39735945">
            <w:pPr>
              <w:spacing w:line="360" w:lineRule="auto"/>
              <w:ind w:firstLine="480" w:firstLineChars="200"/>
              <w:jc w:val="left"/>
              <w:rPr>
                <w:bCs/>
                <w:iCs/>
                <w:color w:val="auto"/>
                <w:kern w:val="0"/>
                <w:sz w:val="24"/>
              </w:rPr>
            </w:pPr>
            <w:r>
              <w:rPr>
                <w:rFonts w:hint="eastAsia"/>
                <w:bCs/>
                <w:iCs/>
                <w:color w:val="auto"/>
                <w:kern w:val="0"/>
                <w:sz w:val="24"/>
              </w:rPr>
              <w:t>（4）包装入库：检验合格后的产品包装入库，此工序会产生废包装材料S</w:t>
            </w:r>
            <w:r>
              <w:rPr>
                <w:rFonts w:hint="eastAsia"/>
                <w:bCs/>
                <w:iCs/>
                <w:color w:val="auto"/>
                <w:kern w:val="0"/>
                <w:sz w:val="24"/>
                <w:lang w:val="en-US" w:eastAsia="zh-CN"/>
              </w:rPr>
              <w:t>7</w:t>
            </w:r>
            <w:r>
              <w:rPr>
                <w:rFonts w:hint="eastAsia"/>
                <w:bCs/>
                <w:iCs/>
                <w:color w:val="auto"/>
                <w:kern w:val="0"/>
                <w:sz w:val="24"/>
              </w:rPr>
              <w:t>。</w:t>
            </w:r>
          </w:p>
          <w:p w14:paraId="2C4B9E02">
            <w:pPr>
              <w:rPr>
                <w:color w:val="auto"/>
              </w:rPr>
            </w:pPr>
          </w:p>
          <w:p w14:paraId="21B871CB">
            <w:pPr>
              <w:spacing w:line="360" w:lineRule="auto"/>
              <w:ind w:firstLine="420" w:firstLineChars="200"/>
              <w:jc w:val="center"/>
              <w:rPr>
                <w:rFonts w:hint="eastAsia" w:ascii="Times New Roman" w:hAnsi="Times New Roman" w:eastAsia="宋体"/>
                <w:caps w:val="0"/>
                <w:color w:val="auto"/>
                <w:sz w:val="24"/>
                <w:highlight w:val="none"/>
                <w:lang w:val="en-US" w:eastAsia="zh-CN"/>
              </w:rPr>
            </w:pPr>
            <w:r>
              <w:drawing>
                <wp:inline distT="0" distB="0" distL="114300" distR="114300">
                  <wp:extent cx="4476750" cy="6216650"/>
                  <wp:effectExtent l="0" t="0" r="0" b="12700"/>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pic:cNvPicPr>
                        </pic:nvPicPr>
                        <pic:blipFill>
                          <a:blip r:embed="rId11"/>
                          <a:stretch>
                            <a:fillRect/>
                          </a:stretch>
                        </pic:blipFill>
                        <pic:spPr>
                          <a:xfrm>
                            <a:off x="0" y="0"/>
                            <a:ext cx="4476750" cy="6216650"/>
                          </a:xfrm>
                          <a:prstGeom prst="rect">
                            <a:avLst/>
                          </a:prstGeom>
                          <a:noFill/>
                          <a:ln>
                            <a:noFill/>
                          </a:ln>
                        </pic:spPr>
                      </pic:pic>
                    </a:graphicData>
                  </a:graphic>
                </wp:inline>
              </w:drawing>
            </w:r>
          </w:p>
          <w:p w14:paraId="44642A5A">
            <w:pPr>
              <w:spacing w:line="360" w:lineRule="auto"/>
              <w:jc w:val="center"/>
              <w:rPr>
                <w:rFonts w:hint="eastAsia"/>
                <w:b/>
                <w:color w:val="auto"/>
                <w:kern w:val="0"/>
                <w:sz w:val="24"/>
                <w:szCs w:val="20"/>
              </w:rPr>
            </w:pPr>
            <w:r>
              <w:rPr>
                <w:rFonts w:hint="eastAsia"/>
                <w:b/>
                <w:bCs/>
                <w:color w:val="auto"/>
                <w:kern w:val="0"/>
                <w:sz w:val="24"/>
                <w:szCs w:val="20"/>
              </w:rPr>
              <w:t>图</w:t>
            </w:r>
            <w:r>
              <w:rPr>
                <w:b/>
                <w:bCs/>
                <w:color w:val="auto"/>
                <w:kern w:val="0"/>
                <w:sz w:val="24"/>
                <w:szCs w:val="20"/>
              </w:rPr>
              <w:t>2</w:t>
            </w:r>
            <w:r>
              <w:rPr>
                <w:rFonts w:hint="eastAsia"/>
                <w:b/>
                <w:bCs/>
                <w:color w:val="auto"/>
                <w:kern w:val="0"/>
                <w:sz w:val="24"/>
                <w:szCs w:val="20"/>
              </w:rPr>
              <w:t>-</w:t>
            </w:r>
            <w:r>
              <w:rPr>
                <w:rFonts w:hint="eastAsia"/>
                <w:b/>
                <w:bCs/>
                <w:color w:val="auto"/>
                <w:kern w:val="0"/>
                <w:sz w:val="24"/>
                <w:szCs w:val="20"/>
                <w:lang w:val="en-US" w:eastAsia="zh-CN"/>
              </w:rPr>
              <w:t>4</w:t>
            </w:r>
            <w:r>
              <w:rPr>
                <w:b/>
                <w:bCs/>
                <w:color w:val="auto"/>
                <w:kern w:val="0"/>
                <w:sz w:val="24"/>
                <w:szCs w:val="20"/>
              </w:rPr>
              <w:t xml:space="preserve">  </w:t>
            </w:r>
            <w:r>
              <w:rPr>
                <w:rFonts w:hint="eastAsia"/>
                <w:b/>
                <w:bCs/>
                <w:color w:val="auto"/>
                <w:kern w:val="0"/>
                <w:sz w:val="24"/>
                <w:szCs w:val="20"/>
                <w:lang w:val="en-US" w:eastAsia="zh-CN"/>
              </w:rPr>
              <w:t>高压线束</w:t>
            </w:r>
            <w:r>
              <w:rPr>
                <w:rFonts w:hint="eastAsia"/>
                <w:b/>
                <w:bCs/>
                <w:color w:val="auto"/>
                <w:kern w:val="0"/>
                <w:sz w:val="24"/>
                <w:szCs w:val="20"/>
              </w:rPr>
              <w:t>生产工艺流程图</w:t>
            </w:r>
          </w:p>
          <w:p w14:paraId="703D186B">
            <w:pPr>
              <w:autoSpaceDE w:val="0"/>
              <w:autoSpaceDN w:val="0"/>
              <w:adjustRightInd w:val="0"/>
              <w:snapToGrid w:val="0"/>
              <w:spacing w:line="360" w:lineRule="auto"/>
              <w:rPr>
                <w:b/>
                <w:color w:val="auto"/>
                <w:kern w:val="0"/>
                <w:sz w:val="24"/>
                <w:szCs w:val="20"/>
              </w:rPr>
            </w:pPr>
            <w:r>
              <w:rPr>
                <w:rFonts w:hint="eastAsia"/>
                <w:b/>
                <w:color w:val="auto"/>
                <w:kern w:val="0"/>
                <w:sz w:val="24"/>
                <w:szCs w:val="20"/>
              </w:rPr>
              <w:t>生产工艺流程简述：</w:t>
            </w:r>
          </w:p>
          <w:p w14:paraId="2BB8EC54">
            <w:pPr>
              <w:spacing w:line="360" w:lineRule="auto"/>
              <w:ind w:firstLine="480" w:firstLineChars="200"/>
              <w:jc w:val="left"/>
              <w:rPr>
                <w:bCs/>
                <w:iCs/>
                <w:color w:val="auto"/>
                <w:kern w:val="0"/>
                <w:sz w:val="24"/>
              </w:rPr>
            </w:pPr>
            <w:r>
              <w:rPr>
                <w:bCs/>
                <w:iCs/>
                <w:color w:val="auto"/>
                <w:kern w:val="0"/>
                <w:sz w:val="24"/>
              </w:rPr>
              <w:t>（1）</w:t>
            </w:r>
            <w:r>
              <w:rPr>
                <w:rFonts w:hint="eastAsia"/>
                <w:bCs/>
                <w:iCs/>
                <w:color w:val="auto"/>
                <w:kern w:val="0"/>
                <w:sz w:val="24"/>
              </w:rPr>
              <w:t>配</w:t>
            </w:r>
            <w:r>
              <w:rPr>
                <w:bCs/>
                <w:iCs/>
                <w:color w:val="auto"/>
                <w:kern w:val="0"/>
                <w:sz w:val="24"/>
              </w:rPr>
              <w:t>料：</w:t>
            </w:r>
            <w:r>
              <w:rPr>
                <w:rFonts w:hint="eastAsia"/>
                <w:bCs/>
                <w:iCs/>
                <w:color w:val="auto"/>
                <w:kern w:val="0"/>
                <w:sz w:val="24"/>
              </w:rPr>
              <w:t>高压线束使用原料为</w:t>
            </w:r>
            <w:r>
              <w:rPr>
                <w:rFonts w:hint="eastAsia"/>
                <w:bCs/>
                <w:iCs/>
                <w:color w:val="auto"/>
                <w:kern w:val="0"/>
                <w:sz w:val="24"/>
                <w:lang w:val="en-US" w:eastAsia="zh-CN"/>
              </w:rPr>
              <w:t>PA66</w:t>
            </w:r>
            <w:r>
              <w:rPr>
                <w:rFonts w:hint="eastAsia"/>
                <w:bCs/>
                <w:iCs/>
                <w:color w:val="auto"/>
                <w:kern w:val="0"/>
                <w:sz w:val="24"/>
              </w:rPr>
              <w:t>，通过称量配比、混合，然后加入适量色母粒调色，外购</w:t>
            </w:r>
            <w:r>
              <w:rPr>
                <w:rFonts w:hint="eastAsia"/>
                <w:bCs/>
                <w:iCs/>
                <w:color w:val="auto"/>
                <w:kern w:val="0"/>
                <w:sz w:val="24"/>
                <w:lang w:val="en-US" w:eastAsia="zh-CN"/>
              </w:rPr>
              <w:t>PA66</w:t>
            </w:r>
            <w:r>
              <w:rPr>
                <w:rFonts w:hint="eastAsia"/>
                <w:bCs/>
                <w:iCs/>
                <w:color w:val="auto"/>
                <w:kern w:val="0"/>
                <w:sz w:val="24"/>
              </w:rPr>
              <w:t>、色母粒均为大颗粒状，称量、混合过程无粉尘产生</w:t>
            </w:r>
            <w:r>
              <w:rPr>
                <w:rFonts w:hint="eastAsia"/>
                <w:bCs/>
                <w:iCs/>
                <w:color w:val="auto"/>
                <w:kern w:val="0"/>
                <w:sz w:val="24"/>
                <w:lang w:eastAsia="zh-CN"/>
              </w:rPr>
              <w:t>，</w:t>
            </w:r>
            <w:r>
              <w:rPr>
                <w:rFonts w:hint="eastAsia"/>
                <w:bCs/>
                <w:iCs/>
                <w:color w:val="auto"/>
                <w:kern w:val="0"/>
                <w:sz w:val="24"/>
                <w:lang w:val="en-US" w:eastAsia="zh-CN"/>
              </w:rPr>
              <w:t>此过程产生噪声N</w:t>
            </w:r>
            <w:r>
              <w:rPr>
                <w:rFonts w:hint="eastAsia"/>
                <w:bCs/>
                <w:iCs/>
                <w:color w:val="auto"/>
                <w:kern w:val="0"/>
                <w:sz w:val="24"/>
              </w:rPr>
              <w:t>。</w:t>
            </w:r>
          </w:p>
          <w:p w14:paraId="0553C9CC">
            <w:pPr>
              <w:spacing w:line="360" w:lineRule="auto"/>
              <w:ind w:firstLine="480" w:firstLineChars="200"/>
              <w:jc w:val="left"/>
              <w:rPr>
                <w:bCs/>
                <w:iCs/>
                <w:color w:val="auto"/>
                <w:kern w:val="0"/>
                <w:sz w:val="24"/>
              </w:rPr>
            </w:pPr>
            <w:r>
              <w:rPr>
                <w:bCs/>
                <w:iCs/>
                <w:color w:val="auto"/>
                <w:kern w:val="0"/>
                <w:sz w:val="24"/>
              </w:rPr>
              <w:t>（2）</w:t>
            </w:r>
            <w:r>
              <w:rPr>
                <w:rFonts w:hint="eastAsia"/>
                <w:bCs/>
                <w:iCs/>
                <w:color w:val="auto"/>
                <w:kern w:val="0"/>
                <w:sz w:val="24"/>
              </w:rPr>
              <w:t>干燥：外购</w:t>
            </w:r>
            <w:r>
              <w:rPr>
                <w:rFonts w:hint="eastAsia"/>
                <w:bCs/>
                <w:iCs/>
                <w:color w:val="auto"/>
                <w:kern w:val="0"/>
                <w:sz w:val="24"/>
                <w:lang w:val="en-US" w:eastAsia="zh-CN"/>
              </w:rPr>
              <w:t>PA66</w:t>
            </w:r>
            <w:r>
              <w:rPr>
                <w:rFonts w:hint="eastAsia"/>
                <w:bCs/>
                <w:iCs/>
                <w:color w:val="auto"/>
                <w:kern w:val="0"/>
                <w:sz w:val="24"/>
              </w:rPr>
              <w:t>粒子含有少量水分，直接注塑将造成产品性能下降，因此使用前通过电加热烘干，将PA66粒子中少量水分烘干，干燥温度在50~60℃，未达到塑料粒子的分解温度，项目采用电作为热源，此工序无有机废气产生</w:t>
            </w:r>
            <w:r>
              <w:rPr>
                <w:rFonts w:hint="eastAsia"/>
                <w:bCs/>
                <w:iCs/>
                <w:color w:val="auto"/>
                <w:kern w:val="0"/>
                <w:sz w:val="24"/>
                <w:lang w:eastAsia="zh-CN"/>
              </w:rPr>
              <w:t>，</w:t>
            </w:r>
            <w:r>
              <w:rPr>
                <w:rFonts w:hint="eastAsia"/>
                <w:bCs/>
                <w:iCs/>
                <w:color w:val="auto"/>
                <w:kern w:val="0"/>
                <w:sz w:val="24"/>
                <w:lang w:val="en-US" w:eastAsia="zh-CN"/>
              </w:rPr>
              <w:t>产生噪声N</w:t>
            </w:r>
            <w:r>
              <w:rPr>
                <w:rFonts w:hint="eastAsia"/>
                <w:bCs/>
                <w:iCs/>
                <w:color w:val="auto"/>
                <w:kern w:val="0"/>
                <w:sz w:val="24"/>
              </w:rPr>
              <w:t>。</w:t>
            </w:r>
          </w:p>
          <w:p w14:paraId="47894429">
            <w:pPr>
              <w:spacing w:line="360" w:lineRule="auto"/>
              <w:ind w:firstLine="480" w:firstLineChars="200"/>
              <w:jc w:val="left"/>
              <w:rPr>
                <w:bCs/>
                <w:iCs/>
                <w:color w:val="auto"/>
                <w:kern w:val="0"/>
                <w:sz w:val="24"/>
              </w:rPr>
            </w:pPr>
            <w:r>
              <w:rPr>
                <w:bCs/>
                <w:iCs/>
                <w:color w:val="auto"/>
                <w:kern w:val="0"/>
                <w:sz w:val="24"/>
              </w:rPr>
              <w:t>（3）</w:t>
            </w:r>
            <w:r>
              <w:rPr>
                <w:rFonts w:hint="eastAsia"/>
                <w:bCs/>
                <w:iCs/>
                <w:color w:val="auto"/>
                <w:kern w:val="0"/>
                <w:sz w:val="24"/>
              </w:rPr>
              <w:t>注塑成型：干燥后的粒子通过注塑机自动给料、注射成型。注塑机内温度在</w:t>
            </w:r>
            <w:r>
              <w:rPr>
                <w:rFonts w:hint="eastAsia"/>
                <w:bCs/>
                <w:iCs/>
                <w:color w:val="auto"/>
                <w:kern w:val="0"/>
                <w:sz w:val="24"/>
                <w:lang w:val="en-US" w:eastAsia="zh-CN"/>
              </w:rPr>
              <w:t>20</w:t>
            </w:r>
            <w:r>
              <w:rPr>
                <w:rFonts w:hint="eastAsia"/>
                <w:bCs/>
                <w:iCs/>
                <w:color w:val="auto"/>
                <w:kern w:val="0"/>
                <w:sz w:val="24"/>
              </w:rPr>
              <w:t>0~</w:t>
            </w:r>
            <w:r>
              <w:rPr>
                <w:rFonts w:hint="eastAsia"/>
                <w:bCs/>
                <w:iCs/>
                <w:color w:val="auto"/>
                <w:kern w:val="0"/>
                <w:sz w:val="24"/>
                <w:lang w:val="en-US" w:eastAsia="zh-CN"/>
              </w:rPr>
              <w:t>22</w:t>
            </w:r>
            <w:r>
              <w:rPr>
                <w:rFonts w:hint="eastAsia"/>
                <w:bCs/>
                <w:iCs/>
                <w:color w:val="auto"/>
                <w:kern w:val="0"/>
                <w:sz w:val="24"/>
              </w:rPr>
              <w:t>0℃，未达到塑料粒子的热分解温度，但塑料粒子在生产过程中含有的少量未聚合单体将产生挥发，因此注塑工序会产生注塑废气G1。</w:t>
            </w:r>
          </w:p>
          <w:p w14:paraId="60E54A87">
            <w:pPr>
              <w:spacing w:line="360" w:lineRule="auto"/>
              <w:ind w:firstLine="480" w:firstLineChars="200"/>
              <w:jc w:val="left"/>
              <w:rPr>
                <w:bCs/>
                <w:iCs/>
                <w:color w:val="auto"/>
                <w:kern w:val="0"/>
                <w:sz w:val="24"/>
              </w:rPr>
            </w:pPr>
            <w:r>
              <w:rPr>
                <w:bCs/>
                <w:iCs/>
                <w:color w:val="auto"/>
                <w:kern w:val="0"/>
                <w:sz w:val="24"/>
              </w:rPr>
              <w:t>（4）</w:t>
            </w:r>
            <w:r>
              <w:rPr>
                <w:rFonts w:hint="eastAsia"/>
                <w:bCs/>
                <w:iCs/>
                <w:color w:val="auto"/>
                <w:kern w:val="0"/>
                <w:sz w:val="24"/>
              </w:rPr>
              <w:t>去毛刺：注塑成型后的工件表面含有毛刺，需经人工检验去除，该工序会产生少量塑料边角料S</w:t>
            </w:r>
            <w:r>
              <w:rPr>
                <w:rFonts w:hint="eastAsia"/>
                <w:bCs/>
                <w:iCs/>
                <w:color w:val="auto"/>
                <w:kern w:val="0"/>
                <w:sz w:val="24"/>
                <w:lang w:val="en-US" w:eastAsia="zh-CN"/>
              </w:rPr>
              <w:t>8</w:t>
            </w:r>
            <w:r>
              <w:rPr>
                <w:rFonts w:hint="eastAsia"/>
                <w:bCs/>
                <w:iCs/>
                <w:color w:val="auto"/>
                <w:kern w:val="0"/>
                <w:sz w:val="24"/>
              </w:rPr>
              <w:t>。</w:t>
            </w:r>
          </w:p>
          <w:p w14:paraId="361EB34C">
            <w:pPr>
              <w:spacing w:line="360" w:lineRule="auto"/>
              <w:ind w:firstLine="480" w:firstLineChars="200"/>
              <w:jc w:val="left"/>
              <w:rPr>
                <w:bCs/>
                <w:iCs/>
                <w:color w:val="auto"/>
                <w:kern w:val="0"/>
                <w:sz w:val="24"/>
              </w:rPr>
            </w:pPr>
            <w:r>
              <w:rPr>
                <w:bCs/>
                <w:iCs/>
                <w:color w:val="auto"/>
                <w:kern w:val="0"/>
                <w:sz w:val="24"/>
              </w:rPr>
              <w:t>（5）</w:t>
            </w:r>
            <w:r>
              <w:rPr>
                <w:rFonts w:hint="eastAsia"/>
                <w:bCs/>
                <w:iCs/>
                <w:color w:val="auto"/>
                <w:kern w:val="0"/>
                <w:sz w:val="24"/>
              </w:rPr>
              <w:t>潮湿：去除毛刺后的半产品需要做吸湿处理，防止冬季温度过低造成开裂，因此通过放入温水水池中浸湿，该工序用水为水池循环水，采用电加热，定期补充，每</w:t>
            </w:r>
            <w:r>
              <w:rPr>
                <w:rFonts w:hint="eastAsia"/>
                <w:bCs/>
                <w:iCs/>
                <w:color w:val="auto"/>
                <w:kern w:val="0"/>
                <w:sz w:val="24"/>
                <w:lang w:val="en-US" w:eastAsia="zh-CN"/>
              </w:rPr>
              <w:t>周</w:t>
            </w:r>
            <w:r>
              <w:rPr>
                <w:rFonts w:hint="eastAsia"/>
                <w:bCs/>
                <w:iCs/>
                <w:color w:val="auto"/>
                <w:kern w:val="0"/>
                <w:sz w:val="24"/>
              </w:rPr>
              <w:t>排放1次，此工序会产生</w:t>
            </w:r>
            <w:r>
              <w:rPr>
                <w:rFonts w:hint="eastAsia"/>
                <w:bCs/>
                <w:iCs/>
                <w:color w:val="auto"/>
                <w:kern w:val="0"/>
                <w:sz w:val="24"/>
                <w:lang w:val="en-US" w:eastAsia="zh-CN"/>
              </w:rPr>
              <w:t>潮湿</w:t>
            </w:r>
            <w:r>
              <w:rPr>
                <w:rFonts w:hint="eastAsia"/>
                <w:bCs/>
                <w:iCs/>
                <w:color w:val="auto"/>
                <w:kern w:val="0"/>
                <w:sz w:val="24"/>
              </w:rPr>
              <w:t>废水W</w:t>
            </w:r>
            <w:r>
              <w:rPr>
                <w:bCs/>
                <w:iCs/>
                <w:color w:val="auto"/>
                <w:kern w:val="0"/>
                <w:sz w:val="24"/>
              </w:rPr>
              <w:t>1</w:t>
            </w:r>
            <w:r>
              <w:rPr>
                <w:rFonts w:hint="eastAsia"/>
                <w:bCs/>
                <w:iCs/>
                <w:color w:val="auto"/>
                <w:kern w:val="0"/>
                <w:sz w:val="24"/>
              </w:rPr>
              <w:t>。</w:t>
            </w:r>
          </w:p>
          <w:p w14:paraId="2961EF59">
            <w:pPr>
              <w:spacing w:line="360" w:lineRule="auto"/>
              <w:ind w:firstLine="480" w:firstLineChars="200"/>
              <w:jc w:val="left"/>
              <w:rPr>
                <w:bCs/>
                <w:iCs/>
                <w:color w:val="auto"/>
                <w:kern w:val="0"/>
                <w:sz w:val="24"/>
              </w:rPr>
            </w:pPr>
            <w:r>
              <w:rPr>
                <w:rFonts w:hint="eastAsia"/>
                <w:bCs/>
                <w:iCs/>
                <w:color w:val="auto"/>
                <w:kern w:val="0"/>
                <w:sz w:val="24"/>
              </w:rPr>
              <w:t>（6）检验：潮湿后的半成品经人工检验工件表面是否有裂痕，去除不合格产品，该工序会产生塑料不合格品S</w:t>
            </w:r>
            <w:r>
              <w:rPr>
                <w:rFonts w:hint="eastAsia"/>
                <w:bCs/>
                <w:iCs/>
                <w:color w:val="auto"/>
                <w:kern w:val="0"/>
                <w:sz w:val="24"/>
                <w:lang w:val="en-US" w:eastAsia="zh-CN"/>
              </w:rPr>
              <w:t>9</w:t>
            </w:r>
            <w:r>
              <w:rPr>
                <w:rFonts w:hint="eastAsia"/>
                <w:bCs/>
                <w:iCs/>
                <w:color w:val="auto"/>
                <w:kern w:val="0"/>
                <w:sz w:val="24"/>
              </w:rPr>
              <w:t>。</w:t>
            </w:r>
          </w:p>
          <w:p w14:paraId="6716A0AD">
            <w:pPr>
              <w:spacing w:line="360" w:lineRule="auto"/>
              <w:ind w:firstLine="480" w:firstLineChars="200"/>
              <w:jc w:val="left"/>
              <w:rPr>
                <w:bCs/>
                <w:iCs/>
                <w:color w:val="auto"/>
                <w:kern w:val="0"/>
                <w:sz w:val="24"/>
              </w:rPr>
            </w:pPr>
            <w:r>
              <w:rPr>
                <w:bCs/>
                <w:iCs/>
                <w:color w:val="auto"/>
                <w:kern w:val="0"/>
                <w:sz w:val="24"/>
              </w:rPr>
              <w:t>（7）</w:t>
            </w:r>
            <w:r>
              <w:rPr>
                <w:rFonts w:hint="eastAsia"/>
                <w:bCs/>
                <w:iCs/>
                <w:color w:val="auto"/>
                <w:kern w:val="0"/>
                <w:sz w:val="24"/>
              </w:rPr>
              <w:t>装配：将生产的注塑件通过全自动装配线组装成型，形成产品。</w:t>
            </w:r>
          </w:p>
          <w:p w14:paraId="76F9D490">
            <w:pPr>
              <w:spacing w:line="360" w:lineRule="auto"/>
              <w:ind w:firstLine="480" w:firstLineChars="200"/>
              <w:jc w:val="left"/>
              <w:rPr>
                <w:bCs/>
                <w:iCs/>
                <w:color w:val="auto"/>
                <w:kern w:val="0"/>
                <w:sz w:val="24"/>
              </w:rPr>
            </w:pPr>
            <w:r>
              <w:rPr>
                <w:bCs/>
                <w:iCs/>
                <w:color w:val="auto"/>
                <w:kern w:val="0"/>
                <w:sz w:val="24"/>
              </w:rPr>
              <w:t>（8）</w:t>
            </w:r>
            <w:r>
              <w:rPr>
                <w:rFonts w:hint="eastAsia"/>
                <w:bCs/>
                <w:iCs/>
                <w:color w:val="auto"/>
                <w:kern w:val="0"/>
                <w:sz w:val="24"/>
              </w:rPr>
              <w:t>检验包装：装配后的产品在通过自动装配线包装入库，该工序会产生</w:t>
            </w:r>
            <w:r>
              <w:rPr>
                <w:rFonts w:hint="eastAsia"/>
                <w:bCs/>
                <w:iCs/>
                <w:color w:val="auto"/>
                <w:kern w:val="0"/>
                <w:sz w:val="24"/>
                <w:lang w:val="en-US" w:eastAsia="zh-CN"/>
              </w:rPr>
              <w:t>塑料不合格品S10</w:t>
            </w:r>
            <w:r>
              <w:rPr>
                <w:rFonts w:hint="eastAsia"/>
                <w:bCs/>
                <w:iCs/>
                <w:color w:val="auto"/>
                <w:kern w:val="0"/>
                <w:sz w:val="24"/>
                <w:lang w:eastAsia="zh-CN"/>
              </w:rPr>
              <w:t>、</w:t>
            </w:r>
            <w:r>
              <w:rPr>
                <w:rFonts w:hint="eastAsia"/>
                <w:bCs/>
                <w:iCs/>
                <w:color w:val="auto"/>
                <w:kern w:val="0"/>
                <w:sz w:val="24"/>
              </w:rPr>
              <w:t>废包装材料S</w:t>
            </w:r>
            <w:r>
              <w:rPr>
                <w:rFonts w:hint="eastAsia"/>
                <w:bCs/>
                <w:iCs/>
                <w:color w:val="auto"/>
                <w:kern w:val="0"/>
                <w:sz w:val="24"/>
                <w:lang w:val="en-US" w:eastAsia="zh-CN"/>
              </w:rPr>
              <w:t>11</w:t>
            </w:r>
            <w:r>
              <w:rPr>
                <w:rFonts w:hint="eastAsia"/>
                <w:bCs/>
                <w:iCs/>
                <w:color w:val="auto"/>
                <w:kern w:val="0"/>
                <w:sz w:val="24"/>
              </w:rPr>
              <w:t>。</w:t>
            </w:r>
          </w:p>
          <w:p w14:paraId="65D8BA5E">
            <w:pPr>
              <w:autoSpaceDE w:val="0"/>
              <w:autoSpaceDN w:val="0"/>
              <w:adjustRightInd w:val="0"/>
              <w:snapToGrid w:val="0"/>
              <w:spacing w:line="360" w:lineRule="auto"/>
              <w:ind w:firstLine="480" w:firstLineChars="200"/>
              <w:rPr>
                <w:rFonts w:hint="default" w:eastAsia="宋体"/>
                <w:b/>
                <w:color w:val="auto"/>
                <w:kern w:val="0"/>
                <w:sz w:val="24"/>
                <w:szCs w:val="20"/>
                <w:lang w:val="en-US" w:eastAsia="zh-CN"/>
              </w:rPr>
            </w:pPr>
            <w:r>
              <w:rPr>
                <w:bCs/>
                <w:iCs/>
                <w:color w:val="auto"/>
                <w:kern w:val="0"/>
                <w:sz w:val="24"/>
              </w:rPr>
              <w:t>（</w:t>
            </w:r>
            <w:r>
              <w:rPr>
                <w:rFonts w:hint="eastAsia"/>
                <w:bCs/>
                <w:iCs/>
                <w:color w:val="auto"/>
                <w:kern w:val="0"/>
                <w:sz w:val="24"/>
                <w:lang w:val="en-US" w:eastAsia="zh-CN"/>
              </w:rPr>
              <w:t>9</w:t>
            </w:r>
            <w:r>
              <w:rPr>
                <w:bCs/>
                <w:iCs/>
                <w:color w:val="auto"/>
                <w:kern w:val="0"/>
                <w:sz w:val="24"/>
              </w:rPr>
              <w:t>）</w:t>
            </w:r>
            <w:r>
              <w:rPr>
                <w:rFonts w:hint="eastAsia"/>
                <w:bCs/>
                <w:iCs/>
                <w:color w:val="auto"/>
                <w:kern w:val="0"/>
                <w:sz w:val="24"/>
                <w:lang w:val="en-US" w:eastAsia="zh-CN"/>
              </w:rPr>
              <w:t>破碎：生产过程产生的塑料边角料、塑料不合格品经破碎机破碎后，当作原料再利用，此过程将产生破碎粉尘G2。</w:t>
            </w:r>
          </w:p>
          <w:p w14:paraId="38843FF8">
            <w:pPr>
              <w:spacing w:line="360" w:lineRule="auto"/>
              <w:ind w:firstLine="480" w:firstLineChars="200"/>
              <w:rPr>
                <w:rFonts w:ascii="Times New Roman" w:hAnsi="Times New Roman" w:eastAsia="宋体"/>
                <w:bCs/>
                <w:caps w:val="0"/>
                <w:color w:val="auto"/>
                <w:sz w:val="24"/>
                <w:highlight w:val="none"/>
              </w:rPr>
            </w:pPr>
            <w:r>
              <w:rPr>
                <w:rFonts w:hint="eastAsia" w:ascii="Times New Roman" w:hAnsi="Times New Roman" w:eastAsia="宋体"/>
                <w:bCs/>
                <w:caps w:val="0"/>
                <w:color w:val="auto"/>
                <w:sz w:val="24"/>
                <w:highlight w:val="none"/>
              </w:rPr>
              <w:t>本项目运营期主要污染工序及污染因子见下表。</w:t>
            </w:r>
          </w:p>
          <w:p w14:paraId="461D39FE">
            <w:pPr>
              <w:jc w:val="center"/>
              <w:rPr>
                <w:rFonts w:ascii="Times New Roman" w:hAnsi="Times New Roman" w:eastAsia="宋体"/>
                <w:b/>
                <w:caps w:val="0"/>
                <w:color w:val="auto"/>
                <w:sz w:val="24"/>
                <w:highlight w:val="none"/>
              </w:rPr>
            </w:pPr>
            <w:r>
              <w:rPr>
                <w:rFonts w:ascii="Times New Roman" w:hAnsi="Times New Roman" w:eastAsia="宋体"/>
                <w:b/>
                <w:caps w:val="0"/>
                <w:color w:val="auto"/>
                <w:sz w:val="24"/>
                <w:highlight w:val="none"/>
              </w:rPr>
              <w:t>表</w:t>
            </w:r>
            <w:r>
              <w:rPr>
                <w:rFonts w:hint="eastAsia" w:ascii="Times New Roman" w:hAnsi="Times New Roman" w:eastAsia="宋体"/>
                <w:b/>
                <w:caps w:val="0"/>
                <w:color w:val="auto"/>
                <w:sz w:val="24"/>
                <w:highlight w:val="none"/>
              </w:rPr>
              <w:t>2</w:t>
            </w:r>
            <w:r>
              <w:rPr>
                <w:rFonts w:ascii="Times New Roman" w:hAnsi="Times New Roman" w:eastAsia="宋体"/>
                <w:b/>
                <w:caps w:val="0"/>
                <w:color w:val="auto"/>
                <w:sz w:val="24"/>
                <w:highlight w:val="none"/>
              </w:rPr>
              <w:t>-</w:t>
            </w:r>
            <w:r>
              <w:rPr>
                <w:rFonts w:hint="eastAsia"/>
                <w:b/>
                <w:caps w:val="0"/>
                <w:color w:val="auto"/>
                <w:sz w:val="24"/>
                <w:highlight w:val="none"/>
                <w:lang w:val="en-US" w:eastAsia="zh-CN"/>
              </w:rPr>
              <w:t>8</w:t>
            </w:r>
            <w:r>
              <w:rPr>
                <w:rFonts w:hint="eastAsia" w:ascii="Times New Roman" w:hAnsi="Times New Roman" w:eastAsia="宋体"/>
                <w:b/>
                <w:caps w:val="0"/>
                <w:color w:val="auto"/>
                <w:sz w:val="24"/>
                <w:highlight w:val="none"/>
                <w:lang w:val="en-US" w:eastAsia="zh-CN"/>
              </w:rPr>
              <w:t xml:space="preserve"> </w:t>
            </w:r>
            <w:r>
              <w:rPr>
                <w:rFonts w:ascii="Times New Roman" w:hAnsi="Times New Roman" w:eastAsia="宋体"/>
                <w:b/>
                <w:caps w:val="0"/>
                <w:color w:val="auto"/>
                <w:sz w:val="24"/>
                <w:highlight w:val="none"/>
              </w:rPr>
              <w:t xml:space="preserve"> </w:t>
            </w:r>
            <w:r>
              <w:rPr>
                <w:rFonts w:hint="eastAsia" w:ascii="Times New Roman" w:hAnsi="Times New Roman" w:eastAsia="宋体"/>
                <w:b/>
                <w:caps w:val="0"/>
                <w:color w:val="auto"/>
                <w:sz w:val="24"/>
                <w:highlight w:val="none"/>
              </w:rPr>
              <w:t>本项目</w:t>
            </w:r>
            <w:r>
              <w:rPr>
                <w:rFonts w:ascii="Times New Roman" w:hAnsi="Times New Roman" w:eastAsia="宋体"/>
                <w:b/>
                <w:caps w:val="0"/>
                <w:color w:val="auto"/>
                <w:sz w:val="24"/>
                <w:highlight w:val="none"/>
              </w:rPr>
              <w:t>运营期主要污染工序一览表</w:t>
            </w:r>
          </w:p>
          <w:tbl>
            <w:tblPr>
              <w:tblStyle w:val="21"/>
              <w:tblW w:w="781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008"/>
              <w:gridCol w:w="1625"/>
              <w:gridCol w:w="2158"/>
              <w:gridCol w:w="2259"/>
            </w:tblGrid>
            <w:tr w14:paraId="0DC878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764" w:type="dxa"/>
                  <w:tcBorders>
                    <w:tl2br w:val="nil"/>
                    <w:tr2bl w:val="nil"/>
                  </w:tcBorders>
                  <w:vAlign w:val="center"/>
                </w:tcPr>
                <w:p w14:paraId="6D0A92E7">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污</w:t>
                  </w:r>
                  <w:r>
                    <w:rPr>
                      <w:rFonts w:hint="eastAsia" w:ascii="Times New Roman" w:hAnsi="Times New Roman" w:eastAsia="宋体"/>
                      <w:b/>
                      <w:bCs/>
                      <w:caps w:val="0"/>
                      <w:color w:val="auto"/>
                      <w:szCs w:val="21"/>
                      <w:highlight w:val="none"/>
                    </w:rPr>
                    <w:t>染</w:t>
                  </w:r>
                  <w:r>
                    <w:rPr>
                      <w:rFonts w:ascii="Times New Roman" w:hAnsi="Times New Roman" w:eastAsia="宋体"/>
                      <w:b/>
                      <w:bCs/>
                      <w:caps w:val="0"/>
                      <w:color w:val="auto"/>
                      <w:szCs w:val="21"/>
                      <w:highlight w:val="none"/>
                    </w:rPr>
                    <w:t>类别</w:t>
                  </w:r>
                </w:p>
              </w:tc>
              <w:tc>
                <w:tcPr>
                  <w:tcW w:w="1008" w:type="dxa"/>
                  <w:tcBorders>
                    <w:tl2br w:val="nil"/>
                    <w:tr2bl w:val="nil"/>
                  </w:tcBorders>
                  <w:vAlign w:val="center"/>
                </w:tcPr>
                <w:p w14:paraId="319A11CB">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污染源编号</w:t>
                  </w:r>
                </w:p>
              </w:tc>
              <w:tc>
                <w:tcPr>
                  <w:tcW w:w="1625" w:type="dxa"/>
                  <w:tcBorders>
                    <w:tl2br w:val="nil"/>
                    <w:tr2bl w:val="nil"/>
                  </w:tcBorders>
                  <w:vAlign w:val="center"/>
                </w:tcPr>
                <w:p w14:paraId="44F74612">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产生工序</w:t>
                  </w:r>
                </w:p>
              </w:tc>
              <w:tc>
                <w:tcPr>
                  <w:tcW w:w="2158" w:type="dxa"/>
                  <w:tcBorders>
                    <w:tl2br w:val="nil"/>
                    <w:tr2bl w:val="nil"/>
                  </w:tcBorders>
                  <w:vAlign w:val="center"/>
                </w:tcPr>
                <w:p w14:paraId="62D4E97D">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主要</w:t>
                  </w:r>
                  <w:r>
                    <w:rPr>
                      <w:rFonts w:hint="eastAsia" w:ascii="Times New Roman" w:hAnsi="Times New Roman" w:eastAsia="宋体"/>
                      <w:b/>
                      <w:bCs/>
                      <w:caps w:val="0"/>
                      <w:color w:val="auto"/>
                      <w:szCs w:val="21"/>
                      <w:highlight w:val="none"/>
                    </w:rPr>
                    <w:t>污染</w:t>
                  </w:r>
                  <w:r>
                    <w:rPr>
                      <w:rFonts w:ascii="Times New Roman" w:hAnsi="Times New Roman" w:eastAsia="宋体"/>
                      <w:b/>
                      <w:bCs/>
                      <w:caps w:val="0"/>
                      <w:color w:val="auto"/>
                      <w:szCs w:val="21"/>
                      <w:highlight w:val="none"/>
                    </w:rPr>
                    <w:t>因子</w:t>
                  </w:r>
                </w:p>
              </w:tc>
              <w:tc>
                <w:tcPr>
                  <w:tcW w:w="2259" w:type="dxa"/>
                  <w:tcBorders>
                    <w:tl2br w:val="nil"/>
                    <w:tr2bl w:val="nil"/>
                  </w:tcBorders>
                  <w:vAlign w:val="center"/>
                </w:tcPr>
                <w:p w14:paraId="72FBA72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aps w:val="0"/>
                      <w:color w:val="auto"/>
                      <w:szCs w:val="21"/>
                      <w:highlight w:val="none"/>
                      <w:lang w:val="en-US" w:eastAsia="zh-CN"/>
                    </w:rPr>
                  </w:pPr>
                  <w:r>
                    <w:rPr>
                      <w:rFonts w:hint="eastAsia"/>
                      <w:b/>
                      <w:bCs/>
                      <w:caps w:val="0"/>
                      <w:color w:val="auto"/>
                      <w:szCs w:val="21"/>
                      <w:highlight w:val="none"/>
                      <w:lang w:val="en-US" w:eastAsia="zh-CN"/>
                    </w:rPr>
                    <w:t>措施及去向</w:t>
                  </w:r>
                </w:p>
              </w:tc>
            </w:tr>
            <w:tr w14:paraId="387924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restart"/>
                  <w:tcBorders>
                    <w:tl2br w:val="nil"/>
                    <w:tr2bl w:val="nil"/>
                  </w:tcBorders>
                  <w:vAlign w:val="center"/>
                </w:tcPr>
                <w:p w14:paraId="0716ED46">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废气</w:t>
                  </w:r>
                </w:p>
              </w:tc>
              <w:tc>
                <w:tcPr>
                  <w:tcW w:w="1008" w:type="dxa"/>
                  <w:tcBorders>
                    <w:tl2br w:val="nil"/>
                    <w:tr2bl w:val="nil"/>
                  </w:tcBorders>
                  <w:vAlign w:val="center"/>
                </w:tcPr>
                <w:p w14:paraId="72F0B73B">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G</w:t>
                  </w:r>
                  <w:r>
                    <w:rPr>
                      <w:rFonts w:hint="eastAsia" w:ascii="Times New Roman" w:hAnsi="Times New Roman" w:eastAsia="宋体"/>
                      <w:bCs/>
                      <w:caps w:val="0"/>
                      <w:color w:val="auto"/>
                      <w:szCs w:val="21"/>
                      <w:highlight w:val="none"/>
                    </w:rPr>
                    <w:t>1</w:t>
                  </w:r>
                </w:p>
              </w:tc>
              <w:tc>
                <w:tcPr>
                  <w:tcW w:w="1625" w:type="dxa"/>
                  <w:tcBorders>
                    <w:tl2br w:val="nil"/>
                    <w:tr2bl w:val="nil"/>
                  </w:tcBorders>
                  <w:vAlign w:val="center"/>
                </w:tcPr>
                <w:p w14:paraId="5D88CE5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rPr>
                  </w:pPr>
                  <w:r>
                    <w:rPr>
                      <w:rFonts w:hint="eastAsia"/>
                      <w:bCs/>
                      <w:caps w:val="0"/>
                      <w:color w:val="auto"/>
                      <w:szCs w:val="21"/>
                      <w:highlight w:val="none"/>
                      <w:lang w:val="en-US" w:eastAsia="zh-CN"/>
                    </w:rPr>
                    <w:t>注塑成型</w:t>
                  </w:r>
                </w:p>
              </w:tc>
              <w:tc>
                <w:tcPr>
                  <w:tcW w:w="2158" w:type="dxa"/>
                  <w:tcBorders>
                    <w:tl2br w:val="nil"/>
                    <w:tr2bl w:val="nil"/>
                  </w:tcBorders>
                  <w:vAlign w:val="center"/>
                </w:tcPr>
                <w:p w14:paraId="000D216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非甲烷总烃、氨</w:t>
                  </w:r>
                </w:p>
              </w:tc>
              <w:tc>
                <w:tcPr>
                  <w:tcW w:w="2259" w:type="dxa"/>
                  <w:tcBorders>
                    <w:tl2br w:val="nil"/>
                    <w:tr2bl w:val="nil"/>
                  </w:tcBorders>
                  <w:vAlign w:val="center"/>
                </w:tcPr>
                <w:p w14:paraId="52F3924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Cs/>
                      <w:caps w:val="0"/>
                      <w:color w:val="auto"/>
                      <w:szCs w:val="21"/>
                      <w:highlight w:val="none"/>
                      <w:lang w:val="en-US" w:eastAsia="zh-CN"/>
                    </w:rPr>
                  </w:pPr>
                  <w:r>
                    <w:rPr>
                      <w:rFonts w:hint="eastAsia"/>
                      <w:bCs/>
                      <w:caps w:val="0"/>
                      <w:color w:val="auto"/>
                      <w:szCs w:val="21"/>
                      <w:highlight w:val="none"/>
                      <w:lang w:val="en-US" w:eastAsia="zh-CN"/>
                    </w:rPr>
                    <w:t>集气罩+二级活性炭吸附+15m高排气筒</w:t>
                  </w:r>
                </w:p>
              </w:tc>
            </w:tr>
            <w:tr w14:paraId="14A2B6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25F0F595">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vAlign w:val="center"/>
                </w:tcPr>
                <w:p w14:paraId="747D2C44">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r>
                    <w:rPr>
                      <w:rFonts w:hint="eastAsia" w:ascii="Times New Roman" w:hAnsi="Times New Roman" w:eastAsia="宋体"/>
                      <w:bCs/>
                      <w:caps w:val="0"/>
                      <w:color w:val="auto"/>
                      <w:szCs w:val="21"/>
                      <w:highlight w:val="none"/>
                    </w:rPr>
                    <w:t>G</w:t>
                  </w:r>
                  <w:r>
                    <w:rPr>
                      <w:rFonts w:ascii="Times New Roman" w:hAnsi="Times New Roman" w:eastAsia="宋体"/>
                      <w:bCs/>
                      <w:caps w:val="0"/>
                      <w:color w:val="auto"/>
                      <w:szCs w:val="21"/>
                      <w:highlight w:val="none"/>
                    </w:rPr>
                    <w:t>2</w:t>
                  </w:r>
                </w:p>
              </w:tc>
              <w:tc>
                <w:tcPr>
                  <w:tcW w:w="1625" w:type="dxa"/>
                  <w:tcBorders>
                    <w:tl2br w:val="nil"/>
                    <w:tr2bl w:val="nil"/>
                  </w:tcBorders>
                  <w:vAlign w:val="center"/>
                </w:tcPr>
                <w:p w14:paraId="645B229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eastAsia="zh-CN"/>
                    </w:rPr>
                  </w:pPr>
                  <w:r>
                    <w:rPr>
                      <w:rFonts w:hint="eastAsia"/>
                      <w:bCs/>
                      <w:caps w:val="0"/>
                      <w:color w:val="auto"/>
                      <w:szCs w:val="21"/>
                      <w:highlight w:val="none"/>
                      <w:lang w:val="en-US" w:eastAsia="zh-CN"/>
                    </w:rPr>
                    <w:t>破碎</w:t>
                  </w:r>
                </w:p>
              </w:tc>
              <w:tc>
                <w:tcPr>
                  <w:tcW w:w="2158" w:type="dxa"/>
                  <w:tcBorders>
                    <w:tl2br w:val="nil"/>
                    <w:tr2bl w:val="nil"/>
                  </w:tcBorders>
                  <w:vAlign w:val="center"/>
                </w:tcPr>
                <w:p w14:paraId="2B78C62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eastAsia="zh-CN"/>
                    </w:rPr>
                  </w:pPr>
                  <w:r>
                    <w:rPr>
                      <w:rFonts w:hint="eastAsia"/>
                      <w:bCs/>
                      <w:caps w:val="0"/>
                      <w:color w:val="auto"/>
                      <w:szCs w:val="21"/>
                      <w:highlight w:val="none"/>
                      <w:lang w:val="en-US" w:eastAsia="zh-CN"/>
                    </w:rPr>
                    <w:t>颗粒物</w:t>
                  </w:r>
                </w:p>
              </w:tc>
              <w:tc>
                <w:tcPr>
                  <w:tcW w:w="2259" w:type="dxa"/>
                  <w:tcBorders>
                    <w:tl2br w:val="nil"/>
                    <w:tr2bl w:val="nil"/>
                  </w:tcBorders>
                  <w:vAlign w:val="center"/>
                </w:tcPr>
                <w:p w14:paraId="0696F33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Cs/>
                      <w:caps w:val="0"/>
                      <w:color w:val="auto"/>
                      <w:szCs w:val="21"/>
                      <w:highlight w:val="none"/>
                      <w:lang w:val="en-US" w:eastAsia="zh-CN"/>
                    </w:rPr>
                  </w:pPr>
                  <w:r>
                    <w:rPr>
                      <w:rFonts w:hint="eastAsia"/>
                      <w:bCs/>
                      <w:caps w:val="0"/>
                      <w:color w:val="auto"/>
                      <w:szCs w:val="21"/>
                      <w:highlight w:val="none"/>
                      <w:lang w:val="en-US" w:eastAsia="zh-CN"/>
                    </w:rPr>
                    <w:t>滤筒除尘器</w:t>
                  </w:r>
                </w:p>
              </w:tc>
            </w:tr>
            <w:tr w14:paraId="16443F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restart"/>
                  <w:tcBorders>
                    <w:tl2br w:val="nil"/>
                    <w:tr2bl w:val="nil"/>
                  </w:tcBorders>
                  <w:vAlign w:val="center"/>
                </w:tcPr>
                <w:p w14:paraId="7C510FF0">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废水</w:t>
                  </w:r>
                </w:p>
              </w:tc>
              <w:tc>
                <w:tcPr>
                  <w:tcW w:w="1008" w:type="dxa"/>
                  <w:tcBorders>
                    <w:tl2br w:val="nil"/>
                    <w:tr2bl w:val="nil"/>
                  </w:tcBorders>
                  <w:vAlign w:val="center"/>
                </w:tcPr>
                <w:p w14:paraId="5BD2C49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ascii="Times New Roman" w:hAnsi="Times New Roman" w:eastAsia="宋体"/>
                      <w:bCs/>
                      <w:caps w:val="0"/>
                      <w:color w:val="auto"/>
                      <w:szCs w:val="21"/>
                      <w:highlight w:val="none"/>
                      <w:lang w:val="en-US" w:eastAsia="zh-CN"/>
                    </w:rPr>
                    <w:t>W1</w:t>
                  </w:r>
                </w:p>
              </w:tc>
              <w:tc>
                <w:tcPr>
                  <w:tcW w:w="1625" w:type="dxa"/>
                  <w:tcBorders>
                    <w:tl2br w:val="nil"/>
                    <w:tr2bl w:val="nil"/>
                  </w:tcBorders>
                  <w:vAlign w:val="center"/>
                </w:tcPr>
                <w:p w14:paraId="0A484CE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注塑成型循环冷却水</w:t>
                  </w:r>
                </w:p>
              </w:tc>
              <w:tc>
                <w:tcPr>
                  <w:tcW w:w="2158" w:type="dxa"/>
                  <w:tcBorders>
                    <w:tl2br w:val="nil"/>
                    <w:tr2bl w:val="nil"/>
                  </w:tcBorders>
                  <w:vAlign w:val="center"/>
                </w:tcPr>
                <w:p w14:paraId="5AF8090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ascii="Times New Roman" w:hAnsi="Times New Roman" w:eastAsia="宋体"/>
                      <w:bCs/>
                      <w:caps w:val="0"/>
                      <w:color w:val="auto"/>
                      <w:szCs w:val="21"/>
                      <w:highlight w:val="none"/>
                      <w:lang w:val="en-US" w:eastAsia="zh-CN"/>
                    </w:rPr>
                    <w:t>pH、COD、SS、NH</w:t>
                  </w:r>
                  <w:r>
                    <w:rPr>
                      <w:rFonts w:hint="eastAsia" w:ascii="Times New Roman" w:hAnsi="Times New Roman" w:eastAsia="宋体"/>
                      <w:bCs/>
                      <w:caps w:val="0"/>
                      <w:color w:val="auto"/>
                      <w:szCs w:val="21"/>
                      <w:highlight w:val="none"/>
                      <w:vertAlign w:val="subscript"/>
                      <w:lang w:val="en-US" w:eastAsia="zh-CN"/>
                    </w:rPr>
                    <w:t>3</w:t>
                  </w:r>
                  <w:r>
                    <w:rPr>
                      <w:rFonts w:hint="eastAsia" w:ascii="Times New Roman" w:hAnsi="Times New Roman" w:eastAsia="宋体"/>
                      <w:bCs/>
                      <w:caps w:val="0"/>
                      <w:color w:val="auto"/>
                      <w:szCs w:val="21"/>
                      <w:highlight w:val="none"/>
                      <w:lang w:val="en-US" w:eastAsia="zh-CN"/>
                    </w:rPr>
                    <w:t>-N</w:t>
                  </w:r>
                </w:p>
              </w:tc>
              <w:tc>
                <w:tcPr>
                  <w:tcW w:w="2259" w:type="dxa"/>
                  <w:tcBorders>
                    <w:tl2br w:val="nil"/>
                    <w:tr2bl w:val="nil"/>
                  </w:tcBorders>
                  <w:vAlign w:val="center"/>
                </w:tcPr>
                <w:p w14:paraId="08A9736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循环使用</w:t>
                  </w:r>
                  <w:r>
                    <w:rPr>
                      <w:rFonts w:hint="eastAsia"/>
                      <w:color w:val="auto"/>
                      <w:lang w:eastAsia="zh-CN"/>
                    </w:rPr>
                    <w:t>，</w:t>
                  </w:r>
                  <w:r>
                    <w:rPr>
                      <w:rFonts w:hint="eastAsia"/>
                      <w:color w:val="auto"/>
                      <w:lang w:val="en-US" w:eastAsia="zh-CN"/>
                    </w:rPr>
                    <w:t>不外排</w:t>
                  </w:r>
                </w:p>
              </w:tc>
            </w:tr>
            <w:tr w14:paraId="6458F4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28BCFF44">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vAlign w:val="center"/>
                </w:tcPr>
                <w:p w14:paraId="05DFC4B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ascii="Times New Roman" w:hAnsi="Times New Roman" w:eastAsia="宋体"/>
                      <w:bCs/>
                      <w:caps w:val="0"/>
                      <w:color w:val="auto"/>
                      <w:szCs w:val="21"/>
                      <w:highlight w:val="none"/>
                      <w:lang w:val="en-US" w:eastAsia="zh-CN"/>
                    </w:rPr>
                    <w:t>W2</w:t>
                  </w:r>
                </w:p>
              </w:tc>
              <w:tc>
                <w:tcPr>
                  <w:tcW w:w="1625" w:type="dxa"/>
                  <w:tcBorders>
                    <w:tl2br w:val="nil"/>
                    <w:tr2bl w:val="nil"/>
                  </w:tcBorders>
                  <w:vAlign w:val="center"/>
                </w:tcPr>
                <w:p w14:paraId="322AE19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潮湿废水</w:t>
                  </w:r>
                </w:p>
              </w:tc>
              <w:tc>
                <w:tcPr>
                  <w:tcW w:w="2158" w:type="dxa"/>
                  <w:tcBorders>
                    <w:tl2br w:val="nil"/>
                    <w:tr2bl w:val="nil"/>
                  </w:tcBorders>
                  <w:vAlign w:val="center"/>
                </w:tcPr>
                <w:p w14:paraId="64A9F37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pH、COD、</w:t>
                  </w:r>
                  <w:r>
                    <w:rPr>
                      <w:rFonts w:hint="eastAsia"/>
                      <w:bCs/>
                      <w:caps w:val="0"/>
                      <w:color w:val="auto"/>
                      <w:szCs w:val="21"/>
                      <w:highlight w:val="none"/>
                      <w:lang w:val="en-US" w:eastAsia="zh-CN"/>
                    </w:rPr>
                    <w:t>BOD</w:t>
                  </w:r>
                  <w:r>
                    <w:rPr>
                      <w:rFonts w:hint="eastAsia"/>
                      <w:bCs/>
                      <w:caps w:val="0"/>
                      <w:color w:val="auto"/>
                      <w:szCs w:val="21"/>
                      <w:highlight w:val="none"/>
                      <w:vertAlign w:val="subscript"/>
                      <w:lang w:val="en-US" w:eastAsia="zh-CN"/>
                    </w:rPr>
                    <w:t>5</w:t>
                  </w:r>
                  <w:r>
                    <w:rPr>
                      <w:rFonts w:hint="eastAsia"/>
                      <w:bCs/>
                      <w:caps w:val="0"/>
                      <w:color w:val="auto"/>
                      <w:szCs w:val="21"/>
                      <w:highlight w:val="none"/>
                      <w:lang w:val="en-US" w:eastAsia="zh-CN"/>
                    </w:rPr>
                    <w:t>、</w:t>
                  </w:r>
                  <w:r>
                    <w:rPr>
                      <w:rFonts w:hint="eastAsia" w:ascii="Times New Roman" w:hAnsi="Times New Roman" w:eastAsia="宋体"/>
                      <w:bCs/>
                      <w:caps w:val="0"/>
                      <w:color w:val="auto"/>
                      <w:szCs w:val="21"/>
                      <w:highlight w:val="none"/>
                      <w:lang w:val="en-US" w:eastAsia="zh-CN"/>
                    </w:rPr>
                    <w:t>SS、NH</w:t>
                  </w:r>
                  <w:r>
                    <w:rPr>
                      <w:rFonts w:hint="eastAsia" w:ascii="Times New Roman" w:hAnsi="Times New Roman" w:eastAsia="宋体"/>
                      <w:bCs/>
                      <w:caps w:val="0"/>
                      <w:color w:val="auto"/>
                      <w:szCs w:val="21"/>
                      <w:highlight w:val="none"/>
                      <w:vertAlign w:val="subscript"/>
                      <w:lang w:val="en-US" w:eastAsia="zh-CN"/>
                    </w:rPr>
                    <w:t>3</w:t>
                  </w:r>
                  <w:r>
                    <w:rPr>
                      <w:rFonts w:hint="eastAsia" w:ascii="Times New Roman" w:hAnsi="Times New Roman" w:eastAsia="宋体"/>
                      <w:bCs/>
                      <w:caps w:val="0"/>
                      <w:color w:val="auto"/>
                      <w:szCs w:val="21"/>
                      <w:highlight w:val="none"/>
                      <w:lang w:val="en-US" w:eastAsia="zh-CN"/>
                    </w:rPr>
                    <w:t>-N</w:t>
                  </w:r>
                </w:p>
              </w:tc>
              <w:tc>
                <w:tcPr>
                  <w:tcW w:w="2259" w:type="dxa"/>
                  <w:tcBorders>
                    <w:tl2br w:val="nil"/>
                    <w:tr2bl w:val="nil"/>
                  </w:tcBorders>
                  <w:vAlign w:val="center"/>
                </w:tcPr>
                <w:p w14:paraId="797CA4F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ascii="Times New Roman" w:hAnsi="Times New Roman" w:eastAsia="宋体"/>
                      <w:bCs/>
                      <w:caps w:val="0"/>
                      <w:color w:val="auto"/>
                      <w:szCs w:val="21"/>
                      <w:highlight w:val="none"/>
                      <w:lang w:val="en-US" w:eastAsia="zh-CN"/>
                    </w:rPr>
                    <w:t>循环使用，定期外排</w:t>
                  </w:r>
                </w:p>
              </w:tc>
            </w:tr>
            <w:tr w14:paraId="1F76AE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1CFC7960">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vAlign w:val="center"/>
                </w:tcPr>
                <w:p w14:paraId="3AD4CA7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ascii="Times New Roman" w:hAnsi="Times New Roman" w:eastAsia="宋体"/>
                      <w:bCs/>
                      <w:caps w:val="0"/>
                      <w:color w:val="auto"/>
                      <w:szCs w:val="21"/>
                      <w:highlight w:val="none"/>
                      <w:lang w:val="en-US" w:eastAsia="zh-CN"/>
                    </w:rPr>
                    <w:t>W3</w:t>
                  </w:r>
                </w:p>
              </w:tc>
              <w:tc>
                <w:tcPr>
                  <w:tcW w:w="1625" w:type="dxa"/>
                  <w:tcBorders>
                    <w:tl2br w:val="nil"/>
                    <w:tr2bl w:val="nil"/>
                  </w:tcBorders>
                  <w:vAlign w:val="center"/>
                </w:tcPr>
                <w:p w14:paraId="27EEFE1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办公、生活、食堂</w:t>
                  </w:r>
                </w:p>
              </w:tc>
              <w:tc>
                <w:tcPr>
                  <w:tcW w:w="2158" w:type="dxa"/>
                  <w:tcBorders>
                    <w:tl2br w:val="nil"/>
                    <w:tr2bl w:val="nil"/>
                  </w:tcBorders>
                  <w:vAlign w:val="center"/>
                </w:tcPr>
                <w:p w14:paraId="731E0A7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pH、COD、</w:t>
                  </w:r>
                  <w:r>
                    <w:rPr>
                      <w:rFonts w:hint="eastAsia"/>
                      <w:bCs/>
                      <w:caps w:val="0"/>
                      <w:color w:val="auto"/>
                      <w:szCs w:val="21"/>
                      <w:highlight w:val="none"/>
                      <w:lang w:val="en-US" w:eastAsia="zh-CN"/>
                    </w:rPr>
                    <w:t>BOD</w:t>
                  </w:r>
                  <w:r>
                    <w:rPr>
                      <w:rFonts w:hint="eastAsia"/>
                      <w:bCs/>
                      <w:caps w:val="0"/>
                      <w:color w:val="auto"/>
                      <w:szCs w:val="21"/>
                      <w:highlight w:val="none"/>
                      <w:vertAlign w:val="subscript"/>
                      <w:lang w:val="en-US" w:eastAsia="zh-CN"/>
                    </w:rPr>
                    <w:t>5</w:t>
                  </w:r>
                  <w:r>
                    <w:rPr>
                      <w:rFonts w:hint="eastAsia"/>
                      <w:bCs/>
                      <w:caps w:val="0"/>
                      <w:color w:val="auto"/>
                      <w:szCs w:val="21"/>
                      <w:highlight w:val="none"/>
                      <w:lang w:val="en-US" w:eastAsia="zh-CN"/>
                    </w:rPr>
                    <w:t>、</w:t>
                  </w:r>
                  <w:r>
                    <w:rPr>
                      <w:rFonts w:hint="eastAsia" w:ascii="Times New Roman" w:hAnsi="Times New Roman" w:eastAsia="宋体"/>
                      <w:bCs/>
                      <w:caps w:val="0"/>
                      <w:color w:val="auto"/>
                      <w:szCs w:val="21"/>
                      <w:highlight w:val="none"/>
                      <w:lang w:val="en-US" w:eastAsia="zh-CN"/>
                    </w:rPr>
                    <w:t>SS、NH</w:t>
                  </w:r>
                  <w:r>
                    <w:rPr>
                      <w:rFonts w:hint="eastAsia" w:ascii="Times New Roman" w:hAnsi="Times New Roman" w:eastAsia="宋体"/>
                      <w:bCs/>
                      <w:caps w:val="0"/>
                      <w:color w:val="auto"/>
                      <w:szCs w:val="21"/>
                      <w:highlight w:val="none"/>
                      <w:vertAlign w:val="subscript"/>
                      <w:lang w:val="en-US" w:eastAsia="zh-CN"/>
                    </w:rPr>
                    <w:t>3</w:t>
                  </w:r>
                  <w:r>
                    <w:rPr>
                      <w:rFonts w:hint="eastAsia" w:ascii="Times New Roman" w:hAnsi="Times New Roman" w:eastAsia="宋体"/>
                      <w:bCs/>
                      <w:caps w:val="0"/>
                      <w:color w:val="auto"/>
                      <w:szCs w:val="21"/>
                      <w:highlight w:val="none"/>
                      <w:lang w:val="en-US" w:eastAsia="zh-CN"/>
                    </w:rPr>
                    <w:t>-N、动植物油</w:t>
                  </w:r>
                </w:p>
              </w:tc>
              <w:tc>
                <w:tcPr>
                  <w:tcW w:w="2259" w:type="dxa"/>
                  <w:tcBorders>
                    <w:tl2br w:val="nil"/>
                    <w:tr2bl w:val="nil"/>
                  </w:tcBorders>
                  <w:vAlign w:val="center"/>
                </w:tcPr>
                <w:p w14:paraId="4CD1D1B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ascii="Times New Roman" w:hAnsi="Times New Roman" w:eastAsia="宋体"/>
                      <w:bCs/>
                      <w:caps w:val="0"/>
                      <w:color w:val="auto"/>
                      <w:szCs w:val="21"/>
                      <w:highlight w:val="none"/>
                      <w:lang w:val="en-US" w:eastAsia="zh-CN"/>
                    </w:rPr>
                    <w:t>化粪池、隔油池</w:t>
                  </w:r>
                </w:p>
              </w:tc>
            </w:tr>
            <w:tr w14:paraId="342355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restart"/>
                  <w:tcBorders>
                    <w:tl2br w:val="nil"/>
                    <w:tr2bl w:val="nil"/>
                  </w:tcBorders>
                  <w:vAlign w:val="center"/>
                </w:tcPr>
                <w:p w14:paraId="416D63D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val="en-US" w:eastAsia="zh-CN"/>
                    </w:rPr>
                  </w:pPr>
                  <w:r>
                    <w:rPr>
                      <w:rFonts w:hint="eastAsia" w:ascii="Times New Roman" w:hAnsi="Times New Roman" w:eastAsia="宋体"/>
                      <w:bCs/>
                      <w:caps w:val="0"/>
                      <w:color w:val="auto"/>
                      <w:szCs w:val="21"/>
                      <w:highlight w:val="none"/>
                      <w:lang w:val="en-US" w:eastAsia="zh-CN"/>
                    </w:rPr>
                    <w:t>固废</w:t>
                  </w:r>
                </w:p>
              </w:tc>
              <w:tc>
                <w:tcPr>
                  <w:tcW w:w="1008" w:type="dxa"/>
                  <w:tcBorders>
                    <w:tl2br w:val="nil"/>
                    <w:tr2bl w:val="nil"/>
                  </w:tcBorders>
                  <w:shd w:val="clear" w:color="auto" w:fill="auto"/>
                  <w:vAlign w:val="center"/>
                </w:tcPr>
                <w:p w14:paraId="0731093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S1</w:t>
                  </w:r>
                </w:p>
              </w:tc>
              <w:tc>
                <w:tcPr>
                  <w:tcW w:w="1625" w:type="dxa"/>
                  <w:tcBorders>
                    <w:tl2br w:val="nil"/>
                    <w:tr2bl w:val="nil"/>
                  </w:tcBorders>
                  <w:vAlign w:val="center"/>
                </w:tcPr>
                <w:p w14:paraId="00740D7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切割下料</w:t>
                  </w:r>
                </w:p>
              </w:tc>
              <w:tc>
                <w:tcPr>
                  <w:tcW w:w="2158" w:type="dxa"/>
                  <w:tcBorders>
                    <w:tl2br w:val="nil"/>
                    <w:tr2bl w:val="nil"/>
                  </w:tcBorders>
                  <w:vAlign w:val="center"/>
                </w:tcPr>
                <w:p w14:paraId="32E26C6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废切削液</w:t>
                  </w:r>
                </w:p>
              </w:tc>
              <w:tc>
                <w:tcPr>
                  <w:tcW w:w="2259" w:type="dxa"/>
                  <w:tcBorders>
                    <w:tl2br w:val="nil"/>
                    <w:tr2bl w:val="nil"/>
                  </w:tcBorders>
                  <w:vAlign w:val="center"/>
                </w:tcPr>
                <w:p w14:paraId="5B75F60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暂存危废库，定期交由有资质单位处置</w:t>
                  </w:r>
                </w:p>
              </w:tc>
            </w:tr>
            <w:tr w14:paraId="41AC87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4F84E41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val="en-US" w:eastAsia="zh-CN"/>
                    </w:rPr>
                  </w:pPr>
                </w:p>
              </w:tc>
              <w:tc>
                <w:tcPr>
                  <w:tcW w:w="1008" w:type="dxa"/>
                  <w:tcBorders>
                    <w:tl2br w:val="nil"/>
                    <w:tr2bl w:val="nil"/>
                  </w:tcBorders>
                  <w:shd w:val="clear" w:color="auto" w:fill="auto"/>
                  <w:vAlign w:val="center"/>
                </w:tcPr>
                <w:p w14:paraId="6D9028D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S2</w:t>
                  </w:r>
                </w:p>
              </w:tc>
              <w:tc>
                <w:tcPr>
                  <w:tcW w:w="1625" w:type="dxa"/>
                  <w:tcBorders>
                    <w:tl2br w:val="nil"/>
                    <w:tr2bl w:val="nil"/>
                  </w:tcBorders>
                  <w:vAlign w:val="center"/>
                </w:tcPr>
                <w:p w14:paraId="27706FF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切割下料</w:t>
                  </w:r>
                </w:p>
              </w:tc>
              <w:tc>
                <w:tcPr>
                  <w:tcW w:w="2158" w:type="dxa"/>
                  <w:tcBorders>
                    <w:tl2br w:val="nil"/>
                    <w:tr2bl w:val="nil"/>
                  </w:tcBorders>
                  <w:vAlign w:val="center"/>
                </w:tcPr>
                <w:p w14:paraId="5C6D673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废金属碎屑</w:t>
                  </w:r>
                </w:p>
              </w:tc>
              <w:tc>
                <w:tcPr>
                  <w:tcW w:w="2259" w:type="dxa"/>
                  <w:tcBorders>
                    <w:tl2br w:val="nil"/>
                    <w:tr2bl w:val="nil"/>
                  </w:tcBorders>
                  <w:vAlign w:val="center"/>
                </w:tcPr>
                <w:p w14:paraId="0FEFAA9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暂存一般固废库，外售</w:t>
                  </w:r>
                </w:p>
              </w:tc>
            </w:tr>
            <w:tr w14:paraId="5A947A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4496D2B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val="en-US" w:eastAsia="zh-CN"/>
                    </w:rPr>
                  </w:pPr>
                </w:p>
              </w:tc>
              <w:tc>
                <w:tcPr>
                  <w:tcW w:w="1008" w:type="dxa"/>
                  <w:tcBorders>
                    <w:tl2br w:val="nil"/>
                    <w:tr2bl w:val="nil"/>
                  </w:tcBorders>
                  <w:shd w:val="clear" w:color="auto" w:fill="auto"/>
                  <w:vAlign w:val="center"/>
                </w:tcPr>
                <w:p w14:paraId="00F545E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S3</w:t>
                  </w:r>
                </w:p>
              </w:tc>
              <w:tc>
                <w:tcPr>
                  <w:tcW w:w="1625" w:type="dxa"/>
                  <w:tcBorders>
                    <w:tl2br w:val="nil"/>
                    <w:tr2bl w:val="nil"/>
                  </w:tcBorders>
                  <w:vAlign w:val="center"/>
                </w:tcPr>
                <w:p w14:paraId="231BAAE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切割下料</w:t>
                  </w:r>
                </w:p>
              </w:tc>
              <w:tc>
                <w:tcPr>
                  <w:tcW w:w="2158" w:type="dxa"/>
                  <w:tcBorders>
                    <w:tl2br w:val="nil"/>
                    <w:tr2bl w:val="nil"/>
                  </w:tcBorders>
                  <w:vAlign w:val="center"/>
                </w:tcPr>
                <w:p w14:paraId="24E531B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废金属边角料</w:t>
                  </w:r>
                </w:p>
              </w:tc>
              <w:tc>
                <w:tcPr>
                  <w:tcW w:w="2259" w:type="dxa"/>
                  <w:tcBorders>
                    <w:tl2br w:val="nil"/>
                    <w:tr2bl w:val="nil"/>
                  </w:tcBorders>
                  <w:vAlign w:val="center"/>
                </w:tcPr>
                <w:p w14:paraId="7CE2E45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暂存一般固废库，外售</w:t>
                  </w:r>
                </w:p>
              </w:tc>
            </w:tr>
            <w:tr w14:paraId="04EC8B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764" w:type="dxa"/>
                  <w:vMerge w:val="continue"/>
                  <w:tcBorders>
                    <w:tl2br w:val="nil"/>
                    <w:tr2bl w:val="nil"/>
                  </w:tcBorders>
                  <w:vAlign w:val="center"/>
                </w:tcPr>
                <w:p w14:paraId="370F57D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val="en-US" w:eastAsia="zh-CN"/>
                    </w:rPr>
                  </w:pPr>
                </w:p>
              </w:tc>
              <w:tc>
                <w:tcPr>
                  <w:tcW w:w="1008" w:type="dxa"/>
                  <w:tcBorders>
                    <w:tl2br w:val="nil"/>
                    <w:tr2bl w:val="nil"/>
                  </w:tcBorders>
                  <w:shd w:val="clear" w:color="auto" w:fill="auto"/>
                  <w:vAlign w:val="center"/>
                </w:tcPr>
                <w:p w14:paraId="1FF4EBA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S4</w:t>
                  </w:r>
                </w:p>
              </w:tc>
              <w:tc>
                <w:tcPr>
                  <w:tcW w:w="1625" w:type="dxa"/>
                  <w:tcBorders>
                    <w:tl2br w:val="nil"/>
                    <w:tr2bl w:val="nil"/>
                  </w:tcBorders>
                  <w:vAlign w:val="center"/>
                </w:tcPr>
                <w:p w14:paraId="3843080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Cs/>
                      <w:caps w:val="0"/>
                      <w:color w:val="auto"/>
                      <w:szCs w:val="21"/>
                      <w:highlight w:val="none"/>
                      <w:lang w:val="en-US" w:eastAsia="zh-CN"/>
                    </w:rPr>
                  </w:pPr>
                  <w:r>
                    <w:rPr>
                      <w:rFonts w:hint="eastAsia"/>
                      <w:bCs/>
                      <w:caps w:val="0"/>
                      <w:color w:val="auto"/>
                      <w:szCs w:val="21"/>
                      <w:highlight w:val="none"/>
                      <w:lang w:val="en-US" w:eastAsia="zh-CN"/>
                    </w:rPr>
                    <w:t>冲压成型</w:t>
                  </w:r>
                </w:p>
              </w:tc>
              <w:tc>
                <w:tcPr>
                  <w:tcW w:w="2158" w:type="dxa"/>
                  <w:tcBorders>
                    <w:tl2br w:val="nil"/>
                    <w:tr2bl w:val="nil"/>
                  </w:tcBorders>
                  <w:vAlign w:val="center"/>
                </w:tcPr>
                <w:p w14:paraId="5EE3966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废金属边角料</w:t>
                  </w:r>
                </w:p>
              </w:tc>
              <w:tc>
                <w:tcPr>
                  <w:tcW w:w="2259" w:type="dxa"/>
                  <w:tcBorders>
                    <w:tl2br w:val="nil"/>
                    <w:tr2bl w:val="nil"/>
                  </w:tcBorders>
                  <w:vAlign w:val="center"/>
                </w:tcPr>
                <w:p w14:paraId="7F3F4B5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暂存一般固废库，外售</w:t>
                  </w:r>
                </w:p>
              </w:tc>
            </w:tr>
            <w:tr w14:paraId="495AD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38DFE61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val="en-US" w:eastAsia="zh-CN"/>
                    </w:rPr>
                  </w:pPr>
                </w:p>
              </w:tc>
              <w:tc>
                <w:tcPr>
                  <w:tcW w:w="1008" w:type="dxa"/>
                  <w:tcBorders>
                    <w:tl2br w:val="nil"/>
                    <w:tr2bl w:val="nil"/>
                  </w:tcBorders>
                  <w:shd w:val="clear" w:color="auto" w:fill="auto"/>
                  <w:vAlign w:val="center"/>
                </w:tcPr>
                <w:p w14:paraId="3EBF9A7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S5</w:t>
                  </w:r>
                </w:p>
              </w:tc>
              <w:tc>
                <w:tcPr>
                  <w:tcW w:w="1625" w:type="dxa"/>
                  <w:tcBorders>
                    <w:tl2br w:val="nil"/>
                    <w:tr2bl w:val="nil"/>
                  </w:tcBorders>
                  <w:vAlign w:val="center"/>
                </w:tcPr>
                <w:p w14:paraId="4378692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冲压成型</w:t>
                  </w:r>
                </w:p>
              </w:tc>
              <w:tc>
                <w:tcPr>
                  <w:tcW w:w="2158" w:type="dxa"/>
                  <w:tcBorders>
                    <w:tl2br w:val="nil"/>
                    <w:tr2bl w:val="nil"/>
                  </w:tcBorders>
                  <w:vAlign w:val="center"/>
                </w:tcPr>
                <w:p w14:paraId="7489B6D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Cs/>
                      <w:caps w:val="0"/>
                      <w:color w:val="auto"/>
                      <w:szCs w:val="21"/>
                      <w:highlight w:val="none"/>
                      <w:lang w:val="en-US" w:eastAsia="zh-CN"/>
                    </w:rPr>
                  </w:pPr>
                  <w:r>
                    <w:rPr>
                      <w:rFonts w:hint="eastAsia"/>
                      <w:bCs/>
                      <w:caps w:val="0"/>
                      <w:color w:val="auto"/>
                      <w:szCs w:val="21"/>
                      <w:highlight w:val="none"/>
                      <w:lang w:val="en-US" w:eastAsia="zh-CN"/>
                    </w:rPr>
                    <w:t>含切削液的废金属屑</w:t>
                  </w:r>
                </w:p>
              </w:tc>
              <w:tc>
                <w:tcPr>
                  <w:tcW w:w="2259" w:type="dxa"/>
                  <w:tcBorders>
                    <w:tl2br w:val="nil"/>
                    <w:tr2bl w:val="nil"/>
                  </w:tcBorders>
                  <w:vAlign w:val="center"/>
                </w:tcPr>
                <w:p w14:paraId="180CD6D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暂存危废库，定期交由有资质单位处置</w:t>
                  </w:r>
                </w:p>
              </w:tc>
            </w:tr>
            <w:tr w14:paraId="604C53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184FCCD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val="en-US" w:eastAsia="zh-CN"/>
                    </w:rPr>
                  </w:pPr>
                </w:p>
              </w:tc>
              <w:tc>
                <w:tcPr>
                  <w:tcW w:w="1008" w:type="dxa"/>
                  <w:tcBorders>
                    <w:tl2br w:val="nil"/>
                    <w:tr2bl w:val="nil"/>
                  </w:tcBorders>
                  <w:shd w:val="clear" w:color="auto" w:fill="auto"/>
                  <w:vAlign w:val="center"/>
                </w:tcPr>
                <w:p w14:paraId="3DC580F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S6</w:t>
                  </w:r>
                </w:p>
              </w:tc>
              <w:tc>
                <w:tcPr>
                  <w:tcW w:w="1625" w:type="dxa"/>
                  <w:tcBorders>
                    <w:tl2br w:val="nil"/>
                    <w:tr2bl w:val="nil"/>
                  </w:tcBorders>
                  <w:vAlign w:val="center"/>
                </w:tcPr>
                <w:p w14:paraId="0BD76C9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检验</w:t>
                  </w:r>
                </w:p>
              </w:tc>
              <w:tc>
                <w:tcPr>
                  <w:tcW w:w="2158" w:type="dxa"/>
                  <w:tcBorders>
                    <w:tl2br w:val="nil"/>
                    <w:tr2bl w:val="nil"/>
                  </w:tcBorders>
                  <w:vAlign w:val="center"/>
                </w:tcPr>
                <w:p w14:paraId="079C3E4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不合格高压连接器</w:t>
                  </w:r>
                </w:p>
              </w:tc>
              <w:tc>
                <w:tcPr>
                  <w:tcW w:w="2259" w:type="dxa"/>
                  <w:tcBorders>
                    <w:tl2br w:val="nil"/>
                    <w:tr2bl w:val="nil"/>
                  </w:tcBorders>
                  <w:vAlign w:val="center"/>
                </w:tcPr>
                <w:p w14:paraId="7DD9603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暂存一般固废库，外售</w:t>
                  </w:r>
                </w:p>
              </w:tc>
            </w:tr>
            <w:tr w14:paraId="49472C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2B759B3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val="en-US" w:eastAsia="zh-CN"/>
                    </w:rPr>
                  </w:pPr>
                </w:p>
              </w:tc>
              <w:tc>
                <w:tcPr>
                  <w:tcW w:w="1008" w:type="dxa"/>
                  <w:tcBorders>
                    <w:tl2br w:val="nil"/>
                    <w:tr2bl w:val="nil"/>
                  </w:tcBorders>
                  <w:shd w:val="clear" w:color="auto" w:fill="auto"/>
                  <w:vAlign w:val="center"/>
                </w:tcPr>
                <w:p w14:paraId="45D2C12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S7</w:t>
                  </w:r>
                </w:p>
              </w:tc>
              <w:tc>
                <w:tcPr>
                  <w:tcW w:w="1625" w:type="dxa"/>
                  <w:tcBorders>
                    <w:tl2br w:val="nil"/>
                    <w:tr2bl w:val="nil"/>
                  </w:tcBorders>
                  <w:vAlign w:val="center"/>
                </w:tcPr>
                <w:p w14:paraId="20A37D7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检验包装</w:t>
                  </w:r>
                </w:p>
              </w:tc>
              <w:tc>
                <w:tcPr>
                  <w:tcW w:w="2158" w:type="dxa"/>
                  <w:tcBorders>
                    <w:tl2br w:val="nil"/>
                    <w:tr2bl w:val="nil"/>
                  </w:tcBorders>
                  <w:vAlign w:val="center"/>
                </w:tcPr>
                <w:p w14:paraId="1317075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废包装材料</w:t>
                  </w:r>
                </w:p>
              </w:tc>
              <w:tc>
                <w:tcPr>
                  <w:tcW w:w="2259" w:type="dxa"/>
                  <w:tcBorders>
                    <w:tl2br w:val="nil"/>
                    <w:tr2bl w:val="nil"/>
                  </w:tcBorders>
                  <w:vAlign w:val="center"/>
                </w:tcPr>
                <w:p w14:paraId="1B22F20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暂存一般固废库，外售</w:t>
                  </w:r>
                </w:p>
              </w:tc>
            </w:tr>
            <w:tr w14:paraId="284203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0B0C04F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val="en-US" w:eastAsia="zh-CN"/>
                    </w:rPr>
                  </w:pPr>
                </w:p>
              </w:tc>
              <w:tc>
                <w:tcPr>
                  <w:tcW w:w="1008" w:type="dxa"/>
                  <w:tcBorders>
                    <w:tl2br w:val="nil"/>
                    <w:tr2bl w:val="nil"/>
                  </w:tcBorders>
                  <w:shd w:val="clear" w:color="auto" w:fill="auto"/>
                  <w:vAlign w:val="center"/>
                </w:tcPr>
                <w:p w14:paraId="2EAADDD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S8</w:t>
                  </w:r>
                </w:p>
              </w:tc>
              <w:tc>
                <w:tcPr>
                  <w:tcW w:w="1625" w:type="dxa"/>
                  <w:tcBorders>
                    <w:tl2br w:val="nil"/>
                    <w:tr2bl w:val="nil"/>
                  </w:tcBorders>
                  <w:vAlign w:val="center"/>
                </w:tcPr>
                <w:p w14:paraId="36BCE67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去毛刺</w:t>
                  </w:r>
                </w:p>
              </w:tc>
              <w:tc>
                <w:tcPr>
                  <w:tcW w:w="2158" w:type="dxa"/>
                  <w:tcBorders>
                    <w:tl2br w:val="nil"/>
                    <w:tr2bl w:val="nil"/>
                  </w:tcBorders>
                  <w:vAlign w:val="center"/>
                </w:tcPr>
                <w:p w14:paraId="37E04DB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塑料边角料</w:t>
                  </w:r>
                </w:p>
              </w:tc>
              <w:tc>
                <w:tcPr>
                  <w:tcW w:w="2259" w:type="dxa"/>
                  <w:vMerge w:val="restart"/>
                  <w:tcBorders>
                    <w:tl2br w:val="nil"/>
                    <w:tr2bl w:val="nil"/>
                  </w:tcBorders>
                  <w:vAlign w:val="center"/>
                </w:tcPr>
                <w:p w14:paraId="3EF8322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Cs/>
                      <w:caps w:val="0"/>
                      <w:color w:val="auto"/>
                      <w:szCs w:val="21"/>
                      <w:highlight w:val="none"/>
                      <w:lang w:val="en-US" w:eastAsia="zh-CN"/>
                    </w:rPr>
                  </w:pPr>
                  <w:r>
                    <w:rPr>
                      <w:rFonts w:hint="eastAsia"/>
                      <w:bCs/>
                      <w:caps w:val="0"/>
                      <w:color w:val="auto"/>
                      <w:szCs w:val="21"/>
                      <w:highlight w:val="none"/>
                      <w:lang w:val="en-US" w:eastAsia="zh-CN"/>
                    </w:rPr>
                    <w:t>破碎后回用</w:t>
                  </w:r>
                </w:p>
              </w:tc>
            </w:tr>
            <w:tr w14:paraId="407760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52EDCE54">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shd w:val="clear" w:color="auto" w:fill="auto"/>
                  <w:vAlign w:val="center"/>
                </w:tcPr>
                <w:p w14:paraId="3137239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S9</w:t>
                  </w:r>
                </w:p>
              </w:tc>
              <w:tc>
                <w:tcPr>
                  <w:tcW w:w="1625" w:type="dxa"/>
                  <w:tcBorders>
                    <w:tl2br w:val="nil"/>
                    <w:tr2bl w:val="nil"/>
                  </w:tcBorders>
                  <w:vAlign w:val="center"/>
                </w:tcPr>
                <w:p w14:paraId="3D970E7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检验</w:t>
                  </w:r>
                </w:p>
              </w:tc>
              <w:tc>
                <w:tcPr>
                  <w:tcW w:w="2158" w:type="dxa"/>
                  <w:tcBorders>
                    <w:tl2br w:val="nil"/>
                    <w:tr2bl w:val="nil"/>
                  </w:tcBorders>
                  <w:vAlign w:val="center"/>
                </w:tcPr>
                <w:p w14:paraId="12DA6AB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塑料不合格品</w:t>
                  </w:r>
                </w:p>
              </w:tc>
              <w:tc>
                <w:tcPr>
                  <w:tcW w:w="2259" w:type="dxa"/>
                  <w:vMerge w:val="continue"/>
                  <w:tcBorders>
                    <w:tl2br w:val="nil"/>
                    <w:tr2bl w:val="nil"/>
                  </w:tcBorders>
                  <w:vAlign w:val="center"/>
                </w:tcPr>
                <w:p w14:paraId="2BF29D2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p>
              </w:tc>
            </w:tr>
            <w:tr w14:paraId="5B8658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3B9A1182">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shd w:val="clear" w:color="auto" w:fill="auto"/>
                  <w:vAlign w:val="center"/>
                </w:tcPr>
                <w:p w14:paraId="5089ADF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aps w:val="0"/>
                      <w:color w:val="auto"/>
                      <w:kern w:val="2"/>
                      <w:sz w:val="21"/>
                      <w:szCs w:val="21"/>
                      <w:highlight w:val="none"/>
                      <w:lang w:val="en-US" w:eastAsia="zh-CN" w:bidi="ar-SA"/>
                    </w:rPr>
                  </w:pPr>
                  <w:r>
                    <w:rPr>
                      <w:rFonts w:hint="eastAsia"/>
                      <w:bCs/>
                      <w:caps w:val="0"/>
                      <w:color w:val="auto"/>
                      <w:szCs w:val="21"/>
                      <w:highlight w:val="none"/>
                      <w:lang w:val="en-US" w:eastAsia="zh-CN"/>
                    </w:rPr>
                    <w:t>S10</w:t>
                  </w:r>
                </w:p>
              </w:tc>
              <w:tc>
                <w:tcPr>
                  <w:tcW w:w="1625" w:type="dxa"/>
                  <w:tcBorders>
                    <w:tl2br w:val="nil"/>
                    <w:tr2bl w:val="nil"/>
                  </w:tcBorders>
                  <w:vAlign w:val="center"/>
                </w:tcPr>
                <w:p w14:paraId="241E5EA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检验包装</w:t>
                  </w:r>
                </w:p>
              </w:tc>
              <w:tc>
                <w:tcPr>
                  <w:tcW w:w="2158" w:type="dxa"/>
                  <w:tcBorders>
                    <w:tl2br w:val="nil"/>
                    <w:tr2bl w:val="nil"/>
                  </w:tcBorders>
                  <w:vAlign w:val="center"/>
                </w:tcPr>
                <w:p w14:paraId="3680BA5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塑料不合格品</w:t>
                  </w:r>
                </w:p>
              </w:tc>
              <w:tc>
                <w:tcPr>
                  <w:tcW w:w="2259" w:type="dxa"/>
                  <w:vMerge w:val="continue"/>
                  <w:tcBorders>
                    <w:tl2br w:val="nil"/>
                    <w:tr2bl w:val="nil"/>
                  </w:tcBorders>
                  <w:vAlign w:val="center"/>
                </w:tcPr>
                <w:p w14:paraId="155EB94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p>
              </w:tc>
            </w:tr>
            <w:tr w14:paraId="33256D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3C41FC8C">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shd w:val="clear" w:color="auto" w:fill="auto"/>
                  <w:vAlign w:val="center"/>
                </w:tcPr>
                <w:p w14:paraId="72AD3A0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aps w:val="0"/>
                      <w:color w:val="auto"/>
                      <w:kern w:val="2"/>
                      <w:sz w:val="21"/>
                      <w:szCs w:val="21"/>
                      <w:highlight w:val="none"/>
                      <w:lang w:val="en-US" w:eastAsia="zh-CN" w:bidi="ar-SA"/>
                    </w:rPr>
                  </w:pPr>
                  <w:r>
                    <w:rPr>
                      <w:rFonts w:hint="eastAsia"/>
                      <w:bCs/>
                      <w:caps w:val="0"/>
                      <w:color w:val="auto"/>
                      <w:szCs w:val="21"/>
                      <w:highlight w:val="none"/>
                      <w:lang w:val="en-US" w:eastAsia="zh-CN"/>
                    </w:rPr>
                    <w:t>S11</w:t>
                  </w:r>
                </w:p>
              </w:tc>
              <w:tc>
                <w:tcPr>
                  <w:tcW w:w="1625" w:type="dxa"/>
                  <w:tcBorders>
                    <w:tl2br w:val="nil"/>
                    <w:tr2bl w:val="nil"/>
                  </w:tcBorders>
                  <w:vAlign w:val="center"/>
                </w:tcPr>
                <w:p w14:paraId="0724D5F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包装入库</w:t>
                  </w:r>
                </w:p>
              </w:tc>
              <w:tc>
                <w:tcPr>
                  <w:tcW w:w="2158" w:type="dxa"/>
                  <w:tcBorders>
                    <w:tl2br w:val="nil"/>
                    <w:tr2bl w:val="nil"/>
                  </w:tcBorders>
                  <w:vAlign w:val="center"/>
                </w:tcPr>
                <w:p w14:paraId="1A51268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废包装材料</w:t>
                  </w:r>
                </w:p>
              </w:tc>
              <w:tc>
                <w:tcPr>
                  <w:tcW w:w="2259" w:type="dxa"/>
                  <w:tcBorders>
                    <w:tl2br w:val="nil"/>
                    <w:tr2bl w:val="nil"/>
                  </w:tcBorders>
                  <w:vAlign w:val="center"/>
                </w:tcPr>
                <w:p w14:paraId="6F8DAFC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Cs/>
                      <w:caps w:val="0"/>
                      <w:color w:val="auto"/>
                      <w:szCs w:val="21"/>
                      <w:highlight w:val="none"/>
                      <w:lang w:val="en-US" w:eastAsia="zh-CN"/>
                    </w:rPr>
                  </w:pPr>
                  <w:r>
                    <w:rPr>
                      <w:rFonts w:hint="eastAsia"/>
                      <w:bCs/>
                      <w:caps w:val="0"/>
                      <w:color w:val="auto"/>
                      <w:szCs w:val="21"/>
                      <w:highlight w:val="none"/>
                      <w:lang w:val="en-US" w:eastAsia="zh-CN"/>
                    </w:rPr>
                    <w:t>暂存一般固废库，外售</w:t>
                  </w:r>
                </w:p>
              </w:tc>
            </w:tr>
            <w:tr w14:paraId="3A31FE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05522E33">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shd w:val="clear" w:color="auto" w:fill="auto"/>
                  <w:vAlign w:val="center"/>
                </w:tcPr>
                <w:p w14:paraId="6811182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aps w:val="0"/>
                      <w:color w:val="auto"/>
                      <w:kern w:val="2"/>
                      <w:sz w:val="21"/>
                      <w:szCs w:val="21"/>
                      <w:highlight w:val="none"/>
                      <w:lang w:val="en-US" w:eastAsia="zh-CN" w:bidi="ar-SA"/>
                    </w:rPr>
                  </w:pPr>
                  <w:r>
                    <w:rPr>
                      <w:rFonts w:hint="eastAsia"/>
                      <w:bCs/>
                      <w:caps w:val="0"/>
                      <w:color w:val="auto"/>
                      <w:szCs w:val="21"/>
                      <w:highlight w:val="none"/>
                      <w:lang w:val="en-US" w:eastAsia="zh-CN"/>
                    </w:rPr>
                    <w:t>S12</w:t>
                  </w:r>
                </w:p>
              </w:tc>
              <w:tc>
                <w:tcPr>
                  <w:tcW w:w="1625" w:type="dxa"/>
                  <w:tcBorders>
                    <w:tl2br w:val="nil"/>
                    <w:tr2bl w:val="nil"/>
                  </w:tcBorders>
                  <w:vAlign w:val="center"/>
                </w:tcPr>
                <w:p w14:paraId="5C147C3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原料使用</w:t>
                  </w:r>
                </w:p>
              </w:tc>
              <w:tc>
                <w:tcPr>
                  <w:tcW w:w="2158" w:type="dxa"/>
                  <w:tcBorders>
                    <w:tl2br w:val="nil"/>
                    <w:tr2bl w:val="nil"/>
                  </w:tcBorders>
                  <w:vAlign w:val="center"/>
                </w:tcPr>
                <w:p w14:paraId="47E802F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废包装桶</w:t>
                  </w:r>
                </w:p>
              </w:tc>
              <w:tc>
                <w:tcPr>
                  <w:tcW w:w="2259" w:type="dxa"/>
                  <w:tcBorders>
                    <w:tl2br w:val="nil"/>
                    <w:tr2bl w:val="nil"/>
                  </w:tcBorders>
                  <w:vAlign w:val="center"/>
                </w:tcPr>
                <w:p w14:paraId="6473F1E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Cs/>
                      <w:caps w:val="0"/>
                      <w:color w:val="auto"/>
                      <w:szCs w:val="21"/>
                      <w:highlight w:val="none"/>
                      <w:lang w:val="en-US" w:eastAsia="zh-CN"/>
                    </w:rPr>
                  </w:pPr>
                  <w:r>
                    <w:rPr>
                      <w:rFonts w:hint="eastAsia"/>
                      <w:bCs/>
                      <w:caps w:val="0"/>
                      <w:color w:val="auto"/>
                      <w:szCs w:val="21"/>
                      <w:highlight w:val="none"/>
                      <w:lang w:val="en-US" w:eastAsia="zh-CN"/>
                    </w:rPr>
                    <w:t>暂存危废库，定期交由有资质单位处置</w:t>
                  </w:r>
                </w:p>
              </w:tc>
            </w:tr>
            <w:tr w14:paraId="0BF18B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5A8C0427">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shd w:val="clear" w:color="auto" w:fill="auto"/>
                  <w:vAlign w:val="center"/>
                </w:tcPr>
                <w:p w14:paraId="2F6AEED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aps w:val="0"/>
                      <w:color w:val="auto"/>
                      <w:kern w:val="2"/>
                      <w:sz w:val="21"/>
                      <w:szCs w:val="21"/>
                      <w:highlight w:val="none"/>
                      <w:lang w:val="en-US" w:eastAsia="zh-CN" w:bidi="ar-SA"/>
                    </w:rPr>
                  </w:pPr>
                  <w:r>
                    <w:rPr>
                      <w:rFonts w:hint="eastAsia"/>
                      <w:bCs/>
                      <w:caps w:val="0"/>
                      <w:color w:val="auto"/>
                      <w:szCs w:val="21"/>
                      <w:highlight w:val="none"/>
                      <w:lang w:val="en-US" w:eastAsia="zh-CN"/>
                    </w:rPr>
                    <w:t>S13</w:t>
                  </w:r>
                </w:p>
              </w:tc>
              <w:tc>
                <w:tcPr>
                  <w:tcW w:w="1625" w:type="dxa"/>
                  <w:tcBorders>
                    <w:tl2br w:val="nil"/>
                    <w:tr2bl w:val="nil"/>
                  </w:tcBorders>
                  <w:vAlign w:val="center"/>
                </w:tcPr>
                <w:p w14:paraId="3F791DB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设备维修保养</w:t>
                  </w:r>
                </w:p>
              </w:tc>
              <w:tc>
                <w:tcPr>
                  <w:tcW w:w="2158" w:type="dxa"/>
                  <w:tcBorders>
                    <w:tl2br w:val="nil"/>
                    <w:tr2bl w:val="nil"/>
                  </w:tcBorders>
                  <w:vAlign w:val="center"/>
                </w:tcPr>
                <w:p w14:paraId="3951EF5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废润滑油</w:t>
                  </w:r>
                </w:p>
              </w:tc>
              <w:tc>
                <w:tcPr>
                  <w:tcW w:w="2259" w:type="dxa"/>
                  <w:tcBorders>
                    <w:tl2br w:val="nil"/>
                    <w:tr2bl w:val="nil"/>
                  </w:tcBorders>
                  <w:vAlign w:val="center"/>
                </w:tcPr>
                <w:p w14:paraId="73B8806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暂存危废库，定期交由有资质单位处置</w:t>
                  </w:r>
                </w:p>
              </w:tc>
            </w:tr>
            <w:tr w14:paraId="1EF54D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2FD11A21">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shd w:val="clear" w:color="auto" w:fill="auto"/>
                  <w:vAlign w:val="center"/>
                </w:tcPr>
                <w:p w14:paraId="4E82768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S14</w:t>
                  </w:r>
                </w:p>
              </w:tc>
              <w:tc>
                <w:tcPr>
                  <w:tcW w:w="1625" w:type="dxa"/>
                  <w:tcBorders>
                    <w:tl2br w:val="nil"/>
                    <w:tr2bl w:val="nil"/>
                  </w:tcBorders>
                  <w:vAlign w:val="center"/>
                </w:tcPr>
                <w:p w14:paraId="601C875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设备维修保养</w:t>
                  </w:r>
                </w:p>
              </w:tc>
              <w:tc>
                <w:tcPr>
                  <w:tcW w:w="2158" w:type="dxa"/>
                  <w:tcBorders>
                    <w:tl2br w:val="nil"/>
                    <w:tr2bl w:val="nil"/>
                  </w:tcBorders>
                  <w:vAlign w:val="center"/>
                </w:tcPr>
                <w:p w14:paraId="709640C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废润滑油桶</w:t>
                  </w:r>
                </w:p>
              </w:tc>
              <w:tc>
                <w:tcPr>
                  <w:tcW w:w="2259" w:type="dxa"/>
                  <w:tcBorders>
                    <w:tl2br w:val="nil"/>
                    <w:tr2bl w:val="nil"/>
                  </w:tcBorders>
                  <w:vAlign w:val="center"/>
                </w:tcPr>
                <w:p w14:paraId="4E49750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暂存危废库，定期交由有资质单位处置</w:t>
                  </w:r>
                </w:p>
              </w:tc>
            </w:tr>
            <w:tr w14:paraId="590B81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64" w:type="dxa"/>
                  <w:vMerge w:val="continue"/>
                  <w:tcBorders>
                    <w:tl2br w:val="nil"/>
                    <w:tr2bl w:val="nil"/>
                  </w:tcBorders>
                  <w:vAlign w:val="center"/>
                </w:tcPr>
                <w:p w14:paraId="11A3BEA2">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shd w:val="clear" w:color="auto" w:fill="auto"/>
                  <w:vAlign w:val="center"/>
                </w:tcPr>
                <w:p w14:paraId="368FCAC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aps w:val="0"/>
                      <w:color w:val="auto"/>
                      <w:kern w:val="2"/>
                      <w:sz w:val="21"/>
                      <w:szCs w:val="21"/>
                      <w:highlight w:val="none"/>
                      <w:lang w:val="en-US" w:eastAsia="zh-CN" w:bidi="ar-SA"/>
                    </w:rPr>
                  </w:pPr>
                  <w:r>
                    <w:rPr>
                      <w:rFonts w:hint="eastAsia" w:cs="Times New Roman"/>
                      <w:bCs/>
                      <w:caps w:val="0"/>
                      <w:color w:val="auto"/>
                      <w:kern w:val="2"/>
                      <w:sz w:val="21"/>
                      <w:szCs w:val="21"/>
                      <w:highlight w:val="none"/>
                      <w:lang w:val="en-US" w:eastAsia="zh-CN" w:bidi="ar-SA"/>
                    </w:rPr>
                    <w:t>S15</w:t>
                  </w:r>
                </w:p>
              </w:tc>
              <w:tc>
                <w:tcPr>
                  <w:tcW w:w="1625" w:type="dxa"/>
                  <w:tcBorders>
                    <w:tl2br w:val="nil"/>
                    <w:tr2bl w:val="nil"/>
                  </w:tcBorders>
                  <w:vAlign w:val="center"/>
                </w:tcPr>
                <w:p w14:paraId="06508A8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废气治理</w:t>
                  </w:r>
                </w:p>
              </w:tc>
              <w:tc>
                <w:tcPr>
                  <w:tcW w:w="2158" w:type="dxa"/>
                  <w:tcBorders>
                    <w:tl2br w:val="nil"/>
                    <w:tr2bl w:val="nil"/>
                  </w:tcBorders>
                  <w:vAlign w:val="center"/>
                </w:tcPr>
                <w:p w14:paraId="2FB31FC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废活性炭</w:t>
                  </w:r>
                </w:p>
              </w:tc>
              <w:tc>
                <w:tcPr>
                  <w:tcW w:w="2259" w:type="dxa"/>
                  <w:tcBorders>
                    <w:tl2br w:val="nil"/>
                    <w:tr2bl w:val="nil"/>
                  </w:tcBorders>
                  <w:vAlign w:val="center"/>
                </w:tcPr>
                <w:p w14:paraId="62680C0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aps w:val="0"/>
                      <w:color w:val="auto"/>
                      <w:szCs w:val="21"/>
                      <w:highlight w:val="none"/>
                      <w:lang w:val="en-US" w:eastAsia="zh-CN"/>
                    </w:rPr>
                  </w:pPr>
                  <w:r>
                    <w:rPr>
                      <w:rFonts w:hint="eastAsia"/>
                      <w:bCs/>
                      <w:caps w:val="0"/>
                      <w:color w:val="auto"/>
                      <w:szCs w:val="21"/>
                      <w:highlight w:val="none"/>
                      <w:lang w:val="en-US" w:eastAsia="zh-CN"/>
                    </w:rPr>
                    <w:t>暂存危废库，定期交由有资质单位处置</w:t>
                  </w:r>
                </w:p>
              </w:tc>
            </w:tr>
            <w:tr w14:paraId="40D58A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vMerge w:val="continue"/>
                  <w:tcBorders>
                    <w:tl2br w:val="nil"/>
                    <w:tr2bl w:val="nil"/>
                  </w:tcBorders>
                  <w:vAlign w:val="center"/>
                </w:tcPr>
                <w:p w14:paraId="03ECA394">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p>
              </w:tc>
              <w:tc>
                <w:tcPr>
                  <w:tcW w:w="1008" w:type="dxa"/>
                  <w:tcBorders>
                    <w:tl2br w:val="nil"/>
                    <w:tr2bl w:val="nil"/>
                  </w:tcBorders>
                  <w:shd w:val="clear" w:color="auto" w:fill="auto"/>
                  <w:vAlign w:val="center"/>
                </w:tcPr>
                <w:p w14:paraId="762D211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s="Times New Roman"/>
                      <w:bCs/>
                      <w:caps w:val="0"/>
                      <w:color w:val="auto"/>
                      <w:kern w:val="2"/>
                      <w:sz w:val="21"/>
                      <w:szCs w:val="21"/>
                      <w:highlight w:val="none"/>
                      <w:lang w:val="en-US" w:eastAsia="zh-CN" w:bidi="ar-SA"/>
                    </w:rPr>
                  </w:pPr>
                  <w:r>
                    <w:rPr>
                      <w:rFonts w:hint="eastAsia" w:ascii="Times New Roman" w:hAnsi="Times New Roman" w:eastAsia="宋体"/>
                      <w:bCs/>
                      <w:caps w:val="0"/>
                      <w:color w:val="auto"/>
                      <w:szCs w:val="21"/>
                      <w:highlight w:val="none"/>
                      <w:lang w:val="en-US" w:eastAsia="zh-CN"/>
                    </w:rPr>
                    <w:t>S16</w:t>
                  </w:r>
                </w:p>
              </w:tc>
              <w:tc>
                <w:tcPr>
                  <w:tcW w:w="1625" w:type="dxa"/>
                  <w:tcBorders>
                    <w:tl2br w:val="nil"/>
                    <w:tr2bl w:val="nil"/>
                  </w:tcBorders>
                  <w:vAlign w:val="center"/>
                </w:tcPr>
                <w:p w14:paraId="061BECE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Cs/>
                      <w:caps w:val="0"/>
                      <w:color w:val="auto"/>
                      <w:szCs w:val="21"/>
                      <w:highlight w:val="none"/>
                      <w:lang w:val="en-US" w:eastAsia="zh-CN"/>
                    </w:rPr>
                  </w:pPr>
                  <w:r>
                    <w:rPr>
                      <w:rFonts w:hint="eastAsia"/>
                      <w:bCs/>
                      <w:caps w:val="0"/>
                      <w:color w:val="auto"/>
                      <w:szCs w:val="21"/>
                      <w:highlight w:val="none"/>
                      <w:lang w:val="en-US" w:eastAsia="zh-CN"/>
                    </w:rPr>
                    <w:t>沉淀池</w:t>
                  </w:r>
                </w:p>
              </w:tc>
              <w:tc>
                <w:tcPr>
                  <w:tcW w:w="2158" w:type="dxa"/>
                  <w:tcBorders>
                    <w:tl2br w:val="nil"/>
                    <w:tr2bl w:val="nil"/>
                  </w:tcBorders>
                  <w:vAlign w:val="center"/>
                </w:tcPr>
                <w:p w14:paraId="0DCF803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Cs/>
                      <w:caps w:val="0"/>
                      <w:color w:val="auto"/>
                      <w:szCs w:val="21"/>
                      <w:highlight w:val="none"/>
                      <w:lang w:val="en-US" w:eastAsia="zh-CN"/>
                    </w:rPr>
                  </w:pPr>
                  <w:r>
                    <w:rPr>
                      <w:rFonts w:hint="eastAsia"/>
                      <w:bCs/>
                      <w:caps w:val="0"/>
                      <w:color w:val="auto"/>
                      <w:szCs w:val="21"/>
                      <w:highlight w:val="none"/>
                      <w:lang w:val="en-US" w:eastAsia="zh-CN"/>
                    </w:rPr>
                    <w:t>污泥</w:t>
                  </w:r>
                </w:p>
              </w:tc>
              <w:tc>
                <w:tcPr>
                  <w:tcW w:w="2259" w:type="dxa"/>
                  <w:tcBorders>
                    <w:tl2br w:val="nil"/>
                    <w:tr2bl w:val="nil"/>
                  </w:tcBorders>
                  <w:vAlign w:val="center"/>
                </w:tcPr>
                <w:p w14:paraId="2E9206B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Cs/>
                      <w:caps w:val="0"/>
                      <w:color w:val="auto"/>
                      <w:szCs w:val="21"/>
                      <w:highlight w:val="none"/>
                      <w:lang w:val="en-US" w:eastAsia="zh-CN"/>
                    </w:rPr>
                  </w:pPr>
                  <w:r>
                    <w:rPr>
                      <w:rFonts w:hint="eastAsia"/>
                      <w:bCs/>
                      <w:caps w:val="0"/>
                      <w:color w:val="auto"/>
                      <w:szCs w:val="21"/>
                      <w:highlight w:val="none"/>
                      <w:lang w:val="en-US" w:eastAsia="zh-CN"/>
                    </w:rPr>
                    <w:t>暂存一般固废库，交由一般固废单位处理</w:t>
                  </w:r>
                </w:p>
              </w:tc>
            </w:tr>
            <w:tr w14:paraId="235642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4" w:type="dxa"/>
                  <w:tcBorders>
                    <w:tl2br w:val="nil"/>
                    <w:tr2bl w:val="nil"/>
                  </w:tcBorders>
                  <w:vAlign w:val="center"/>
                </w:tcPr>
                <w:p w14:paraId="3C1BC9E6">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噪声</w:t>
                  </w:r>
                </w:p>
              </w:tc>
              <w:tc>
                <w:tcPr>
                  <w:tcW w:w="1008" w:type="dxa"/>
                  <w:tcBorders>
                    <w:tl2br w:val="nil"/>
                    <w:tr2bl w:val="nil"/>
                  </w:tcBorders>
                  <w:vAlign w:val="center"/>
                </w:tcPr>
                <w:p w14:paraId="44C19A47">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设备噪声</w:t>
                  </w:r>
                </w:p>
              </w:tc>
              <w:tc>
                <w:tcPr>
                  <w:tcW w:w="1625" w:type="dxa"/>
                  <w:tcBorders>
                    <w:tl2br w:val="nil"/>
                    <w:tr2bl w:val="nil"/>
                  </w:tcBorders>
                  <w:vAlign w:val="center"/>
                </w:tcPr>
                <w:p w14:paraId="0C067B4F">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设备运行</w:t>
                  </w:r>
                </w:p>
              </w:tc>
              <w:tc>
                <w:tcPr>
                  <w:tcW w:w="2158" w:type="dxa"/>
                  <w:tcBorders>
                    <w:tl2br w:val="nil"/>
                    <w:tr2bl w:val="nil"/>
                  </w:tcBorders>
                  <w:vAlign w:val="center"/>
                </w:tcPr>
                <w:p w14:paraId="367BC5E4">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bCs/>
                      <w:caps w:val="0"/>
                      <w:color w:val="auto"/>
                      <w:szCs w:val="21"/>
                      <w:highlight w:val="none"/>
                    </w:rPr>
                  </w:pPr>
                  <w:r>
                    <w:rPr>
                      <w:rFonts w:ascii="Times New Roman" w:hAnsi="Times New Roman" w:eastAsia="宋体"/>
                      <w:bCs/>
                      <w:caps w:val="0"/>
                      <w:color w:val="auto"/>
                      <w:szCs w:val="21"/>
                      <w:highlight w:val="none"/>
                    </w:rPr>
                    <w:t>机械噪声</w:t>
                  </w:r>
                </w:p>
              </w:tc>
              <w:tc>
                <w:tcPr>
                  <w:tcW w:w="2259" w:type="dxa"/>
                  <w:tcBorders>
                    <w:tl2br w:val="nil"/>
                    <w:tr2bl w:val="nil"/>
                  </w:tcBorders>
                  <w:vAlign w:val="center"/>
                </w:tcPr>
                <w:p w14:paraId="4064004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Cs/>
                      <w:caps w:val="0"/>
                      <w:color w:val="auto"/>
                      <w:szCs w:val="21"/>
                      <w:highlight w:val="none"/>
                      <w:lang w:val="en-US" w:eastAsia="zh-CN"/>
                    </w:rPr>
                  </w:pPr>
                  <w:r>
                    <w:rPr>
                      <w:rFonts w:hint="eastAsia"/>
                      <w:bCs/>
                      <w:caps w:val="0"/>
                      <w:color w:val="auto"/>
                      <w:szCs w:val="21"/>
                      <w:highlight w:val="none"/>
                      <w:lang w:val="en-US" w:eastAsia="zh-CN"/>
                    </w:rPr>
                    <w:t>隔声、减振</w:t>
                  </w:r>
                </w:p>
              </w:tc>
            </w:tr>
          </w:tbl>
          <w:p w14:paraId="649C3952">
            <w:pPr>
              <w:pStyle w:val="7"/>
              <w:rPr>
                <w:rFonts w:ascii="Times New Roman" w:hAnsi="Times New Roman" w:eastAsia="宋体"/>
                <w:caps w:val="0"/>
                <w:color w:val="auto"/>
                <w:highlight w:val="none"/>
              </w:rPr>
            </w:pPr>
          </w:p>
        </w:tc>
      </w:tr>
      <w:tr w14:paraId="5741AD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58" w:hRule="atLeast"/>
          <w:jc w:val="center"/>
        </w:trPr>
        <w:tc>
          <w:tcPr>
            <w:tcW w:w="722" w:type="dxa"/>
            <w:vAlign w:val="center"/>
          </w:tcPr>
          <w:p w14:paraId="060F186E">
            <w:pPr>
              <w:pStyle w:val="18"/>
              <w:adjustRightInd w:val="0"/>
              <w:snapToGrid w:val="0"/>
              <w:spacing w:before="0" w:beforeAutospacing="0" w:after="0" w:afterAutospacing="0"/>
              <w:jc w:val="center"/>
              <w:rPr>
                <w:rFonts w:ascii="Times New Roman" w:hAnsi="Times New Roman" w:eastAsia="宋体" w:cs="宋体"/>
                <w:caps w:val="0"/>
                <w:color w:val="auto"/>
                <w:szCs w:val="24"/>
                <w:highlight w:val="none"/>
              </w:rPr>
            </w:pPr>
            <w:r>
              <w:rPr>
                <w:rFonts w:hint="eastAsia" w:ascii="Times New Roman" w:hAnsi="Times New Roman" w:eastAsia="宋体" w:cs="宋体"/>
                <w:bCs/>
                <w:caps w:val="0"/>
                <w:color w:val="auto"/>
                <w:kern w:val="2"/>
                <w:szCs w:val="24"/>
                <w:highlight w:val="none"/>
              </w:rPr>
              <w:t>与项目有关的原有环境污染问题</w:t>
            </w:r>
          </w:p>
        </w:tc>
        <w:tc>
          <w:tcPr>
            <w:tcW w:w="8102" w:type="dxa"/>
            <w:vAlign w:val="center"/>
          </w:tcPr>
          <w:p w14:paraId="0D2C073D">
            <w:pPr>
              <w:snapToGrid w:val="0"/>
              <w:spacing w:line="360" w:lineRule="auto"/>
              <w:ind w:firstLine="482" w:firstLineChars="200"/>
              <w:rPr>
                <w:rFonts w:ascii="Times New Roman" w:hAnsi="Times New Roman" w:eastAsia="宋体"/>
                <w:b/>
                <w:bCs/>
                <w:caps w:val="0"/>
                <w:color w:val="auto"/>
                <w:sz w:val="24"/>
                <w:highlight w:val="none"/>
              </w:rPr>
            </w:pPr>
            <w:r>
              <w:rPr>
                <w:rFonts w:ascii="Times New Roman" w:hAnsi="Times New Roman" w:eastAsia="宋体"/>
                <w:b/>
                <w:bCs/>
                <w:caps w:val="0"/>
                <w:color w:val="auto"/>
                <w:sz w:val="24"/>
                <w:highlight w:val="none"/>
              </w:rPr>
              <w:t>1、现有工程环保手续履行情况</w:t>
            </w:r>
          </w:p>
          <w:p w14:paraId="451E81EF">
            <w:pPr>
              <w:spacing w:line="360" w:lineRule="auto"/>
              <w:ind w:firstLine="480" w:firstLineChars="200"/>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安徽凯迪电气有限公司于2009年6月委托安徽师范大学编制了《凯迪电气有限公司芜湖工业园项目环境影响报告表》（以下简称为“芜湖工业园项目”），于2009年8月31日取得了原芜湖市环境保护局审批意见，并于2012年12月取得了原芜湖市环境保护局一期竣工环境保护验收意见；于2011年取得了原芜湖市环境保护局关于安徽凯迪电气有限公司凯迪电气有限公司芜湖工业园项目环境影响补充报告的复函（环函[2011]112号），于2015年5月26日取得了原芜湖市环境保护局二期竣工环境保护验收意见。</w:t>
            </w:r>
          </w:p>
          <w:p w14:paraId="3F27A3D4">
            <w:pPr>
              <w:spacing w:line="360" w:lineRule="auto"/>
              <w:ind w:firstLine="480" w:firstLineChars="200"/>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2019年5月，安徽凯迪电气有限公司委托江苏苏辰勘探设计研究院编制了《芜湖凯迪电气有限公司汽车新能源高压系列产品（连接器、线束、电子锁等）环境影响报告表》，2019年6月2日，芜湖市生态环境局“芜环评审［2019］276号”文件对该项目进行了批复（见附件）。并于2022年12月进行了自主验收。</w:t>
            </w:r>
          </w:p>
          <w:p w14:paraId="73E2CC83">
            <w:pPr>
              <w:spacing w:line="360" w:lineRule="auto"/>
              <w:ind w:firstLine="480" w:firstLineChars="200"/>
              <w:rPr>
                <w:rFonts w:hint="eastAsia" w:ascii="Times New Roman" w:hAnsi="Times New Roman" w:eastAsia="宋体"/>
                <w:caps w:val="0"/>
                <w:color w:val="auto"/>
                <w:sz w:val="24"/>
                <w:highlight w:val="none"/>
                <w:lang w:eastAsia="zh-CN"/>
              </w:rPr>
            </w:pPr>
            <w:r>
              <w:rPr>
                <w:rFonts w:hint="eastAsia" w:ascii="Times New Roman" w:hAnsi="Times New Roman" w:eastAsia="宋体"/>
                <w:caps w:val="0"/>
                <w:color w:val="auto"/>
                <w:sz w:val="24"/>
                <w:highlight w:val="none"/>
              </w:rPr>
              <w:t>2022年11月安徽凯迪电气有限公司委托安徽诚航环保科技有限公司编制了《汽车新能源高压系列产品生产项目环境影响报告表》，2023年3月8日芜湖市生态环境局以“芜环行审（承）〔2023〕61号”文件对该项目进行了批复。并于2023年9月进行了自主阶段性验收</w:t>
            </w:r>
            <w:r>
              <w:rPr>
                <w:rFonts w:hint="eastAsia" w:ascii="Times New Roman" w:hAnsi="Times New Roman" w:eastAsia="宋体"/>
                <w:caps w:val="0"/>
                <w:color w:val="auto"/>
                <w:sz w:val="24"/>
                <w:highlight w:val="none"/>
                <w:lang w:eastAsia="zh-CN"/>
              </w:rPr>
              <w:t>。</w:t>
            </w:r>
          </w:p>
          <w:p w14:paraId="07D06553">
            <w:pPr>
              <w:spacing w:line="360" w:lineRule="auto"/>
              <w:ind w:firstLine="480" w:firstLineChars="200"/>
              <w:rPr>
                <w:rFonts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lang w:eastAsia="zh-CN"/>
              </w:rPr>
              <w:t>本单位于202</w:t>
            </w:r>
            <w:r>
              <w:rPr>
                <w:rFonts w:hint="eastAsia"/>
                <w:caps w:val="0"/>
                <w:color w:val="auto"/>
                <w:sz w:val="24"/>
                <w:highlight w:val="none"/>
                <w:lang w:val="en-US" w:eastAsia="zh-CN"/>
              </w:rPr>
              <w:t>0</w:t>
            </w:r>
            <w:r>
              <w:rPr>
                <w:rFonts w:hint="eastAsia" w:ascii="Times New Roman" w:hAnsi="Times New Roman" w:eastAsia="宋体"/>
                <w:caps w:val="0"/>
                <w:color w:val="auto"/>
                <w:sz w:val="24"/>
                <w:highlight w:val="none"/>
                <w:lang w:eastAsia="zh-CN"/>
              </w:rPr>
              <w:t>年</w:t>
            </w:r>
            <w:r>
              <w:rPr>
                <w:rFonts w:hint="eastAsia"/>
                <w:caps w:val="0"/>
                <w:color w:val="auto"/>
                <w:sz w:val="24"/>
                <w:highlight w:val="none"/>
                <w:lang w:val="en-US" w:eastAsia="zh-CN"/>
              </w:rPr>
              <w:t>3</w:t>
            </w:r>
            <w:r>
              <w:rPr>
                <w:rFonts w:hint="eastAsia" w:ascii="Times New Roman" w:hAnsi="Times New Roman" w:eastAsia="宋体"/>
                <w:caps w:val="0"/>
                <w:color w:val="auto"/>
                <w:sz w:val="24"/>
                <w:highlight w:val="none"/>
                <w:lang w:eastAsia="zh-CN"/>
              </w:rPr>
              <w:t>月</w:t>
            </w:r>
            <w:r>
              <w:rPr>
                <w:rFonts w:hint="eastAsia"/>
                <w:caps w:val="0"/>
                <w:color w:val="auto"/>
                <w:sz w:val="24"/>
                <w:highlight w:val="none"/>
                <w:lang w:val="en-US" w:eastAsia="zh-CN"/>
              </w:rPr>
              <w:t>26</w:t>
            </w:r>
            <w:r>
              <w:rPr>
                <w:rFonts w:hint="eastAsia" w:ascii="Times New Roman" w:hAnsi="Times New Roman" w:eastAsia="宋体"/>
                <w:caps w:val="0"/>
                <w:color w:val="auto"/>
                <w:sz w:val="24"/>
                <w:highlight w:val="none"/>
                <w:lang w:eastAsia="zh-CN"/>
              </w:rPr>
              <w:t>日完成</w:t>
            </w:r>
            <w:r>
              <w:rPr>
                <w:rFonts w:hint="eastAsia"/>
                <w:caps w:val="0"/>
                <w:color w:val="auto"/>
                <w:sz w:val="24"/>
                <w:highlight w:val="none"/>
                <w:lang w:val="en-US" w:eastAsia="zh-CN"/>
              </w:rPr>
              <w:t>首次</w:t>
            </w:r>
            <w:r>
              <w:rPr>
                <w:rFonts w:hint="eastAsia" w:ascii="Times New Roman" w:hAnsi="Times New Roman" w:eastAsia="宋体"/>
                <w:caps w:val="0"/>
                <w:color w:val="auto"/>
                <w:sz w:val="24"/>
                <w:highlight w:val="none"/>
                <w:lang w:eastAsia="zh-CN"/>
              </w:rPr>
              <w:t>排污登记（登记编号：9134020068205841XM001Y）</w:t>
            </w:r>
            <w:r>
              <w:rPr>
                <w:rFonts w:hint="eastAsia"/>
                <w:caps w:val="0"/>
                <w:color w:val="auto"/>
                <w:sz w:val="24"/>
                <w:highlight w:val="none"/>
                <w:lang w:eastAsia="zh-CN"/>
              </w:rPr>
              <w:t>。</w:t>
            </w:r>
          </w:p>
          <w:p w14:paraId="6C555E5E">
            <w:pPr>
              <w:ind w:firstLine="474" w:firstLineChars="200"/>
              <w:jc w:val="center"/>
              <w:rPr>
                <w:rFonts w:ascii="Times New Roman" w:hAnsi="Times New Roman" w:eastAsia="宋体"/>
                <w:b/>
                <w:bCs/>
                <w:caps w:val="0"/>
                <w:color w:val="auto"/>
                <w:spacing w:val="-2"/>
                <w:sz w:val="24"/>
                <w:highlight w:val="none"/>
              </w:rPr>
            </w:pPr>
            <w:r>
              <w:rPr>
                <w:rFonts w:ascii="Times New Roman" w:hAnsi="Times New Roman" w:eastAsia="宋体"/>
                <w:b/>
                <w:bCs/>
                <w:caps w:val="0"/>
                <w:color w:val="auto"/>
                <w:spacing w:val="-2"/>
                <w:sz w:val="24"/>
                <w:highlight w:val="none"/>
              </w:rPr>
              <w:t>表2-</w:t>
            </w:r>
            <w:r>
              <w:rPr>
                <w:rFonts w:hint="eastAsia"/>
                <w:b/>
                <w:bCs/>
                <w:caps w:val="0"/>
                <w:color w:val="auto"/>
                <w:spacing w:val="-2"/>
                <w:sz w:val="24"/>
                <w:highlight w:val="none"/>
                <w:lang w:val="en-US" w:eastAsia="zh-CN"/>
              </w:rPr>
              <w:t>9</w:t>
            </w:r>
            <w:r>
              <w:rPr>
                <w:rFonts w:ascii="Times New Roman" w:hAnsi="Times New Roman" w:eastAsia="宋体"/>
                <w:b/>
                <w:bCs/>
                <w:caps w:val="0"/>
                <w:color w:val="auto"/>
                <w:spacing w:val="-2"/>
                <w:sz w:val="24"/>
                <w:highlight w:val="none"/>
              </w:rPr>
              <w:t xml:space="preserve">  现有工程环评手续执行情况</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707"/>
              <w:gridCol w:w="1016"/>
              <w:gridCol w:w="1175"/>
              <w:gridCol w:w="1292"/>
              <w:gridCol w:w="808"/>
              <w:gridCol w:w="1243"/>
              <w:gridCol w:w="642"/>
            </w:tblGrid>
            <w:tr w14:paraId="6169C8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3" w:hRule="atLeast"/>
                <w:jc w:val="center"/>
              </w:trPr>
              <w:tc>
                <w:tcPr>
                  <w:tcW w:w="1082" w:type="pct"/>
                  <w:vMerge w:val="restart"/>
                  <w:tcBorders>
                    <w:tl2br w:val="nil"/>
                    <w:tr2bl w:val="nil"/>
                  </w:tcBorders>
                  <w:vAlign w:val="center"/>
                </w:tcPr>
                <w:p w14:paraId="342D223C">
                  <w:pPr>
                    <w:widowControl/>
                    <w:jc w:val="center"/>
                    <w:rPr>
                      <w:rFonts w:ascii="Times New Roman" w:hAnsi="Times New Roman" w:eastAsia="宋体"/>
                      <w:b/>
                      <w:bCs/>
                      <w:caps w:val="0"/>
                      <w:color w:val="auto"/>
                      <w:kern w:val="0"/>
                      <w:szCs w:val="21"/>
                      <w:highlight w:val="none"/>
                    </w:rPr>
                  </w:pPr>
                  <w:r>
                    <w:rPr>
                      <w:rFonts w:ascii="Times New Roman" w:hAnsi="Times New Roman" w:eastAsia="宋体"/>
                      <w:b/>
                      <w:bCs/>
                      <w:caps w:val="0"/>
                      <w:color w:val="auto"/>
                      <w:kern w:val="0"/>
                      <w:szCs w:val="21"/>
                      <w:highlight w:val="none"/>
                    </w:rPr>
                    <w:t>项目名称</w:t>
                  </w:r>
                </w:p>
              </w:tc>
              <w:tc>
                <w:tcPr>
                  <w:tcW w:w="2209" w:type="pct"/>
                  <w:gridSpan w:val="3"/>
                  <w:tcBorders>
                    <w:tl2br w:val="nil"/>
                    <w:tr2bl w:val="nil"/>
                  </w:tcBorders>
                  <w:vAlign w:val="center"/>
                </w:tcPr>
                <w:p w14:paraId="4059783C">
                  <w:pPr>
                    <w:widowControl/>
                    <w:jc w:val="center"/>
                    <w:rPr>
                      <w:rFonts w:ascii="Times New Roman" w:hAnsi="Times New Roman" w:eastAsia="宋体"/>
                      <w:b/>
                      <w:bCs/>
                      <w:caps w:val="0"/>
                      <w:color w:val="auto"/>
                      <w:kern w:val="0"/>
                      <w:szCs w:val="21"/>
                      <w:highlight w:val="none"/>
                    </w:rPr>
                  </w:pPr>
                  <w:r>
                    <w:rPr>
                      <w:rFonts w:ascii="Times New Roman" w:hAnsi="Times New Roman" w:eastAsia="宋体"/>
                      <w:b/>
                      <w:bCs/>
                      <w:caps w:val="0"/>
                      <w:color w:val="auto"/>
                      <w:kern w:val="0"/>
                      <w:szCs w:val="21"/>
                      <w:highlight w:val="none"/>
                    </w:rPr>
                    <w:t>环评情况</w:t>
                  </w:r>
                </w:p>
              </w:tc>
              <w:tc>
                <w:tcPr>
                  <w:tcW w:w="1300" w:type="pct"/>
                  <w:gridSpan w:val="2"/>
                  <w:tcBorders>
                    <w:tl2br w:val="nil"/>
                    <w:tr2bl w:val="nil"/>
                  </w:tcBorders>
                  <w:vAlign w:val="center"/>
                </w:tcPr>
                <w:p w14:paraId="4C1C7B5F">
                  <w:pPr>
                    <w:widowControl/>
                    <w:tabs>
                      <w:tab w:val="left" w:pos="1100"/>
                    </w:tabs>
                    <w:jc w:val="center"/>
                    <w:rPr>
                      <w:rFonts w:ascii="Times New Roman" w:hAnsi="Times New Roman" w:eastAsia="宋体"/>
                      <w:b/>
                      <w:bCs/>
                      <w:caps w:val="0"/>
                      <w:color w:val="auto"/>
                      <w:kern w:val="0"/>
                      <w:szCs w:val="21"/>
                      <w:highlight w:val="none"/>
                    </w:rPr>
                  </w:pPr>
                  <w:r>
                    <w:rPr>
                      <w:rFonts w:ascii="Times New Roman" w:hAnsi="Times New Roman" w:eastAsia="宋体"/>
                      <w:b/>
                      <w:bCs/>
                      <w:caps w:val="0"/>
                      <w:color w:val="auto"/>
                      <w:kern w:val="0"/>
                      <w:szCs w:val="21"/>
                      <w:highlight w:val="none"/>
                    </w:rPr>
                    <w:t>验收情况</w:t>
                  </w:r>
                </w:p>
              </w:tc>
              <w:tc>
                <w:tcPr>
                  <w:tcW w:w="407" w:type="pct"/>
                  <w:vMerge w:val="restart"/>
                  <w:tcBorders>
                    <w:tl2br w:val="nil"/>
                    <w:tr2bl w:val="nil"/>
                  </w:tcBorders>
                  <w:vAlign w:val="center"/>
                </w:tcPr>
                <w:p w14:paraId="4F22548D">
                  <w:pPr>
                    <w:widowControl/>
                    <w:tabs>
                      <w:tab w:val="left" w:pos="1100"/>
                    </w:tabs>
                    <w:jc w:val="center"/>
                    <w:rPr>
                      <w:rFonts w:hint="default" w:ascii="Times New Roman" w:hAnsi="Times New Roman" w:eastAsia="宋体"/>
                      <w:b/>
                      <w:bCs/>
                      <w:caps w:val="0"/>
                      <w:color w:val="auto"/>
                      <w:kern w:val="0"/>
                      <w:szCs w:val="21"/>
                      <w:highlight w:val="none"/>
                      <w:lang w:val="en-US" w:eastAsia="zh-CN"/>
                    </w:rPr>
                  </w:pPr>
                  <w:r>
                    <w:rPr>
                      <w:rFonts w:hint="eastAsia" w:ascii="Times New Roman" w:hAnsi="Times New Roman" w:eastAsia="宋体"/>
                      <w:b/>
                      <w:bCs/>
                      <w:caps w:val="0"/>
                      <w:color w:val="auto"/>
                      <w:kern w:val="0"/>
                      <w:szCs w:val="21"/>
                      <w:highlight w:val="none"/>
                      <w:lang w:val="en-US" w:eastAsia="zh-CN"/>
                    </w:rPr>
                    <w:t>排污许可证</w:t>
                  </w:r>
                </w:p>
              </w:tc>
            </w:tr>
            <w:tr w14:paraId="36DDF1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082" w:type="pct"/>
                  <w:vMerge w:val="continue"/>
                  <w:tcBorders>
                    <w:tl2br w:val="nil"/>
                    <w:tr2bl w:val="nil"/>
                  </w:tcBorders>
                  <w:vAlign w:val="center"/>
                </w:tcPr>
                <w:p w14:paraId="4476E2BB">
                  <w:pPr>
                    <w:widowControl/>
                    <w:jc w:val="center"/>
                    <w:rPr>
                      <w:rFonts w:ascii="Times New Roman" w:hAnsi="Times New Roman" w:eastAsia="宋体"/>
                      <w:b/>
                      <w:bCs/>
                      <w:caps w:val="0"/>
                      <w:color w:val="auto"/>
                      <w:kern w:val="0"/>
                      <w:szCs w:val="21"/>
                      <w:highlight w:val="none"/>
                    </w:rPr>
                  </w:pPr>
                </w:p>
              </w:tc>
              <w:tc>
                <w:tcPr>
                  <w:tcW w:w="644" w:type="pct"/>
                  <w:tcBorders>
                    <w:tl2br w:val="nil"/>
                    <w:tr2bl w:val="nil"/>
                  </w:tcBorders>
                  <w:vAlign w:val="center"/>
                </w:tcPr>
                <w:p w14:paraId="46942A24">
                  <w:pPr>
                    <w:widowControl/>
                    <w:jc w:val="center"/>
                    <w:rPr>
                      <w:rFonts w:ascii="Times New Roman" w:hAnsi="Times New Roman" w:eastAsia="宋体"/>
                      <w:b/>
                      <w:bCs/>
                      <w:caps w:val="0"/>
                      <w:color w:val="auto"/>
                      <w:kern w:val="0"/>
                      <w:szCs w:val="21"/>
                      <w:highlight w:val="none"/>
                    </w:rPr>
                  </w:pPr>
                  <w:r>
                    <w:rPr>
                      <w:rFonts w:ascii="Times New Roman" w:hAnsi="Times New Roman" w:eastAsia="宋体"/>
                      <w:b/>
                      <w:bCs/>
                      <w:caps w:val="0"/>
                      <w:color w:val="auto"/>
                      <w:kern w:val="0"/>
                      <w:szCs w:val="21"/>
                      <w:highlight w:val="none"/>
                    </w:rPr>
                    <w:t>审批时间</w:t>
                  </w:r>
                </w:p>
              </w:tc>
              <w:tc>
                <w:tcPr>
                  <w:tcW w:w="745" w:type="pct"/>
                  <w:tcBorders>
                    <w:tl2br w:val="nil"/>
                    <w:tr2bl w:val="nil"/>
                  </w:tcBorders>
                  <w:vAlign w:val="center"/>
                </w:tcPr>
                <w:p w14:paraId="7822DB90">
                  <w:pPr>
                    <w:widowControl/>
                    <w:jc w:val="center"/>
                    <w:rPr>
                      <w:rFonts w:ascii="Times New Roman" w:hAnsi="Times New Roman" w:eastAsia="宋体"/>
                      <w:b/>
                      <w:bCs/>
                      <w:caps w:val="0"/>
                      <w:color w:val="auto"/>
                      <w:kern w:val="0"/>
                      <w:szCs w:val="21"/>
                      <w:highlight w:val="none"/>
                    </w:rPr>
                  </w:pPr>
                  <w:r>
                    <w:rPr>
                      <w:rFonts w:ascii="Times New Roman" w:hAnsi="Times New Roman" w:eastAsia="宋体"/>
                      <w:b/>
                      <w:bCs/>
                      <w:caps w:val="0"/>
                      <w:color w:val="auto"/>
                      <w:kern w:val="0"/>
                      <w:szCs w:val="21"/>
                      <w:highlight w:val="none"/>
                    </w:rPr>
                    <w:t>审批</w:t>
                  </w:r>
                  <w:r>
                    <w:rPr>
                      <w:rFonts w:hint="eastAsia" w:ascii="Times New Roman" w:hAnsi="Times New Roman" w:eastAsia="宋体"/>
                      <w:b/>
                      <w:bCs/>
                      <w:caps w:val="0"/>
                      <w:color w:val="auto"/>
                      <w:kern w:val="0"/>
                      <w:szCs w:val="21"/>
                      <w:highlight w:val="none"/>
                    </w:rPr>
                    <w:t>部门</w:t>
                  </w:r>
                </w:p>
              </w:tc>
              <w:tc>
                <w:tcPr>
                  <w:tcW w:w="819" w:type="pct"/>
                  <w:tcBorders>
                    <w:tl2br w:val="nil"/>
                    <w:tr2bl w:val="nil"/>
                  </w:tcBorders>
                  <w:vAlign w:val="center"/>
                </w:tcPr>
                <w:p w14:paraId="04E630CF">
                  <w:pPr>
                    <w:widowControl/>
                    <w:jc w:val="center"/>
                    <w:rPr>
                      <w:rFonts w:hint="default" w:ascii="Times New Roman" w:hAnsi="Times New Roman" w:eastAsia="宋体"/>
                      <w:b/>
                      <w:bCs/>
                      <w:caps w:val="0"/>
                      <w:color w:val="auto"/>
                      <w:kern w:val="0"/>
                      <w:szCs w:val="21"/>
                      <w:highlight w:val="none"/>
                      <w:lang w:val="en-US" w:eastAsia="zh-CN"/>
                    </w:rPr>
                  </w:pPr>
                  <w:r>
                    <w:rPr>
                      <w:rFonts w:hint="eastAsia"/>
                      <w:b/>
                      <w:bCs/>
                      <w:caps w:val="0"/>
                      <w:color w:val="auto"/>
                      <w:kern w:val="0"/>
                      <w:szCs w:val="21"/>
                      <w:highlight w:val="none"/>
                      <w:lang w:val="en-US" w:eastAsia="zh-CN"/>
                    </w:rPr>
                    <w:t>审批文号</w:t>
                  </w:r>
                </w:p>
              </w:tc>
              <w:tc>
                <w:tcPr>
                  <w:tcW w:w="512" w:type="pct"/>
                  <w:tcBorders>
                    <w:tl2br w:val="nil"/>
                    <w:tr2bl w:val="nil"/>
                  </w:tcBorders>
                  <w:vAlign w:val="center"/>
                </w:tcPr>
                <w:p w14:paraId="52353585">
                  <w:pPr>
                    <w:widowControl/>
                    <w:jc w:val="center"/>
                    <w:rPr>
                      <w:rFonts w:ascii="Times New Roman" w:hAnsi="Times New Roman" w:eastAsia="宋体"/>
                      <w:b/>
                      <w:bCs/>
                      <w:caps w:val="0"/>
                      <w:color w:val="auto"/>
                      <w:kern w:val="0"/>
                      <w:szCs w:val="21"/>
                      <w:highlight w:val="none"/>
                    </w:rPr>
                  </w:pPr>
                  <w:r>
                    <w:rPr>
                      <w:rFonts w:ascii="Times New Roman" w:hAnsi="Times New Roman" w:eastAsia="宋体"/>
                      <w:b/>
                      <w:bCs/>
                      <w:caps w:val="0"/>
                      <w:color w:val="auto"/>
                      <w:kern w:val="0"/>
                      <w:szCs w:val="21"/>
                      <w:highlight w:val="none"/>
                    </w:rPr>
                    <w:t>验收时间</w:t>
                  </w:r>
                </w:p>
              </w:tc>
              <w:tc>
                <w:tcPr>
                  <w:tcW w:w="788" w:type="pct"/>
                  <w:tcBorders>
                    <w:tl2br w:val="nil"/>
                    <w:tr2bl w:val="nil"/>
                  </w:tcBorders>
                  <w:vAlign w:val="center"/>
                </w:tcPr>
                <w:p w14:paraId="74C63380">
                  <w:pPr>
                    <w:widowControl/>
                    <w:jc w:val="center"/>
                    <w:rPr>
                      <w:rFonts w:ascii="Times New Roman" w:hAnsi="Times New Roman" w:eastAsia="宋体"/>
                      <w:b/>
                      <w:bCs/>
                      <w:caps w:val="0"/>
                      <w:color w:val="auto"/>
                      <w:kern w:val="0"/>
                      <w:szCs w:val="21"/>
                      <w:highlight w:val="none"/>
                    </w:rPr>
                  </w:pPr>
                  <w:r>
                    <w:rPr>
                      <w:rFonts w:ascii="Times New Roman" w:hAnsi="Times New Roman" w:eastAsia="宋体"/>
                      <w:b/>
                      <w:bCs/>
                      <w:caps w:val="0"/>
                      <w:color w:val="auto"/>
                      <w:kern w:val="0"/>
                      <w:szCs w:val="21"/>
                      <w:highlight w:val="none"/>
                    </w:rPr>
                    <w:t>验收部门</w:t>
                  </w:r>
                </w:p>
              </w:tc>
              <w:tc>
                <w:tcPr>
                  <w:tcW w:w="407" w:type="pct"/>
                  <w:vMerge w:val="continue"/>
                  <w:tcBorders>
                    <w:tl2br w:val="nil"/>
                    <w:tr2bl w:val="nil"/>
                  </w:tcBorders>
                  <w:vAlign w:val="center"/>
                </w:tcPr>
                <w:p w14:paraId="79B113E4">
                  <w:pPr>
                    <w:widowControl/>
                    <w:jc w:val="center"/>
                    <w:rPr>
                      <w:rFonts w:ascii="Times New Roman" w:hAnsi="Times New Roman" w:eastAsia="宋体"/>
                      <w:b/>
                      <w:bCs/>
                      <w:caps w:val="0"/>
                      <w:color w:val="auto"/>
                      <w:kern w:val="0"/>
                      <w:szCs w:val="21"/>
                      <w:highlight w:val="none"/>
                    </w:rPr>
                  </w:pPr>
                </w:p>
              </w:tc>
            </w:tr>
            <w:tr w14:paraId="392221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97" w:hRule="atLeast"/>
                <w:jc w:val="center"/>
              </w:trPr>
              <w:tc>
                <w:tcPr>
                  <w:tcW w:w="1082" w:type="pct"/>
                  <w:tcBorders>
                    <w:tl2br w:val="nil"/>
                    <w:tr2bl w:val="nil"/>
                  </w:tcBorders>
                  <w:vAlign w:val="center"/>
                </w:tcPr>
                <w:p w14:paraId="080D41AD">
                  <w:pPr>
                    <w:jc w:val="center"/>
                    <w:rPr>
                      <w:rFonts w:ascii="Times New Roman" w:hAnsi="Times New Roman" w:eastAsia="宋体"/>
                      <w:caps w:val="0"/>
                      <w:color w:val="auto"/>
                      <w:szCs w:val="21"/>
                      <w:highlight w:val="none"/>
                    </w:rPr>
                  </w:pPr>
                  <w:r>
                    <w:rPr>
                      <w:rFonts w:hint="eastAsia"/>
                      <w:color w:val="auto"/>
                      <w:szCs w:val="21"/>
                    </w:rPr>
                    <w:t>芜湖工业园项目</w:t>
                  </w:r>
                </w:p>
              </w:tc>
              <w:tc>
                <w:tcPr>
                  <w:tcW w:w="644" w:type="pct"/>
                  <w:tcBorders>
                    <w:tl2br w:val="nil"/>
                    <w:tr2bl w:val="nil"/>
                  </w:tcBorders>
                  <w:vAlign w:val="center"/>
                </w:tcPr>
                <w:p w14:paraId="6730F90C">
                  <w:pPr>
                    <w:jc w:val="center"/>
                    <w:rPr>
                      <w:rFonts w:ascii="Times New Roman" w:hAnsi="Times New Roman" w:eastAsia="宋体"/>
                      <w:caps w:val="0"/>
                      <w:color w:val="auto"/>
                      <w:szCs w:val="21"/>
                      <w:highlight w:val="none"/>
                    </w:rPr>
                  </w:pPr>
                  <w:r>
                    <w:rPr>
                      <w:rFonts w:hint="eastAsia"/>
                      <w:color w:val="auto"/>
                      <w:szCs w:val="21"/>
                    </w:rPr>
                    <w:t>2009年8月31日</w:t>
                  </w:r>
                </w:p>
              </w:tc>
              <w:tc>
                <w:tcPr>
                  <w:tcW w:w="745" w:type="pct"/>
                  <w:tcBorders>
                    <w:tl2br w:val="nil"/>
                    <w:tr2bl w:val="nil"/>
                  </w:tcBorders>
                  <w:vAlign w:val="center"/>
                </w:tcPr>
                <w:p w14:paraId="727519E7">
                  <w:pPr>
                    <w:widowControl/>
                    <w:jc w:val="center"/>
                    <w:rPr>
                      <w:rFonts w:ascii="Times New Roman" w:hAnsi="Times New Roman" w:eastAsia="宋体"/>
                      <w:caps w:val="0"/>
                      <w:color w:val="auto"/>
                      <w:szCs w:val="21"/>
                      <w:highlight w:val="none"/>
                    </w:rPr>
                  </w:pPr>
                  <w:r>
                    <w:rPr>
                      <w:rFonts w:hint="eastAsia"/>
                      <w:color w:val="auto"/>
                      <w:szCs w:val="21"/>
                    </w:rPr>
                    <w:t>芜湖市生态环境局（原芜湖市环保局）</w:t>
                  </w:r>
                </w:p>
              </w:tc>
              <w:tc>
                <w:tcPr>
                  <w:tcW w:w="819" w:type="pct"/>
                  <w:tcBorders>
                    <w:tl2br w:val="nil"/>
                    <w:tr2bl w:val="nil"/>
                  </w:tcBorders>
                  <w:vAlign w:val="center"/>
                </w:tcPr>
                <w:p w14:paraId="27239F92">
                  <w:pPr>
                    <w:widowControl/>
                    <w:jc w:val="center"/>
                    <w:rPr>
                      <w:rFonts w:hint="default" w:eastAsia="宋体"/>
                      <w:color w:val="auto"/>
                      <w:szCs w:val="21"/>
                      <w:lang w:val="en-US" w:eastAsia="zh-CN"/>
                    </w:rPr>
                  </w:pPr>
                  <w:r>
                    <w:rPr>
                      <w:rFonts w:hint="eastAsia"/>
                      <w:color w:val="auto"/>
                      <w:szCs w:val="21"/>
                      <w:lang w:val="en-US" w:eastAsia="zh-CN"/>
                    </w:rPr>
                    <w:t>/</w:t>
                  </w:r>
                </w:p>
              </w:tc>
              <w:tc>
                <w:tcPr>
                  <w:tcW w:w="512" w:type="pct"/>
                  <w:tcBorders>
                    <w:tl2br w:val="nil"/>
                    <w:tr2bl w:val="nil"/>
                  </w:tcBorders>
                  <w:vAlign w:val="center"/>
                </w:tcPr>
                <w:p w14:paraId="2EBA0F42">
                  <w:pPr>
                    <w:numPr>
                      <w:ilvl w:val="1"/>
                      <w:numId w:val="0"/>
                    </w:numPr>
                    <w:ind w:left="0" w:leftChars="0" w:firstLine="0" w:firstLineChars="0"/>
                    <w:jc w:val="center"/>
                    <w:rPr>
                      <w:rFonts w:ascii="Times New Roman" w:hAnsi="Times New Roman" w:eastAsia="宋体"/>
                      <w:caps w:val="0"/>
                      <w:color w:val="auto"/>
                      <w:highlight w:val="none"/>
                    </w:rPr>
                  </w:pPr>
                  <w:r>
                    <w:rPr>
                      <w:rFonts w:hint="eastAsia"/>
                      <w:color w:val="auto"/>
                      <w:szCs w:val="21"/>
                    </w:rPr>
                    <w:t>2015年5月26日</w:t>
                  </w:r>
                </w:p>
              </w:tc>
              <w:tc>
                <w:tcPr>
                  <w:tcW w:w="788" w:type="pct"/>
                  <w:tcBorders>
                    <w:tl2br w:val="nil"/>
                    <w:tr2bl w:val="nil"/>
                  </w:tcBorders>
                  <w:vAlign w:val="center"/>
                </w:tcPr>
                <w:p w14:paraId="33768596">
                  <w:pPr>
                    <w:widowControl/>
                    <w:jc w:val="center"/>
                    <w:rPr>
                      <w:rStyle w:val="28"/>
                      <w:rFonts w:ascii="Times New Roman" w:hAnsi="Times New Roman" w:eastAsia="宋体"/>
                      <w:caps w:val="0"/>
                      <w:color w:val="auto"/>
                      <w:kern w:val="0"/>
                      <w:szCs w:val="21"/>
                      <w:highlight w:val="none"/>
                    </w:rPr>
                  </w:pPr>
                  <w:r>
                    <w:rPr>
                      <w:rFonts w:hint="eastAsia"/>
                      <w:color w:val="auto"/>
                      <w:szCs w:val="21"/>
                    </w:rPr>
                    <w:t>芜湖市生态环境局（原芜湖市环保局）</w:t>
                  </w:r>
                </w:p>
              </w:tc>
              <w:tc>
                <w:tcPr>
                  <w:tcW w:w="407" w:type="pct"/>
                  <w:vMerge w:val="restart"/>
                  <w:tcBorders>
                    <w:tl2br w:val="nil"/>
                    <w:tr2bl w:val="nil"/>
                  </w:tcBorders>
                  <w:vAlign w:val="center"/>
                </w:tcPr>
                <w:p w14:paraId="7ED2602F">
                  <w:pPr>
                    <w:widowControl/>
                    <w:jc w:val="center"/>
                    <w:rPr>
                      <w:rStyle w:val="28"/>
                      <w:rFonts w:hint="eastAsia" w:ascii="Times New Roman" w:hAnsi="Times New Roman" w:eastAsia="宋体"/>
                      <w:caps w:val="0"/>
                      <w:color w:val="auto"/>
                      <w:kern w:val="0"/>
                      <w:szCs w:val="21"/>
                      <w:highlight w:val="none"/>
                      <w:lang w:val="en-US" w:eastAsia="zh-CN"/>
                    </w:rPr>
                  </w:pPr>
                  <w:r>
                    <w:rPr>
                      <w:rStyle w:val="28"/>
                      <w:rFonts w:hint="eastAsia" w:ascii="Times New Roman" w:hAnsi="Times New Roman" w:eastAsia="宋体"/>
                      <w:caps w:val="0"/>
                      <w:color w:val="auto"/>
                      <w:kern w:val="0"/>
                      <w:szCs w:val="21"/>
                      <w:highlight w:val="none"/>
                      <w:lang w:val="en-US" w:eastAsia="zh-CN"/>
                    </w:rPr>
                    <w:t>9134020068205841XM001Y</w:t>
                  </w:r>
                </w:p>
              </w:tc>
            </w:tr>
            <w:tr w14:paraId="0F720F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7" w:hRule="atLeast"/>
                <w:jc w:val="center"/>
              </w:trPr>
              <w:tc>
                <w:tcPr>
                  <w:tcW w:w="1082" w:type="pct"/>
                  <w:tcBorders>
                    <w:tl2br w:val="nil"/>
                    <w:tr2bl w:val="nil"/>
                  </w:tcBorders>
                  <w:vAlign w:val="center"/>
                </w:tcPr>
                <w:p w14:paraId="17297C8A">
                  <w:pPr>
                    <w:jc w:val="center"/>
                    <w:rPr>
                      <w:rFonts w:hint="eastAsia" w:ascii="Times New Roman" w:hAnsi="Times New Roman" w:eastAsia="宋体"/>
                      <w:caps w:val="0"/>
                      <w:color w:val="auto"/>
                      <w:szCs w:val="21"/>
                      <w:highlight w:val="none"/>
                    </w:rPr>
                  </w:pPr>
                  <w:r>
                    <w:rPr>
                      <w:rFonts w:hint="eastAsia"/>
                      <w:color w:val="auto"/>
                      <w:szCs w:val="21"/>
                    </w:rPr>
                    <w:t>芜湖工业园项目环境影响补充报告</w:t>
                  </w:r>
                </w:p>
              </w:tc>
              <w:tc>
                <w:tcPr>
                  <w:tcW w:w="644" w:type="pct"/>
                  <w:tcBorders>
                    <w:tl2br w:val="nil"/>
                    <w:tr2bl w:val="nil"/>
                  </w:tcBorders>
                  <w:vAlign w:val="center"/>
                </w:tcPr>
                <w:p w14:paraId="2D62EA62">
                  <w:pPr>
                    <w:jc w:val="center"/>
                    <w:rPr>
                      <w:rFonts w:hint="default" w:ascii="Times New Roman" w:hAnsi="Times New Roman" w:eastAsia="宋体"/>
                      <w:caps w:val="0"/>
                      <w:color w:val="auto"/>
                      <w:szCs w:val="21"/>
                      <w:highlight w:val="none"/>
                      <w:lang w:val="en-US" w:eastAsia="zh-CN"/>
                    </w:rPr>
                  </w:pPr>
                  <w:r>
                    <w:rPr>
                      <w:rFonts w:hint="eastAsia"/>
                      <w:color w:val="auto"/>
                      <w:szCs w:val="21"/>
                    </w:rPr>
                    <w:t>2011年9月1日</w:t>
                  </w:r>
                </w:p>
              </w:tc>
              <w:tc>
                <w:tcPr>
                  <w:tcW w:w="745" w:type="pct"/>
                  <w:tcBorders>
                    <w:tl2br w:val="nil"/>
                    <w:tr2bl w:val="nil"/>
                  </w:tcBorders>
                  <w:vAlign w:val="center"/>
                </w:tcPr>
                <w:p w14:paraId="7841F814">
                  <w:pPr>
                    <w:widowControl/>
                    <w:jc w:val="center"/>
                    <w:rPr>
                      <w:rFonts w:hint="default" w:ascii="Times New Roman" w:hAnsi="Times New Roman" w:eastAsia="宋体"/>
                      <w:caps w:val="0"/>
                      <w:color w:val="auto"/>
                      <w:szCs w:val="21"/>
                      <w:highlight w:val="none"/>
                      <w:lang w:val="en-US" w:eastAsia="zh-CN"/>
                    </w:rPr>
                  </w:pPr>
                  <w:r>
                    <w:rPr>
                      <w:rFonts w:hint="eastAsia"/>
                      <w:color w:val="auto"/>
                      <w:szCs w:val="21"/>
                    </w:rPr>
                    <w:t>芜湖市生态环境局（原芜湖市环保局）</w:t>
                  </w:r>
                </w:p>
              </w:tc>
              <w:tc>
                <w:tcPr>
                  <w:tcW w:w="819" w:type="pct"/>
                  <w:tcBorders>
                    <w:tl2br w:val="nil"/>
                    <w:tr2bl w:val="nil"/>
                  </w:tcBorders>
                  <w:vAlign w:val="center"/>
                </w:tcPr>
                <w:p w14:paraId="7EE57B20">
                  <w:pPr>
                    <w:widowControl/>
                    <w:jc w:val="center"/>
                    <w:rPr>
                      <w:rFonts w:hint="eastAsia" w:eastAsia="宋体"/>
                      <w:color w:val="auto"/>
                      <w:szCs w:val="21"/>
                      <w:lang w:val="en-US" w:eastAsia="zh-CN"/>
                    </w:rPr>
                  </w:pPr>
                  <w:r>
                    <w:rPr>
                      <w:rFonts w:hint="eastAsia" w:ascii="Times New Roman" w:hAnsi="Times New Roman" w:eastAsia="宋体" w:cs="Times New Roman"/>
                      <w:color w:val="auto"/>
                      <w:szCs w:val="21"/>
                    </w:rPr>
                    <w:t>环函[2011]112号</w:t>
                  </w:r>
                </w:p>
              </w:tc>
              <w:tc>
                <w:tcPr>
                  <w:tcW w:w="512" w:type="pct"/>
                  <w:tcBorders>
                    <w:tl2br w:val="nil"/>
                    <w:tr2bl w:val="nil"/>
                  </w:tcBorders>
                  <w:vAlign w:val="center"/>
                </w:tcPr>
                <w:p w14:paraId="6E5EB0CB">
                  <w:pPr>
                    <w:numPr>
                      <w:ilvl w:val="1"/>
                      <w:numId w:val="0"/>
                    </w:numPr>
                    <w:ind w:left="0" w:leftChars="0" w:firstLine="0" w:firstLineChars="0"/>
                    <w:jc w:val="center"/>
                    <w:rPr>
                      <w:rFonts w:hint="eastAsia" w:ascii="Times New Roman" w:hAnsi="Times New Roman" w:eastAsia="宋体"/>
                      <w:caps w:val="0"/>
                      <w:color w:val="auto"/>
                      <w:szCs w:val="21"/>
                      <w:highlight w:val="none"/>
                      <w:lang w:val="en-US" w:eastAsia="zh-CN"/>
                    </w:rPr>
                  </w:pPr>
                  <w:r>
                    <w:rPr>
                      <w:rFonts w:hint="eastAsia"/>
                      <w:color w:val="auto"/>
                      <w:szCs w:val="21"/>
                    </w:rPr>
                    <w:t>2015年5月26日</w:t>
                  </w:r>
                </w:p>
              </w:tc>
              <w:tc>
                <w:tcPr>
                  <w:tcW w:w="788" w:type="pct"/>
                  <w:tcBorders>
                    <w:tl2br w:val="nil"/>
                    <w:tr2bl w:val="nil"/>
                  </w:tcBorders>
                  <w:vAlign w:val="center"/>
                </w:tcPr>
                <w:p w14:paraId="4C3968FE">
                  <w:pPr>
                    <w:widowControl/>
                    <w:jc w:val="center"/>
                    <w:rPr>
                      <w:rStyle w:val="28"/>
                      <w:rFonts w:hint="eastAsia" w:ascii="Times New Roman" w:hAnsi="Times New Roman" w:eastAsia="宋体"/>
                      <w:caps w:val="0"/>
                      <w:color w:val="auto"/>
                      <w:kern w:val="0"/>
                      <w:szCs w:val="21"/>
                      <w:highlight w:val="none"/>
                      <w:lang w:val="en-US" w:eastAsia="zh-CN"/>
                    </w:rPr>
                  </w:pPr>
                  <w:r>
                    <w:rPr>
                      <w:rFonts w:hint="eastAsia"/>
                      <w:color w:val="auto"/>
                      <w:szCs w:val="21"/>
                    </w:rPr>
                    <w:t>芜湖市生态环境局（原芜湖市环保局）</w:t>
                  </w:r>
                </w:p>
              </w:tc>
              <w:tc>
                <w:tcPr>
                  <w:tcW w:w="407" w:type="pct"/>
                  <w:vMerge w:val="continue"/>
                  <w:tcBorders>
                    <w:tl2br w:val="nil"/>
                    <w:tr2bl w:val="nil"/>
                  </w:tcBorders>
                  <w:vAlign w:val="center"/>
                </w:tcPr>
                <w:p w14:paraId="3523AEE8">
                  <w:pPr>
                    <w:widowControl/>
                    <w:jc w:val="center"/>
                    <w:rPr>
                      <w:rStyle w:val="28"/>
                      <w:rFonts w:hint="eastAsia" w:ascii="Times New Roman" w:hAnsi="Times New Roman" w:eastAsia="宋体"/>
                      <w:caps w:val="0"/>
                      <w:color w:val="auto"/>
                      <w:kern w:val="0"/>
                      <w:szCs w:val="21"/>
                      <w:highlight w:val="none"/>
                      <w:lang w:val="en-US" w:eastAsia="zh-CN"/>
                    </w:rPr>
                  </w:pPr>
                </w:p>
              </w:tc>
            </w:tr>
            <w:tr w14:paraId="6B750D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97" w:hRule="atLeast"/>
                <w:jc w:val="center"/>
              </w:trPr>
              <w:tc>
                <w:tcPr>
                  <w:tcW w:w="1082" w:type="pct"/>
                  <w:tcBorders>
                    <w:tl2br w:val="nil"/>
                    <w:tr2bl w:val="nil"/>
                  </w:tcBorders>
                  <w:vAlign w:val="center"/>
                </w:tcPr>
                <w:p w14:paraId="3F4104C5">
                  <w:pPr>
                    <w:widowControl/>
                    <w:jc w:val="center"/>
                    <w:rPr>
                      <w:rFonts w:hint="eastAsia"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汽车新能源高压系列产品（连接器、线束、电子锁等）</w:t>
                  </w:r>
                </w:p>
              </w:tc>
              <w:tc>
                <w:tcPr>
                  <w:tcW w:w="644" w:type="pct"/>
                  <w:tcBorders>
                    <w:tl2br w:val="nil"/>
                    <w:tr2bl w:val="nil"/>
                  </w:tcBorders>
                  <w:vAlign w:val="center"/>
                </w:tcPr>
                <w:p w14:paraId="004789F7">
                  <w:pPr>
                    <w:widowControl/>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2019年6月20日</w:t>
                  </w:r>
                </w:p>
              </w:tc>
              <w:tc>
                <w:tcPr>
                  <w:tcW w:w="745" w:type="pct"/>
                  <w:tcBorders>
                    <w:tl2br w:val="nil"/>
                    <w:tr2bl w:val="nil"/>
                  </w:tcBorders>
                  <w:vAlign w:val="center"/>
                </w:tcPr>
                <w:p w14:paraId="411ED256">
                  <w:pPr>
                    <w:widowControl/>
                    <w:jc w:val="center"/>
                    <w:rPr>
                      <w:rFonts w:hint="eastAsia" w:ascii="Times New Roman" w:hAnsi="Times New Roman" w:eastAsia="宋体"/>
                      <w:caps w:val="0"/>
                      <w:color w:val="auto"/>
                      <w:szCs w:val="21"/>
                      <w:highlight w:val="none"/>
                      <w:lang w:val="en-US" w:eastAsia="zh-CN"/>
                    </w:rPr>
                  </w:pPr>
                  <w:r>
                    <w:rPr>
                      <w:rFonts w:hint="eastAsia"/>
                      <w:color w:val="auto"/>
                      <w:szCs w:val="21"/>
                    </w:rPr>
                    <w:t>芜湖市生态环境局</w:t>
                  </w:r>
                </w:p>
              </w:tc>
              <w:tc>
                <w:tcPr>
                  <w:tcW w:w="819" w:type="pct"/>
                  <w:tcBorders>
                    <w:tl2br w:val="nil"/>
                    <w:tr2bl w:val="nil"/>
                  </w:tcBorders>
                  <w:vAlign w:val="center"/>
                </w:tcPr>
                <w:p w14:paraId="58380105">
                  <w:pPr>
                    <w:widowControl/>
                    <w:jc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Times New Roman"/>
                      <w:color w:val="auto"/>
                      <w:szCs w:val="21"/>
                    </w:rPr>
                    <w:t>芜环评审［2019］276号</w:t>
                  </w:r>
                </w:p>
              </w:tc>
              <w:tc>
                <w:tcPr>
                  <w:tcW w:w="512" w:type="pct"/>
                  <w:tcBorders>
                    <w:tl2br w:val="nil"/>
                    <w:tr2bl w:val="nil"/>
                  </w:tcBorders>
                  <w:vAlign w:val="center"/>
                </w:tcPr>
                <w:p w14:paraId="2E1681B3">
                  <w:pPr>
                    <w:widowControl/>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2022年12月</w:t>
                  </w:r>
                  <w:r>
                    <w:rPr>
                      <w:rFonts w:hint="eastAsia"/>
                      <w:caps w:val="0"/>
                      <w:color w:val="auto"/>
                      <w:szCs w:val="21"/>
                      <w:highlight w:val="none"/>
                      <w:lang w:val="en-US" w:eastAsia="zh-CN"/>
                    </w:rPr>
                    <w:t>27日</w:t>
                  </w:r>
                </w:p>
              </w:tc>
              <w:tc>
                <w:tcPr>
                  <w:tcW w:w="788" w:type="pct"/>
                  <w:tcBorders>
                    <w:tl2br w:val="nil"/>
                    <w:tr2bl w:val="nil"/>
                  </w:tcBorders>
                  <w:vAlign w:val="center"/>
                </w:tcPr>
                <w:p w14:paraId="50A9360F">
                  <w:pPr>
                    <w:widowControl/>
                    <w:jc w:val="center"/>
                    <w:rPr>
                      <w:rStyle w:val="28"/>
                      <w:rFonts w:hint="default" w:ascii="Times New Roman" w:hAnsi="Times New Roman" w:eastAsia="宋体"/>
                      <w:caps w:val="0"/>
                      <w:color w:val="auto"/>
                      <w:kern w:val="0"/>
                      <w:szCs w:val="21"/>
                      <w:highlight w:val="none"/>
                      <w:lang w:val="en-US" w:eastAsia="zh-CN"/>
                    </w:rPr>
                  </w:pPr>
                  <w:r>
                    <w:rPr>
                      <w:rStyle w:val="28"/>
                      <w:rFonts w:hint="eastAsia"/>
                      <w:caps w:val="0"/>
                      <w:color w:val="auto"/>
                      <w:kern w:val="0"/>
                      <w:szCs w:val="21"/>
                      <w:highlight w:val="none"/>
                      <w:lang w:val="en-US" w:eastAsia="zh-CN"/>
                    </w:rPr>
                    <w:t>自主验收</w:t>
                  </w:r>
                </w:p>
              </w:tc>
              <w:tc>
                <w:tcPr>
                  <w:tcW w:w="407" w:type="pct"/>
                  <w:vMerge w:val="continue"/>
                  <w:tcBorders>
                    <w:tl2br w:val="nil"/>
                    <w:tr2bl w:val="nil"/>
                  </w:tcBorders>
                  <w:vAlign w:val="center"/>
                </w:tcPr>
                <w:p w14:paraId="476980AC">
                  <w:pPr>
                    <w:widowControl/>
                    <w:jc w:val="center"/>
                    <w:rPr>
                      <w:rStyle w:val="28"/>
                      <w:rFonts w:hint="eastAsia" w:ascii="Times New Roman" w:hAnsi="Times New Roman" w:eastAsia="宋体"/>
                      <w:caps w:val="0"/>
                      <w:color w:val="auto"/>
                      <w:kern w:val="0"/>
                      <w:szCs w:val="21"/>
                      <w:highlight w:val="none"/>
                      <w:lang w:val="en-US" w:eastAsia="zh-CN"/>
                    </w:rPr>
                  </w:pPr>
                </w:p>
              </w:tc>
            </w:tr>
            <w:tr w14:paraId="028998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2" w:hRule="atLeast"/>
                <w:jc w:val="center"/>
              </w:trPr>
              <w:tc>
                <w:tcPr>
                  <w:tcW w:w="1082" w:type="pct"/>
                  <w:tcBorders>
                    <w:tl2br w:val="nil"/>
                    <w:tr2bl w:val="nil"/>
                  </w:tcBorders>
                  <w:vAlign w:val="center"/>
                </w:tcPr>
                <w:p w14:paraId="298A52E0">
                  <w:pPr>
                    <w:widowControl/>
                    <w:jc w:val="center"/>
                    <w:rPr>
                      <w:rFonts w:hint="eastAsia"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汽车新能源高压系列产品生产项目</w:t>
                  </w:r>
                </w:p>
              </w:tc>
              <w:tc>
                <w:tcPr>
                  <w:tcW w:w="644" w:type="pct"/>
                  <w:tcBorders>
                    <w:tl2br w:val="nil"/>
                    <w:tr2bl w:val="nil"/>
                  </w:tcBorders>
                  <w:vAlign w:val="center"/>
                </w:tcPr>
                <w:p w14:paraId="03BDA46B">
                  <w:pPr>
                    <w:widowControl/>
                    <w:jc w:val="center"/>
                    <w:rPr>
                      <w:rFonts w:hint="default"/>
                      <w:caps w:val="0"/>
                      <w:color w:val="auto"/>
                      <w:szCs w:val="21"/>
                      <w:highlight w:val="none"/>
                      <w:lang w:val="en-US" w:eastAsia="zh-CN"/>
                    </w:rPr>
                  </w:pPr>
                  <w:r>
                    <w:rPr>
                      <w:rFonts w:hint="eastAsia"/>
                      <w:caps w:val="0"/>
                      <w:color w:val="auto"/>
                      <w:szCs w:val="21"/>
                      <w:highlight w:val="none"/>
                      <w:lang w:val="en-US" w:eastAsia="zh-CN"/>
                    </w:rPr>
                    <w:t>2023年3月8日</w:t>
                  </w:r>
                </w:p>
              </w:tc>
              <w:tc>
                <w:tcPr>
                  <w:tcW w:w="745" w:type="pct"/>
                  <w:tcBorders>
                    <w:tl2br w:val="nil"/>
                    <w:tr2bl w:val="nil"/>
                  </w:tcBorders>
                  <w:vAlign w:val="center"/>
                </w:tcPr>
                <w:p w14:paraId="5934A9FC">
                  <w:pPr>
                    <w:widowControl/>
                    <w:jc w:val="center"/>
                    <w:rPr>
                      <w:rFonts w:hint="eastAsia" w:ascii="Times New Roman" w:hAnsi="Times New Roman" w:eastAsia="宋体"/>
                      <w:caps w:val="0"/>
                      <w:color w:val="auto"/>
                      <w:szCs w:val="21"/>
                      <w:highlight w:val="none"/>
                      <w:lang w:val="en-US" w:eastAsia="zh-CN"/>
                    </w:rPr>
                  </w:pPr>
                  <w:r>
                    <w:rPr>
                      <w:rFonts w:hint="eastAsia"/>
                      <w:color w:val="auto"/>
                      <w:szCs w:val="21"/>
                    </w:rPr>
                    <w:t>芜湖市生态环境局</w:t>
                  </w:r>
                </w:p>
              </w:tc>
              <w:tc>
                <w:tcPr>
                  <w:tcW w:w="819" w:type="pct"/>
                  <w:tcBorders>
                    <w:tl2br w:val="nil"/>
                    <w:tr2bl w:val="nil"/>
                  </w:tcBorders>
                  <w:vAlign w:val="center"/>
                </w:tcPr>
                <w:p w14:paraId="483153BF">
                  <w:pPr>
                    <w:widowControl/>
                    <w:jc w:val="center"/>
                    <w:rPr>
                      <w:rFonts w:hint="default" w:ascii="Times New Roman" w:hAnsi="Times New Roman" w:eastAsia="宋体"/>
                      <w:caps w:val="0"/>
                      <w:color w:val="auto"/>
                      <w:szCs w:val="21"/>
                      <w:highlight w:val="none"/>
                      <w:lang w:val="en-US" w:eastAsia="zh-CN"/>
                    </w:rPr>
                  </w:pPr>
                  <w:r>
                    <w:rPr>
                      <w:rFonts w:hint="default" w:ascii="Times New Roman" w:hAnsi="Times New Roman" w:eastAsia="宋体"/>
                      <w:caps w:val="0"/>
                      <w:color w:val="auto"/>
                      <w:szCs w:val="21"/>
                      <w:highlight w:val="none"/>
                      <w:lang w:val="en-US" w:eastAsia="zh-CN"/>
                    </w:rPr>
                    <w:t>芜环行审（承）〔2023〕61号</w:t>
                  </w:r>
                </w:p>
              </w:tc>
              <w:tc>
                <w:tcPr>
                  <w:tcW w:w="512" w:type="pct"/>
                  <w:tcBorders>
                    <w:tl2br w:val="nil"/>
                    <w:tr2bl w:val="nil"/>
                  </w:tcBorders>
                  <w:vAlign w:val="center"/>
                </w:tcPr>
                <w:p w14:paraId="4442CD02">
                  <w:pPr>
                    <w:widowControl/>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2023年9月</w:t>
                  </w:r>
                </w:p>
              </w:tc>
              <w:tc>
                <w:tcPr>
                  <w:tcW w:w="788" w:type="pct"/>
                  <w:tcBorders>
                    <w:tl2br w:val="nil"/>
                    <w:tr2bl w:val="nil"/>
                  </w:tcBorders>
                  <w:vAlign w:val="center"/>
                </w:tcPr>
                <w:p w14:paraId="37FD9F25">
                  <w:pPr>
                    <w:widowControl/>
                    <w:jc w:val="center"/>
                    <w:rPr>
                      <w:rStyle w:val="28"/>
                      <w:rFonts w:hint="default" w:ascii="Times New Roman" w:hAnsi="Times New Roman" w:eastAsia="宋体"/>
                      <w:caps w:val="0"/>
                      <w:color w:val="auto"/>
                      <w:kern w:val="0"/>
                      <w:szCs w:val="21"/>
                      <w:highlight w:val="none"/>
                      <w:lang w:val="en-US" w:eastAsia="zh-CN"/>
                    </w:rPr>
                  </w:pPr>
                  <w:r>
                    <w:rPr>
                      <w:rFonts w:hint="eastAsia"/>
                      <w:color w:val="auto"/>
                      <w:lang w:val="en-US" w:eastAsia="zh-CN"/>
                    </w:rPr>
                    <w:t>阶段性</w:t>
                  </w:r>
                  <w:r>
                    <w:rPr>
                      <w:rStyle w:val="28"/>
                      <w:rFonts w:hint="eastAsia"/>
                      <w:caps w:val="0"/>
                      <w:color w:val="auto"/>
                      <w:kern w:val="0"/>
                      <w:szCs w:val="21"/>
                      <w:highlight w:val="none"/>
                      <w:lang w:val="en-US" w:eastAsia="zh-CN"/>
                    </w:rPr>
                    <w:t>自主验收</w:t>
                  </w:r>
                </w:p>
              </w:tc>
              <w:tc>
                <w:tcPr>
                  <w:tcW w:w="407" w:type="pct"/>
                  <w:vMerge w:val="continue"/>
                  <w:tcBorders>
                    <w:tl2br w:val="nil"/>
                    <w:tr2bl w:val="nil"/>
                  </w:tcBorders>
                  <w:vAlign w:val="center"/>
                </w:tcPr>
                <w:p w14:paraId="5468E457">
                  <w:pPr>
                    <w:widowControl/>
                    <w:jc w:val="center"/>
                    <w:rPr>
                      <w:rStyle w:val="28"/>
                      <w:rFonts w:hint="eastAsia" w:ascii="Times New Roman" w:hAnsi="Times New Roman" w:eastAsia="宋体"/>
                      <w:caps w:val="0"/>
                      <w:color w:val="auto"/>
                      <w:kern w:val="0"/>
                      <w:szCs w:val="21"/>
                      <w:highlight w:val="none"/>
                      <w:lang w:val="en-US" w:eastAsia="zh-CN"/>
                    </w:rPr>
                  </w:pPr>
                </w:p>
              </w:tc>
            </w:tr>
          </w:tbl>
          <w:p w14:paraId="55954DA1">
            <w:pPr>
              <w:snapToGrid w:val="0"/>
              <w:spacing w:before="120" w:beforeLines="50" w:line="360" w:lineRule="auto"/>
              <w:ind w:firstLine="482" w:firstLineChars="200"/>
              <w:rPr>
                <w:rFonts w:ascii="Times New Roman" w:hAnsi="Times New Roman" w:eastAsia="宋体"/>
                <w:b/>
                <w:bCs/>
                <w:caps w:val="0"/>
                <w:color w:val="auto"/>
                <w:sz w:val="24"/>
                <w:highlight w:val="none"/>
              </w:rPr>
            </w:pPr>
            <w:r>
              <w:rPr>
                <w:rFonts w:ascii="Times New Roman" w:hAnsi="Times New Roman" w:eastAsia="宋体"/>
                <w:b/>
                <w:bCs/>
                <w:caps w:val="0"/>
                <w:color w:val="auto"/>
                <w:sz w:val="24"/>
                <w:highlight w:val="none"/>
              </w:rPr>
              <w:t>2、现有项目生产工艺</w:t>
            </w:r>
          </w:p>
          <w:p w14:paraId="4E6754D0">
            <w:pPr>
              <w:spacing w:line="360" w:lineRule="auto"/>
              <w:ind w:firstLine="480" w:firstLineChars="200"/>
              <w:rPr>
                <w:rFonts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现有</w:t>
            </w:r>
            <w:r>
              <w:rPr>
                <w:rFonts w:ascii="Times New Roman" w:hAnsi="Times New Roman" w:eastAsia="宋体"/>
                <w:caps w:val="0"/>
                <w:color w:val="auto"/>
                <w:sz w:val="24"/>
                <w:highlight w:val="none"/>
              </w:rPr>
              <w:t>项目生产工艺流程及产污环节如下图：</w:t>
            </w:r>
          </w:p>
          <w:p w14:paraId="4A74E641">
            <w:pPr>
              <w:autoSpaceDE w:val="0"/>
              <w:autoSpaceDN w:val="0"/>
              <w:adjustRightInd w:val="0"/>
              <w:snapToGrid w:val="0"/>
              <w:spacing w:line="360" w:lineRule="auto"/>
              <w:ind w:firstLine="480" w:firstLineChars="200"/>
              <w:rPr>
                <w:color w:val="auto"/>
                <w:sz w:val="24"/>
              </w:rPr>
            </w:pPr>
            <w:r>
              <w:rPr>
                <w:color w:val="auto"/>
                <w:sz w:val="24"/>
              </w:rPr>
              <w:t>（1）</w:t>
            </w:r>
            <w:r>
              <w:rPr>
                <w:rFonts w:hint="eastAsia"/>
                <w:color w:val="auto"/>
                <w:sz w:val="24"/>
              </w:rPr>
              <w:t>汽车线束生产工艺</w:t>
            </w:r>
          </w:p>
          <w:p w14:paraId="1ACA44E4">
            <w:pPr>
              <w:autoSpaceDE w:val="0"/>
              <w:autoSpaceDN w:val="0"/>
              <w:adjustRightInd w:val="0"/>
              <w:snapToGrid w:val="0"/>
              <w:spacing w:line="360" w:lineRule="auto"/>
              <w:jc w:val="center"/>
              <w:rPr>
                <w:color w:val="auto"/>
                <w:sz w:val="24"/>
              </w:rPr>
            </w:pPr>
            <w:r>
              <w:rPr>
                <w:color w:val="auto"/>
              </w:rPr>
              <w:drawing>
                <wp:inline distT="0" distB="0" distL="0" distR="0">
                  <wp:extent cx="4975860" cy="2371090"/>
                  <wp:effectExtent l="0" t="0" r="15240" b="1016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2"/>
                          <a:stretch>
                            <a:fillRect/>
                          </a:stretch>
                        </pic:blipFill>
                        <pic:spPr>
                          <a:xfrm>
                            <a:off x="0" y="0"/>
                            <a:ext cx="4975860" cy="2371090"/>
                          </a:xfrm>
                          <a:prstGeom prst="rect">
                            <a:avLst/>
                          </a:prstGeom>
                        </pic:spPr>
                      </pic:pic>
                    </a:graphicData>
                  </a:graphic>
                </wp:inline>
              </w:drawing>
            </w:r>
          </w:p>
          <w:p w14:paraId="5CC195C0">
            <w:pPr>
              <w:autoSpaceDE w:val="0"/>
              <w:autoSpaceDN w:val="0"/>
              <w:adjustRightInd w:val="0"/>
              <w:snapToGrid w:val="0"/>
              <w:spacing w:line="360" w:lineRule="auto"/>
              <w:ind w:firstLine="482" w:firstLineChars="200"/>
              <w:jc w:val="center"/>
              <w:rPr>
                <w:b/>
                <w:color w:val="auto"/>
                <w:sz w:val="24"/>
              </w:rPr>
            </w:pPr>
            <w:r>
              <w:rPr>
                <w:b/>
                <w:color w:val="auto"/>
                <w:sz w:val="24"/>
              </w:rPr>
              <w:t>图</w:t>
            </w:r>
            <w:r>
              <w:rPr>
                <w:rFonts w:hint="eastAsia"/>
                <w:b/>
                <w:color w:val="auto"/>
                <w:sz w:val="24"/>
              </w:rPr>
              <w:t>2</w:t>
            </w:r>
            <w:r>
              <w:rPr>
                <w:b/>
                <w:color w:val="auto"/>
                <w:sz w:val="24"/>
              </w:rPr>
              <w:t>-5  现有项目</w:t>
            </w:r>
            <w:r>
              <w:rPr>
                <w:rFonts w:hint="eastAsia"/>
                <w:b/>
                <w:color w:val="auto"/>
                <w:sz w:val="24"/>
              </w:rPr>
              <w:t>汽车线束</w:t>
            </w:r>
            <w:r>
              <w:rPr>
                <w:b/>
                <w:color w:val="auto"/>
                <w:sz w:val="24"/>
              </w:rPr>
              <w:t>生产工艺流程图</w:t>
            </w:r>
          </w:p>
          <w:p w14:paraId="3387CD3E">
            <w:pPr>
              <w:spacing w:line="360" w:lineRule="auto"/>
              <w:ind w:right="113"/>
              <w:rPr>
                <w:rFonts w:ascii="Times New Roman" w:hAnsi="Times New Roman" w:eastAsia="宋体"/>
                <w:b/>
                <w:caps w:val="0"/>
                <w:color w:val="auto"/>
                <w:sz w:val="24"/>
                <w:highlight w:val="none"/>
              </w:rPr>
            </w:pPr>
            <w:r>
              <w:rPr>
                <w:rFonts w:hint="eastAsia" w:ascii="Times New Roman" w:hAnsi="Times New Roman" w:eastAsia="宋体"/>
                <w:b/>
                <w:caps w:val="0"/>
                <w:color w:val="auto"/>
                <w:sz w:val="24"/>
                <w:highlight w:val="none"/>
              </w:rPr>
              <w:t>生产工艺流程简述：</w:t>
            </w:r>
          </w:p>
          <w:p w14:paraId="51738D33">
            <w:pPr>
              <w:widowControl/>
              <w:spacing w:line="360" w:lineRule="auto"/>
              <w:ind w:firstLine="480" w:firstLineChars="200"/>
              <w:jc w:val="left"/>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①配料：汽车线束主要原料为</w:t>
            </w:r>
            <w:r>
              <w:rPr>
                <w:rFonts w:hint="eastAsia"/>
                <w:caps w:val="0"/>
                <w:color w:val="auto"/>
                <w:sz w:val="24"/>
                <w:highlight w:val="none"/>
                <w:lang w:eastAsia="zh-CN"/>
              </w:rPr>
              <w:t>PBT</w:t>
            </w:r>
            <w:r>
              <w:rPr>
                <w:rFonts w:hint="eastAsia" w:ascii="Times New Roman" w:hAnsi="Times New Roman" w:eastAsia="宋体"/>
                <w:caps w:val="0"/>
                <w:color w:val="auto"/>
                <w:sz w:val="24"/>
                <w:highlight w:val="none"/>
              </w:rPr>
              <w:t>塑料粒子，通过计料称重配料。</w:t>
            </w:r>
          </w:p>
          <w:p w14:paraId="0EE8152B">
            <w:pPr>
              <w:widowControl/>
              <w:spacing w:line="360" w:lineRule="auto"/>
              <w:ind w:firstLine="480" w:firstLineChars="200"/>
              <w:jc w:val="left"/>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②干燥：塑料粒子外购含有少量水分，通过电加热干燥将水分蒸发，加热温度在50~60℃左右，不会使</w:t>
            </w:r>
            <w:r>
              <w:rPr>
                <w:rFonts w:hint="eastAsia"/>
                <w:caps w:val="0"/>
                <w:color w:val="auto"/>
                <w:sz w:val="24"/>
                <w:highlight w:val="none"/>
                <w:lang w:eastAsia="zh-CN"/>
              </w:rPr>
              <w:t>PBT</w:t>
            </w:r>
            <w:r>
              <w:rPr>
                <w:rFonts w:hint="eastAsia" w:ascii="Times New Roman" w:hAnsi="Times New Roman" w:eastAsia="宋体"/>
                <w:caps w:val="0"/>
                <w:color w:val="auto"/>
                <w:sz w:val="24"/>
                <w:highlight w:val="none"/>
              </w:rPr>
              <w:t>塑料粒子发生分解。</w:t>
            </w:r>
          </w:p>
          <w:p w14:paraId="47FC6914">
            <w:pPr>
              <w:widowControl/>
              <w:spacing w:line="360" w:lineRule="auto"/>
              <w:ind w:firstLine="480" w:firstLineChars="200"/>
              <w:jc w:val="left"/>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③注塑：干燥后的塑料粒子通过注塑机自动配料注塑形成汽车线束，注塑温度在</w:t>
            </w:r>
            <w:r>
              <w:rPr>
                <w:rFonts w:hint="eastAsia"/>
                <w:caps w:val="0"/>
                <w:color w:val="auto"/>
                <w:sz w:val="24"/>
                <w:highlight w:val="none"/>
                <w:lang w:val="en-US" w:eastAsia="zh-CN"/>
              </w:rPr>
              <w:t>12</w:t>
            </w:r>
            <w:r>
              <w:rPr>
                <w:rFonts w:hint="eastAsia" w:ascii="Times New Roman" w:hAnsi="Times New Roman" w:eastAsia="宋体"/>
                <w:caps w:val="0"/>
                <w:color w:val="auto"/>
                <w:sz w:val="24"/>
                <w:highlight w:val="none"/>
              </w:rPr>
              <w:t>0℃左右，未达到</w:t>
            </w:r>
            <w:r>
              <w:rPr>
                <w:rFonts w:hint="eastAsia"/>
                <w:caps w:val="0"/>
                <w:color w:val="auto"/>
                <w:sz w:val="24"/>
                <w:highlight w:val="none"/>
                <w:lang w:eastAsia="zh-CN"/>
              </w:rPr>
              <w:t>PBT</w:t>
            </w:r>
            <w:r>
              <w:rPr>
                <w:rFonts w:hint="eastAsia" w:ascii="Times New Roman" w:hAnsi="Times New Roman" w:eastAsia="宋体"/>
                <w:caps w:val="0"/>
                <w:color w:val="auto"/>
                <w:sz w:val="24"/>
                <w:highlight w:val="none"/>
              </w:rPr>
              <w:t>粒子分解温度，注塑过程主要是</w:t>
            </w:r>
            <w:r>
              <w:rPr>
                <w:rFonts w:hint="eastAsia"/>
                <w:caps w:val="0"/>
                <w:color w:val="auto"/>
                <w:sz w:val="24"/>
                <w:highlight w:val="none"/>
                <w:lang w:eastAsia="zh-CN"/>
              </w:rPr>
              <w:t>PBT</w:t>
            </w:r>
            <w:r>
              <w:rPr>
                <w:rFonts w:hint="eastAsia" w:ascii="Times New Roman" w:hAnsi="Times New Roman" w:eastAsia="宋体"/>
                <w:caps w:val="0"/>
                <w:color w:val="auto"/>
                <w:sz w:val="24"/>
                <w:highlight w:val="none"/>
              </w:rPr>
              <w:t>粒子中含有的少量未聚合单体挥发，产生有机废气，此外设备运行过程产生的设备噪声。</w:t>
            </w:r>
          </w:p>
          <w:p w14:paraId="0F9A99C0">
            <w:pPr>
              <w:widowControl/>
              <w:spacing w:line="360" w:lineRule="auto"/>
              <w:ind w:firstLine="480" w:firstLineChars="200"/>
              <w:jc w:val="left"/>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④检验：注塑过的注塑件通过人工检验，将工件表面毛刺去掉，该工序主要产生塑料边角料。</w:t>
            </w:r>
          </w:p>
          <w:p w14:paraId="12067459">
            <w:pPr>
              <w:widowControl/>
              <w:spacing w:line="360" w:lineRule="auto"/>
              <w:ind w:firstLine="480" w:firstLineChars="200"/>
              <w:jc w:val="left"/>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⑤潮湿：注塑成型后的半成品放入水池中，浸泡，进行吸湿，防治自然冷却后产品变形或断裂。</w:t>
            </w:r>
          </w:p>
          <w:p w14:paraId="20D95632">
            <w:pPr>
              <w:widowControl/>
              <w:spacing w:line="360" w:lineRule="auto"/>
              <w:ind w:firstLine="480" w:firstLineChars="200"/>
              <w:jc w:val="left"/>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⑥挑选：将潮湿试验中不合格产品剔除，选取合格产品进入下到工序，该工序主要产生塑料不合格产品。</w:t>
            </w:r>
          </w:p>
          <w:p w14:paraId="69C7B310">
            <w:pPr>
              <w:widowControl/>
              <w:spacing w:line="360" w:lineRule="auto"/>
              <w:ind w:firstLine="480" w:firstLineChars="200"/>
              <w:jc w:val="left"/>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⑦包装：经挑选合格的产品通过包装入库。</w:t>
            </w:r>
          </w:p>
          <w:p w14:paraId="7CBA79AC">
            <w:pPr>
              <w:widowControl/>
              <w:numPr>
                <w:ilvl w:val="0"/>
                <w:numId w:val="2"/>
              </w:numPr>
              <w:spacing w:line="360" w:lineRule="auto"/>
              <w:ind w:firstLine="480" w:firstLineChars="200"/>
              <w:rPr>
                <w:rFonts w:hint="eastAsia"/>
                <w:color w:val="auto"/>
                <w:sz w:val="24"/>
              </w:rPr>
            </w:pPr>
            <w:r>
              <w:rPr>
                <w:rFonts w:hint="eastAsia"/>
                <w:color w:val="auto"/>
                <w:sz w:val="24"/>
              </w:rPr>
              <w:t>汽车接插件生产工艺</w:t>
            </w:r>
          </w:p>
          <w:p w14:paraId="7911ED24">
            <w:pPr>
              <w:widowControl/>
              <w:numPr>
                <w:ilvl w:val="0"/>
                <w:numId w:val="0"/>
              </w:numPr>
              <w:spacing w:line="360" w:lineRule="auto"/>
              <w:jc w:val="center"/>
              <w:rPr>
                <w:rFonts w:hint="eastAsia"/>
                <w:color w:val="auto"/>
                <w:sz w:val="24"/>
              </w:rPr>
            </w:pPr>
            <w:r>
              <w:rPr>
                <w:color w:val="auto"/>
              </w:rPr>
              <w:drawing>
                <wp:inline distT="0" distB="0" distL="0" distR="0">
                  <wp:extent cx="2788920" cy="3448050"/>
                  <wp:effectExtent l="0" t="0" r="1143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3"/>
                          <a:stretch>
                            <a:fillRect/>
                          </a:stretch>
                        </pic:blipFill>
                        <pic:spPr>
                          <a:xfrm>
                            <a:off x="0" y="0"/>
                            <a:ext cx="2795583" cy="3455956"/>
                          </a:xfrm>
                          <a:prstGeom prst="rect">
                            <a:avLst/>
                          </a:prstGeom>
                        </pic:spPr>
                      </pic:pic>
                    </a:graphicData>
                  </a:graphic>
                </wp:inline>
              </w:drawing>
            </w:r>
          </w:p>
          <w:p w14:paraId="352A8F43">
            <w:pPr>
              <w:widowControl/>
              <w:spacing w:line="360" w:lineRule="auto"/>
              <w:jc w:val="center"/>
              <w:rPr>
                <w:rFonts w:ascii="Times New Roman" w:hAnsi="Times New Roman" w:eastAsia="宋体"/>
                <w:b/>
                <w:caps w:val="0"/>
                <w:color w:val="auto"/>
                <w:kern w:val="0"/>
                <w:sz w:val="24"/>
                <w:highlight w:val="none"/>
              </w:rPr>
            </w:pPr>
            <w:r>
              <w:rPr>
                <w:b/>
                <w:color w:val="auto"/>
                <w:sz w:val="24"/>
              </w:rPr>
              <w:t>图</w:t>
            </w:r>
            <w:r>
              <w:rPr>
                <w:rFonts w:hint="eastAsia"/>
                <w:b/>
                <w:color w:val="auto"/>
                <w:sz w:val="24"/>
              </w:rPr>
              <w:t>2</w:t>
            </w:r>
            <w:r>
              <w:rPr>
                <w:b/>
                <w:color w:val="auto"/>
                <w:sz w:val="24"/>
              </w:rPr>
              <w:t>-6  现有项目</w:t>
            </w:r>
            <w:r>
              <w:rPr>
                <w:rFonts w:hint="eastAsia"/>
                <w:b/>
                <w:color w:val="auto"/>
                <w:sz w:val="24"/>
              </w:rPr>
              <w:t>汽车接插件</w:t>
            </w:r>
            <w:r>
              <w:rPr>
                <w:b/>
                <w:color w:val="auto"/>
                <w:sz w:val="24"/>
              </w:rPr>
              <w:t>生产工艺流程图</w:t>
            </w:r>
          </w:p>
          <w:p w14:paraId="19A0C906">
            <w:pPr>
              <w:autoSpaceDE w:val="0"/>
              <w:autoSpaceDN w:val="0"/>
              <w:adjustRightInd w:val="0"/>
              <w:snapToGrid w:val="0"/>
              <w:spacing w:line="360" w:lineRule="auto"/>
              <w:ind w:firstLine="482" w:firstLineChars="200"/>
              <w:jc w:val="left"/>
              <w:rPr>
                <w:rFonts w:hint="eastAsia"/>
                <w:b/>
                <w:caps w:val="0"/>
                <w:color w:val="auto"/>
                <w:kern w:val="0"/>
                <w:sz w:val="24"/>
                <w:highlight w:val="none"/>
                <w:lang w:val="en-US" w:eastAsia="zh-CN"/>
              </w:rPr>
            </w:pPr>
            <w:r>
              <w:rPr>
                <w:rFonts w:hint="eastAsia"/>
                <w:b/>
                <w:caps w:val="0"/>
                <w:color w:val="auto"/>
                <w:kern w:val="0"/>
                <w:sz w:val="24"/>
                <w:highlight w:val="none"/>
                <w:lang w:val="en-US" w:eastAsia="zh-CN"/>
              </w:rPr>
              <w:t>工艺流程简述：</w:t>
            </w:r>
          </w:p>
          <w:p w14:paraId="5A47BFB8">
            <w:pPr>
              <w:autoSpaceDE w:val="0"/>
              <w:autoSpaceDN w:val="0"/>
              <w:adjustRightInd w:val="0"/>
              <w:snapToGrid w:val="0"/>
              <w:spacing w:line="360" w:lineRule="auto"/>
              <w:ind w:firstLine="480" w:firstLineChars="200"/>
              <w:jc w:val="left"/>
              <w:rPr>
                <w:color w:val="auto"/>
                <w:sz w:val="24"/>
              </w:rPr>
            </w:pPr>
            <w:r>
              <w:rPr>
                <w:rFonts w:hint="eastAsia"/>
                <w:color w:val="auto"/>
                <w:sz w:val="24"/>
              </w:rPr>
              <w:t>①剪冲：外购黄铜带、黄铜板通过切割机剪切成小尺寸，方便加工，该工序主要产生废切削液、废金属碎屑、废金属边角料和噪声。</w:t>
            </w:r>
          </w:p>
          <w:p w14:paraId="0D92DF32">
            <w:pPr>
              <w:autoSpaceDE w:val="0"/>
              <w:autoSpaceDN w:val="0"/>
              <w:adjustRightInd w:val="0"/>
              <w:snapToGrid w:val="0"/>
              <w:spacing w:line="360" w:lineRule="auto"/>
              <w:ind w:firstLine="480" w:firstLineChars="200"/>
              <w:jc w:val="left"/>
              <w:rPr>
                <w:color w:val="auto"/>
                <w:sz w:val="24"/>
              </w:rPr>
            </w:pPr>
            <w:r>
              <w:rPr>
                <w:rFonts w:hint="eastAsia"/>
                <w:color w:val="auto"/>
                <w:sz w:val="24"/>
              </w:rPr>
              <w:t>②检验：剪冲后的黄铜片通过检验铜片厚度，需达到冲压厚度要求，未达到要求的需再次通过剪冲工序降低厚度。</w:t>
            </w:r>
          </w:p>
          <w:p w14:paraId="56894379">
            <w:pPr>
              <w:autoSpaceDE w:val="0"/>
              <w:autoSpaceDN w:val="0"/>
              <w:adjustRightInd w:val="0"/>
              <w:snapToGrid w:val="0"/>
              <w:spacing w:line="360" w:lineRule="auto"/>
              <w:ind w:firstLine="480" w:firstLineChars="200"/>
              <w:jc w:val="left"/>
              <w:rPr>
                <w:color w:val="auto"/>
                <w:sz w:val="24"/>
              </w:rPr>
            </w:pPr>
            <w:r>
              <w:rPr>
                <w:rFonts w:hint="eastAsia"/>
                <w:color w:val="auto"/>
                <w:sz w:val="24"/>
              </w:rPr>
              <w:t>③冲压：检验后的黄铜片经冲床冲压成型，该工序主要产生设备噪声。</w:t>
            </w:r>
          </w:p>
          <w:p w14:paraId="076DD9C7">
            <w:pPr>
              <w:autoSpaceDE w:val="0"/>
              <w:autoSpaceDN w:val="0"/>
              <w:adjustRightInd w:val="0"/>
              <w:snapToGrid w:val="0"/>
              <w:spacing w:line="360" w:lineRule="auto"/>
              <w:ind w:firstLine="480" w:firstLineChars="200"/>
              <w:jc w:val="left"/>
              <w:rPr>
                <w:color w:val="auto"/>
                <w:sz w:val="24"/>
              </w:rPr>
            </w:pPr>
            <w:r>
              <w:rPr>
                <w:rFonts w:hint="eastAsia"/>
                <w:color w:val="auto"/>
                <w:sz w:val="24"/>
              </w:rPr>
              <w:t>④检验入库：冲压后的产品经人工去除毛刺，检验合格后入库，此工序会产生金属不合格品。</w:t>
            </w:r>
          </w:p>
          <w:p w14:paraId="1C48493D">
            <w:pPr>
              <w:autoSpaceDE w:val="0"/>
              <w:autoSpaceDN w:val="0"/>
              <w:adjustRightInd w:val="0"/>
              <w:snapToGrid w:val="0"/>
              <w:spacing w:line="360" w:lineRule="auto"/>
              <w:ind w:firstLine="480" w:firstLineChars="200"/>
              <w:jc w:val="left"/>
              <w:rPr>
                <w:color w:val="auto"/>
                <w:sz w:val="24"/>
              </w:rPr>
            </w:pPr>
            <w:r>
              <w:rPr>
                <w:rFonts w:hint="eastAsia"/>
                <w:color w:val="auto"/>
                <w:sz w:val="24"/>
              </w:rPr>
              <w:t>（3）车用继电器生产工艺</w:t>
            </w:r>
          </w:p>
          <w:p w14:paraId="3461A260">
            <w:pPr>
              <w:widowControl/>
              <w:spacing w:line="360" w:lineRule="auto"/>
              <w:ind w:firstLine="420" w:firstLineChars="200"/>
              <w:rPr>
                <w:rFonts w:hint="default" w:ascii="Times New Roman" w:hAnsi="Times New Roman" w:eastAsia="宋体"/>
                <w:b/>
                <w:caps w:val="0"/>
                <w:color w:val="auto"/>
                <w:kern w:val="0"/>
                <w:sz w:val="24"/>
                <w:highlight w:val="none"/>
                <w:lang w:val="en-US" w:eastAsia="zh-CN"/>
              </w:rPr>
            </w:pPr>
            <w:r>
              <w:rPr>
                <w:color w:val="auto"/>
              </w:rPr>
              <w:drawing>
                <wp:inline distT="0" distB="0" distL="0" distR="0">
                  <wp:extent cx="4559935" cy="1818005"/>
                  <wp:effectExtent l="0" t="0" r="12065" b="1079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4"/>
                          <a:stretch>
                            <a:fillRect/>
                          </a:stretch>
                        </pic:blipFill>
                        <pic:spPr>
                          <a:xfrm>
                            <a:off x="0" y="0"/>
                            <a:ext cx="4559935" cy="1818005"/>
                          </a:xfrm>
                          <a:prstGeom prst="rect">
                            <a:avLst/>
                          </a:prstGeom>
                        </pic:spPr>
                      </pic:pic>
                    </a:graphicData>
                  </a:graphic>
                </wp:inline>
              </w:drawing>
            </w:r>
          </w:p>
          <w:p w14:paraId="35ACCF8F">
            <w:pPr>
              <w:autoSpaceDE w:val="0"/>
              <w:autoSpaceDN w:val="0"/>
              <w:adjustRightInd w:val="0"/>
              <w:snapToGrid w:val="0"/>
              <w:spacing w:line="360" w:lineRule="auto"/>
              <w:ind w:firstLine="482" w:firstLineChars="200"/>
              <w:jc w:val="center"/>
              <w:rPr>
                <w:b/>
                <w:color w:val="auto"/>
                <w:sz w:val="24"/>
              </w:rPr>
            </w:pPr>
            <w:r>
              <w:rPr>
                <w:b/>
                <w:color w:val="auto"/>
                <w:sz w:val="24"/>
              </w:rPr>
              <w:t>图</w:t>
            </w:r>
            <w:r>
              <w:rPr>
                <w:rFonts w:hint="eastAsia"/>
                <w:b/>
                <w:color w:val="auto"/>
                <w:sz w:val="24"/>
              </w:rPr>
              <w:t>2</w:t>
            </w:r>
            <w:r>
              <w:rPr>
                <w:b/>
                <w:color w:val="auto"/>
                <w:sz w:val="24"/>
              </w:rPr>
              <w:t>-7  现有项目</w:t>
            </w:r>
            <w:r>
              <w:rPr>
                <w:rFonts w:hint="eastAsia"/>
                <w:b/>
                <w:color w:val="auto"/>
                <w:sz w:val="24"/>
              </w:rPr>
              <w:t>汽车继电器</w:t>
            </w:r>
            <w:r>
              <w:rPr>
                <w:b/>
                <w:color w:val="auto"/>
                <w:sz w:val="24"/>
              </w:rPr>
              <w:t>生产工艺流程图</w:t>
            </w:r>
          </w:p>
          <w:p w14:paraId="41A37F82">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color w:val="auto"/>
                <w:sz w:val="24"/>
              </w:rPr>
            </w:pPr>
            <w:r>
              <w:rPr>
                <w:rFonts w:hint="eastAsia"/>
                <w:color w:val="auto"/>
                <w:sz w:val="24"/>
              </w:rPr>
              <w:t>现有项目汽车继电器生产工艺流程简述：</w:t>
            </w:r>
          </w:p>
          <w:p w14:paraId="0A52D5DE">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①配料：车用继电器产品主要原材料为PA66塑料粒子，通过外购成品原料，生产时需根据需要进行称重。</w:t>
            </w:r>
          </w:p>
          <w:p w14:paraId="26E36AB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②干燥：外购PA66粒子中含有少量水分，使用前需通过电加热干燥去除多余水分，加热温度50~60℃，未达到PA66分解温度。</w:t>
            </w:r>
          </w:p>
          <w:p w14:paraId="7D8273E7">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③注塑：干燥后的塑料粒子通过注塑机自动配料注塑形成汽车继电器，注塑温度在</w:t>
            </w:r>
            <w:r>
              <w:rPr>
                <w:rFonts w:hint="eastAsia"/>
                <w:color w:val="auto"/>
                <w:sz w:val="24"/>
                <w:lang w:val="en-US" w:eastAsia="zh-CN"/>
              </w:rPr>
              <w:t>20</w:t>
            </w:r>
            <w:r>
              <w:rPr>
                <w:rFonts w:hint="eastAsia"/>
                <w:color w:val="auto"/>
                <w:sz w:val="24"/>
              </w:rPr>
              <w:t>0℃左右，未达到PA66粒子分解温度，注塑过程主要是</w:t>
            </w:r>
            <w:r>
              <w:rPr>
                <w:rFonts w:hint="eastAsia"/>
                <w:color w:val="auto"/>
                <w:sz w:val="24"/>
                <w:lang w:eastAsia="zh-CN"/>
              </w:rPr>
              <w:t>PBT</w:t>
            </w:r>
            <w:r>
              <w:rPr>
                <w:rFonts w:hint="eastAsia"/>
                <w:color w:val="auto"/>
                <w:sz w:val="24"/>
              </w:rPr>
              <w:t>粒子中含有的少量未聚合单体挥发，产生有机废气，此外设备运行过程产生的设备噪声。</w:t>
            </w:r>
          </w:p>
          <w:p w14:paraId="10A55B4F">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④检验：注塑过的注塑件通过人工检验，将工件表面毛刺去掉，该工序主要产生塑料边角料。</w:t>
            </w:r>
          </w:p>
          <w:p w14:paraId="32AC98E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⑤潮湿：注塑成型后的半成品放入水池中，浸泡，进行吸湿，防治自然冷却后产品变形或断裂。</w:t>
            </w:r>
          </w:p>
          <w:p w14:paraId="2271A58A">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⑥挑选：将潮湿试验中不合格产品剔除，选取合格产品进入下到工序，该工序主要产生塑料不合格产品。</w:t>
            </w:r>
          </w:p>
          <w:p w14:paraId="233169C7">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⑦包装：经挑选合格的产品通过包装入库。</w:t>
            </w:r>
          </w:p>
          <w:p w14:paraId="21238463">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注塑模具加工生产工艺</w:t>
            </w:r>
          </w:p>
          <w:p w14:paraId="11561009">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现有项目注塑工序使用的模具为自产，主要生产工艺流程如下。</w:t>
            </w:r>
          </w:p>
          <w:p w14:paraId="48992EB9">
            <w:pPr>
              <w:autoSpaceDE w:val="0"/>
              <w:autoSpaceDN w:val="0"/>
              <w:adjustRightInd w:val="0"/>
              <w:snapToGrid w:val="0"/>
              <w:spacing w:line="360" w:lineRule="auto"/>
              <w:jc w:val="center"/>
              <w:rPr>
                <w:color w:val="auto"/>
                <w:sz w:val="24"/>
              </w:rPr>
            </w:pPr>
            <w:r>
              <w:rPr>
                <w:color w:val="auto"/>
                <w:sz w:val="24"/>
              </w:rPr>
              <w:drawing>
                <wp:inline distT="0" distB="0" distL="0" distR="0">
                  <wp:extent cx="3416935" cy="3285490"/>
                  <wp:effectExtent l="0" t="0" r="12065" b="1016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5" cstate="print">
                            <a:extLst>
                              <a:ext uri="{28A0092B-C50C-407E-A947-70E740481C1C}">
                                <a14:useLocalDpi xmlns:a14="http://schemas.microsoft.com/office/drawing/2010/main" val="0"/>
                              </a:ext>
                            </a:extLst>
                          </a:blip>
                          <a:srcRect l="4749" t="17143" b="18118"/>
                          <a:stretch>
                            <a:fillRect/>
                          </a:stretch>
                        </pic:blipFill>
                        <pic:spPr>
                          <a:xfrm>
                            <a:off x="0" y="0"/>
                            <a:ext cx="3438270" cy="3306029"/>
                          </a:xfrm>
                          <a:prstGeom prst="rect">
                            <a:avLst/>
                          </a:prstGeom>
                          <a:ln>
                            <a:noFill/>
                          </a:ln>
                        </pic:spPr>
                      </pic:pic>
                    </a:graphicData>
                  </a:graphic>
                </wp:inline>
              </w:drawing>
            </w:r>
          </w:p>
          <w:p w14:paraId="37A2429A">
            <w:pPr>
              <w:autoSpaceDE w:val="0"/>
              <w:autoSpaceDN w:val="0"/>
              <w:adjustRightInd w:val="0"/>
              <w:snapToGrid w:val="0"/>
              <w:spacing w:line="360" w:lineRule="auto"/>
              <w:jc w:val="center"/>
              <w:rPr>
                <w:b/>
                <w:color w:val="auto"/>
                <w:sz w:val="24"/>
              </w:rPr>
            </w:pPr>
            <w:r>
              <w:rPr>
                <w:rFonts w:hint="eastAsia"/>
                <w:b/>
                <w:color w:val="auto"/>
                <w:sz w:val="24"/>
              </w:rPr>
              <w:t>图2-</w:t>
            </w:r>
            <w:r>
              <w:rPr>
                <w:b/>
                <w:color w:val="auto"/>
                <w:sz w:val="24"/>
              </w:rPr>
              <w:t xml:space="preserve">8  </w:t>
            </w:r>
            <w:r>
              <w:rPr>
                <w:rFonts w:hint="eastAsia"/>
                <w:b/>
                <w:color w:val="auto"/>
                <w:sz w:val="24"/>
              </w:rPr>
              <w:t>现有项目注塑模具生产工艺流程图</w:t>
            </w:r>
          </w:p>
          <w:p w14:paraId="488DF7B9">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color w:val="auto"/>
                <w:sz w:val="24"/>
              </w:rPr>
            </w:pPr>
            <w:r>
              <w:rPr>
                <w:rFonts w:hint="eastAsia"/>
                <w:color w:val="auto"/>
                <w:sz w:val="24"/>
              </w:rPr>
              <w:t>现有项目注塑模具生产工艺流程简述：</w:t>
            </w:r>
          </w:p>
          <w:p w14:paraId="33E6C309">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color w:val="auto"/>
                <w:sz w:val="24"/>
              </w:rPr>
              <w:t>①切割下料：外购钢板</w:t>
            </w:r>
            <w:r>
              <w:rPr>
                <w:rFonts w:hint="eastAsia"/>
                <w:bCs/>
                <w:iCs/>
                <w:color w:val="auto"/>
                <w:kern w:val="0"/>
                <w:sz w:val="24"/>
              </w:rPr>
              <w:t>经切割机分切下料，方便后续加工，现有项目采用线切割，作业过程加入切削液，切削液经滤网过滤掉切割过程产生的废金属屑后循环使用，定期更换，因此会产生废切削液、废金属碎屑，同时会</w:t>
            </w:r>
            <w:r>
              <w:rPr>
                <w:rFonts w:hint="eastAsia"/>
                <w:bCs/>
                <w:iCs/>
                <w:color w:val="auto"/>
                <w:kern w:val="0"/>
                <w:sz w:val="24"/>
                <w:lang w:val="en-US" w:eastAsia="zh-CN"/>
              </w:rPr>
              <w:t>产生</w:t>
            </w:r>
            <w:r>
              <w:rPr>
                <w:rFonts w:hint="eastAsia"/>
                <w:bCs/>
                <w:iCs/>
                <w:color w:val="auto"/>
                <w:kern w:val="0"/>
                <w:sz w:val="24"/>
              </w:rPr>
              <w:t>金属边角料和噪声。</w:t>
            </w:r>
          </w:p>
          <w:p w14:paraId="449FFB0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②钻孔加工：下料后的钢板经</w:t>
            </w:r>
            <w:r>
              <w:rPr>
                <w:rFonts w:ascii="等线" w:hAnsi="等线"/>
                <w:color w:val="auto"/>
                <w:sz w:val="24"/>
              </w:rPr>
              <w:t>台钻、</w:t>
            </w:r>
            <w:r>
              <w:rPr>
                <w:rFonts w:hint="eastAsia" w:ascii="等线" w:hAnsi="等线"/>
                <w:color w:val="auto"/>
                <w:sz w:val="24"/>
              </w:rPr>
              <w:t>普通车床等设备进行钻孔加工。此工序会产生</w:t>
            </w:r>
            <w:r>
              <w:rPr>
                <w:rFonts w:hint="eastAsia"/>
                <w:bCs/>
                <w:iCs/>
                <w:color w:val="auto"/>
                <w:kern w:val="0"/>
                <w:sz w:val="24"/>
              </w:rPr>
              <w:t>废切削液、废金属碎屑和噪声。</w:t>
            </w:r>
          </w:p>
          <w:p w14:paraId="1186BAC6">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24"/>
              </w:rPr>
            </w:pPr>
            <w:r>
              <w:rPr>
                <w:rFonts w:hint="eastAsia"/>
                <w:color w:val="auto"/>
                <w:sz w:val="24"/>
              </w:rPr>
              <w:t>③装配：对粗加工后的部件进行组装，方便后续加工。</w:t>
            </w:r>
          </w:p>
          <w:p w14:paraId="35EF5A14">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color w:val="auto"/>
                <w:sz w:val="24"/>
              </w:rPr>
              <w:t>④数控加工：对装配后的半成品模具使用全自动数控车床进行精加工，制得成品模具。此工序会产生</w:t>
            </w:r>
            <w:r>
              <w:rPr>
                <w:rFonts w:hint="eastAsia"/>
                <w:bCs/>
                <w:iCs/>
                <w:color w:val="auto"/>
                <w:kern w:val="0"/>
                <w:sz w:val="24"/>
              </w:rPr>
              <w:t>废切削液、废金属碎屑和噪声。</w:t>
            </w:r>
          </w:p>
          <w:p w14:paraId="7F9C5C0F">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lang w:eastAsia="zh-CN"/>
              </w:rPr>
              <w:t>（</w:t>
            </w:r>
            <w:r>
              <w:rPr>
                <w:rFonts w:hint="eastAsia"/>
                <w:bCs/>
                <w:iCs/>
                <w:color w:val="auto"/>
                <w:kern w:val="0"/>
                <w:sz w:val="24"/>
                <w:lang w:val="en-US" w:eastAsia="zh-CN"/>
              </w:rPr>
              <w:t>4</w:t>
            </w:r>
            <w:r>
              <w:rPr>
                <w:rFonts w:hint="eastAsia"/>
                <w:bCs/>
                <w:iCs/>
                <w:color w:val="auto"/>
                <w:kern w:val="0"/>
                <w:sz w:val="24"/>
                <w:lang w:eastAsia="zh-CN"/>
              </w:rPr>
              <w:t>）</w:t>
            </w:r>
            <w:r>
              <w:rPr>
                <w:rFonts w:hint="eastAsia"/>
                <w:bCs/>
                <w:iCs/>
                <w:color w:val="auto"/>
                <w:kern w:val="0"/>
                <w:sz w:val="24"/>
              </w:rPr>
              <w:t>高压线束</w:t>
            </w:r>
            <w:r>
              <w:rPr>
                <w:bCs/>
                <w:iCs/>
                <w:color w:val="auto"/>
                <w:kern w:val="0"/>
                <w:sz w:val="24"/>
              </w:rPr>
              <w:t>生产工艺流程如下。</w:t>
            </w:r>
          </w:p>
          <w:p w14:paraId="2C84B997">
            <w:pPr>
              <w:spacing w:line="360" w:lineRule="auto"/>
              <w:jc w:val="center"/>
              <w:rPr>
                <w:bCs/>
                <w:color w:val="auto"/>
                <w:kern w:val="0"/>
                <w:sz w:val="24"/>
                <w:szCs w:val="20"/>
              </w:rPr>
            </w:pPr>
            <w:r>
              <w:rPr>
                <w:color w:val="auto"/>
              </w:rPr>
              <w:drawing>
                <wp:inline distT="0" distB="0" distL="0" distR="0">
                  <wp:extent cx="3947795" cy="5033645"/>
                  <wp:effectExtent l="0" t="0" r="14605" b="1460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6"/>
                          <a:stretch>
                            <a:fillRect/>
                          </a:stretch>
                        </pic:blipFill>
                        <pic:spPr>
                          <a:xfrm>
                            <a:off x="0" y="0"/>
                            <a:ext cx="3961907" cy="5051834"/>
                          </a:xfrm>
                          <a:prstGeom prst="rect">
                            <a:avLst/>
                          </a:prstGeom>
                        </pic:spPr>
                      </pic:pic>
                    </a:graphicData>
                  </a:graphic>
                </wp:inline>
              </w:drawing>
            </w:r>
          </w:p>
          <w:p w14:paraId="7AD09F5B">
            <w:pPr>
              <w:spacing w:line="360" w:lineRule="auto"/>
              <w:jc w:val="center"/>
              <w:rPr>
                <w:b/>
                <w:bCs/>
                <w:color w:val="auto"/>
                <w:kern w:val="0"/>
                <w:sz w:val="24"/>
                <w:szCs w:val="20"/>
              </w:rPr>
            </w:pPr>
            <w:r>
              <w:rPr>
                <w:rFonts w:hint="eastAsia"/>
                <w:b/>
                <w:bCs/>
                <w:color w:val="auto"/>
                <w:kern w:val="0"/>
                <w:sz w:val="24"/>
                <w:szCs w:val="20"/>
              </w:rPr>
              <w:t>图</w:t>
            </w:r>
            <w:r>
              <w:rPr>
                <w:b/>
                <w:bCs/>
                <w:color w:val="auto"/>
                <w:kern w:val="0"/>
                <w:sz w:val="24"/>
                <w:szCs w:val="20"/>
              </w:rPr>
              <w:t>2</w:t>
            </w:r>
            <w:r>
              <w:rPr>
                <w:rFonts w:hint="eastAsia"/>
                <w:b/>
                <w:bCs/>
                <w:color w:val="auto"/>
                <w:kern w:val="0"/>
                <w:sz w:val="24"/>
                <w:szCs w:val="20"/>
              </w:rPr>
              <w:t>-</w:t>
            </w:r>
            <w:r>
              <w:rPr>
                <w:rFonts w:hint="eastAsia"/>
                <w:b/>
                <w:bCs/>
                <w:color w:val="auto"/>
                <w:kern w:val="0"/>
                <w:sz w:val="24"/>
                <w:szCs w:val="20"/>
                <w:lang w:val="en-US" w:eastAsia="zh-CN"/>
              </w:rPr>
              <w:t>9</w:t>
            </w:r>
            <w:r>
              <w:rPr>
                <w:b/>
                <w:bCs/>
                <w:color w:val="auto"/>
                <w:kern w:val="0"/>
                <w:sz w:val="24"/>
                <w:szCs w:val="20"/>
              </w:rPr>
              <w:t xml:space="preserve">  </w:t>
            </w:r>
            <w:r>
              <w:rPr>
                <w:rFonts w:hint="eastAsia"/>
                <w:b/>
                <w:bCs/>
                <w:color w:val="auto"/>
                <w:kern w:val="0"/>
                <w:sz w:val="24"/>
                <w:szCs w:val="20"/>
              </w:rPr>
              <w:t>生产工艺流程图</w:t>
            </w:r>
          </w:p>
          <w:p w14:paraId="307E6D88">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b/>
                <w:color w:val="auto"/>
                <w:kern w:val="0"/>
                <w:sz w:val="24"/>
                <w:szCs w:val="20"/>
              </w:rPr>
            </w:pPr>
            <w:r>
              <w:rPr>
                <w:rFonts w:hint="eastAsia"/>
                <w:b/>
                <w:color w:val="auto"/>
                <w:kern w:val="0"/>
                <w:sz w:val="24"/>
                <w:szCs w:val="20"/>
              </w:rPr>
              <w:t>生产工艺流程简述：</w:t>
            </w:r>
          </w:p>
          <w:p w14:paraId="7394D16C">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①配</w:t>
            </w:r>
            <w:r>
              <w:rPr>
                <w:bCs/>
                <w:iCs/>
                <w:color w:val="auto"/>
                <w:kern w:val="0"/>
                <w:sz w:val="24"/>
              </w:rPr>
              <w:t>料：</w:t>
            </w:r>
            <w:r>
              <w:rPr>
                <w:rFonts w:hint="eastAsia"/>
                <w:bCs/>
                <w:iCs/>
                <w:color w:val="auto"/>
                <w:kern w:val="0"/>
                <w:sz w:val="24"/>
              </w:rPr>
              <w:t>高压线束使用原料为PP、ABS混合料，通过称量配比、混合，然后加入适量色母粒调色，外购PP、ABS、色母粒均为大颗粒状，称量、混合过程无粉尘产生。</w:t>
            </w:r>
          </w:p>
          <w:p w14:paraId="5774DF65">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②干燥：外购PP、ABS粒子含有少量水分，直接注塑将造成产品性能下降，因此使用前通过电加热烘干，将PP、ABS粒子中少量水分烘干，干燥温度在50~60℃，未达到塑料粒子的分解温度，项目采用电作为热源，此工序无有机废气产生。</w:t>
            </w:r>
          </w:p>
          <w:p w14:paraId="623C611F">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③注塑成型：干燥后的粒子通过注塑机自动给料、注射成型。注塑机内温度在</w:t>
            </w:r>
            <w:r>
              <w:rPr>
                <w:rFonts w:hint="eastAsia"/>
                <w:bCs/>
                <w:iCs/>
                <w:color w:val="auto"/>
                <w:kern w:val="0"/>
                <w:sz w:val="24"/>
                <w:lang w:val="en-US" w:eastAsia="zh-CN"/>
              </w:rPr>
              <w:t>200</w:t>
            </w:r>
            <w:r>
              <w:rPr>
                <w:rFonts w:hint="eastAsia"/>
                <w:bCs/>
                <w:iCs/>
                <w:color w:val="auto"/>
                <w:kern w:val="0"/>
                <w:sz w:val="24"/>
              </w:rPr>
              <w:t>~</w:t>
            </w:r>
            <w:r>
              <w:rPr>
                <w:rFonts w:hint="eastAsia"/>
                <w:bCs/>
                <w:iCs/>
                <w:color w:val="auto"/>
                <w:kern w:val="0"/>
                <w:sz w:val="24"/>
                <w:lang w:val="en-US" w:eastAsia="zh-CN"/>
              </w:rPr>
              <w:t>22</w:t>
            </w:r>
            <w:r>
              <w:rPr>
                <w:rFonts w:hint="eastAsia"/>
                <w:bCs/>
                <w:iCs/>
                <w:color w:val="auto"/>
                <w:kern w:val="0"/>
                <w:sz w:val="24"/>
              </w:rPr>
              <w:t>0℃，未达到塑料粒子的热分解温度，但塑料粒子在生产过程中含有的少量未聚合单体将产生挥发，因此注塑工序会产生注塑废气G1。</w:t>
            </w:r>
          </w:p>
          <w:p w14:paraId="7CDB4B30">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④去毛刺：注塑成型后的工件表面含有毛刺，需经人工检验去除，该工序会产生少量塑料边角料S1。</w:t>
            </w:r>
          </w:p>
          <w:p w14:paraId="729C62A7">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⑤潮湿：去除毛刺后的半成品需要做吸湿处理，防止冬季温度过低造成开裂，因此通过放入温水水池中浸湿，该工序用水为水池循环水，采用电加热，定期补充，每</w:t>
            </w:r>
            <w:r>
              <w:rPr>
                <w:rFonts w:hint="eastAsia"/>
                <w:bCs/>
                <w:iCs/>
                <w:color w:val="auto"/>
                <w:kern w:val="0"/>
                <w:sz w:val="24"/>
                <w:lang w:val="en-US" w:eastAsia="zh-CN"/>
              </w:rPr>
              <w:t>周</w:t>
            </w:r>
            <w:r>
              <w:rPr>
                <w:rFonts w:hint="eastAsia"/>
                <w:bCs/>
                <w:iCs/>
                <w:color w:val="auto"/>
                <w:kern w:val="0"/>
                <w:sz w:val="24"/>
              </w:rPr>
              <w:t>排放1次，此工序会产生循环水池废水W</w:t>
            </w:r>
            <w:r>
              <w:rPr>
                <w:bCs/>
                <w:iCs/>
                <w:color w:val="auto"/>
                <w:kern w:val="0"/>
                <w:sz w:val="24"/>
              </w:rPr>
              <w:t>1</w:t>
            </w:r>
            <w:r>
              <w:rPr>
                <w:rFonts w:hint="eastAsia"/>
                <w:bCs/>
                <w:iCs/>
                <w:color w:val="auto"/>
                <w:kern w:val="0"/>
                <w:sz w:val="24"/>
              </w:rPr>
              <w:t>。</w:t>
            </w:r>
          </w:p>
          <w:p w14:paraId="17C089D8">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⑥检验：潮湿后的半成品经人工检验工件表面是否有裂痕，去除不合格产品，该工序会产生塑料不合格品S2。</w:t>
            </w:r>
          </w:p>
          <w:p w14:paraId="74819BFF">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⑦装配：将生产的注塑件通过全自动装配线组装成型，形成产品。</w:t>
            </w:r>
          </w:p>
          <w:p w14:paraId="1E821FB0">
            <w:pPr>
              <w:keepNext w:val="0"/>
              <w:keepLines w:val="0"/>
              <w:pageBreakBefore w:val="0"/>
              <w:widowControl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⑧检验包装：装配后的产品在通过自动装配线包装入库，该工序会产生废包装材料S3。</w:t>
            </w:r>
          </w:p>
          <w:p w14:paraId="642A277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bCs/>
                <w:iCs/>
                <w:color w:val="auto"/>
                <w:kern w:val="0"/>
                <w:sz w:val="24"/>
              </w:rPr>
            </w:pPr>
            <w:r>
              <w:rPr>
                <w:rFonts w:hint="eastAsia"/>
                <w:b w:val="0"/>
                <w:bCs/>
                <w:color w:val="auto"/>
                <w:kern w:val="0"/>
                <w:sz w:val="24"/>
                <w:szCs w:val="20"/>
                <w:lang w:eastAsia="zh-CN"/>
              </w:rPr>
              <w:t>（</w:t>
            </w:r>
            <w:r>
              <w:rPr>
                <w:rFonts w:hint="eastAsia"/>
                <w:b w:val="0"/>
                <w:bCs/>
                <w:color w:val="auto"/>
                <w:kern w:val="0"/>
                <w:sz w:val="24"/>
                <w:szCs w:val="20"/>
                <w:lang w:val="en-US" w:eastAsia="zh-CN"/>
              </w:rPr>
              <w:t>5</w:t>
            </w:r>
            <w:r>
              <w:rPr>
                <w:rFonts w:hint="eastAsia"/>
                <w:b w:val="0"/>
                <w:bCs/>
                <w:color w:val="auto"/>
                <w:kern w:val="0"/>
                <w:sz w:val="24"/>
                <w:szCs w:val="20"/>
                <w:lang w:eastAsia="zh-CN"/>
              </w:rPr>
              <w:t>）</w:t>
            </w:r>
            <w:r>
              <w:rPr>
                <w:rFonts w:hint="eastAsia"/>
                <w:bCs/>
                <w:iCs/>
                <w:color w:val="auto"/>
                <w:kern w:val="0"/>
                <w:sz w:val="24"/>
              </w:rPr>
              <w:t>高压连接器</w:t>
            </w:r>
            <w:r>
              <w:rPr>
                <w:bCs/>
                <w:iCs/>
                <w:color w:val="auto"/>
                <w:kern w:val="0"/>
                <w:sz w:val="24"/>
              </w:rPr>
              <w:t>生产工艺流程如下。</w:t>
            </w:r>
          </w:p>
          <w:p w14:paraId="2F839008">
            <w:pPr>
              <w:spacing w:line="360" w:lineRule="auto"/>
              <w:jc w:val="center"/>
              <w:rPr>
                <w:bCs/>
                <w:iCs/>
                <w:color w:val="auto"/>
                <w:kern w:val="0"/>
                <w:sz w:val="24"/>
              </w:rPr>
            </w:pPr>
            <w:r>
              <w:rPr>
                <w:color w:val="auto"/>
              </w:rPr>
              <w:drawing>
                <wp:inline distT="0" distB="0" distL="114300" distR="114300">
                  <wp:extent cx="3933825" cy="3761105"/>
                  <wp:effectExtent l="0" t="0" r="9525" b="10795"/>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17"/>
                          <a:stretch>
                            <a:fillRect/>
                          </a:stretch>
                        </pic:blipFill>
                        <pic:spPr>
                          <a:xfrm>
                            <a:off x="0" y="0"/>
                            <a:ext cx="3933825" cy="3761105"/>
                          </a:xfrm>
                          <a:prstGeom prst="rect">
                            <a:avLst/>
                          </a:prstGeom>
                          <a:noFill/>
                          <a:ln>
                            <a:noFill/>
                          </a:ln>
                        </pic:spPr>
                      </pic:pic>
                    </a:graphicData>
                  </a:graphic>
                </wp:inline>
              </w:drawing>
            </w:r>
          </w:p>
          <w:p w14:paraId="4FF5282D">
            <w:pPr>
              <w:spacing w:line="360" w:lineRule="auto"/>
              <w:jc w:val="center"/>
              <w:rPr>
                <w:b/>
                <w:bCs/>
                <w:iCs/>
                <w:color w:val="auto"/>
                <w:kern w:val="0"/>
                <w:sz w:val="24"/>
              </w:rPr>
            </w:pPr>
            <w:r>
              <w:rPr>
                <w:rFonts w:hint="eastAsia"/>
                <w:b/>
                <w:bCs/>
                <w:iCs/>
                <w:color w:val="auto"/>
                <w:kern w:val="0"/>
                <w:sz w:val="24"/>
              </w:rPr>
              <w:t>图2-</w:t>
            </w:r>
            <w:r>
              <w:rPr>
                <w:rFonts w:hint="eastAsia"/>
                <w:b/>
                <w:bCs/>
                <w:iCs/>
                <w:color w:val="auto"/>
                <w:kern w:val="0"/>
                <w:sz w:val="24"/>
                <w:lang w:val="en-US" w:eastAsia="zh-CN"/>
              </w:rPr>
              <w:t>10</w:t>
            </w:r>
            <w:r>
              <w:rPr>
                <w:b/>
                <w:bCs/>
                <w:iCs/>
                <w:color w:val="auto"/>
                <w:kern w:val="0"/>
                <w:sz w:val="24"/>
              </w:rPr>
              <w:t xml:space="preserve">  </w:t>
            </w:r>
            <w:r>
              <w:rPr>
                <w:rFonts w:hint="eastAsia"/>
                <w:b/>
                <w:bCs/>
                <w:iCs/>
                <w:color w:val="auto"/>
                <w:kern w:val="0"/>
                <w:sz w:val="24"/>
              </w:rPr>
              <w:t>高压连接器生产工艺流程图</w:t>
            </w:r>
          </w:p>
          <w:p w14:paraId="4773E1F4">
            <w:pPr>
              <w:keepNext w:val="0"/>
              <w:keepLines w:val="0"/>
              <w:pageBreakBefore w:val="0"/>
              <w:kinsoku/>
              <w:wordWrap/>
              <w:overflowPunct/>
              <w:topLinePunct w:val="0"/>
              <w:autoSpaceDE w:val="0"/>
              <w:autoSpaceDN w:val="0"/>
              <w:bidi w:val="0"/>
              <w:adjustRightInd w:val="0"/>
              <w:snapToGrid w:val="0"/>
              <w:spacing w:line="360" w:lineRule="auto"/>
              <w:textAlignment w:val="auto"/>
              <w:rPr>
                <w:b/>
                <w:color w:val="auto"/>
                <w:kern w:val="0"/>
                <w:sz w:val="24"/>
                <w:szCs w:val="20"/>
              </w:rPr>
            </w:pPr>
            <w:r>
              <w:rPr>
                <w:rFonts w:hint="eastAsia"/>
                <w:b/>
                <w:color w:val="auto"/>
                <w:kern w:val="0"/>
                <w:sz w:val="24"/>
                <w:szCs w:val="20"/>
              </w:rPr>
              <w:t>生产工艺流程简述：</w:t>
            </w:r>
          </w:p>
          <w:p w14:paraId="0B13285B">
            <w:pPr>
              <w:keepNext w:val="0"/>
              <w:keepLines w:val="0"/>
              <w:pageBreakBefore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①切割下料：外购成品黄铜带经切割机分切下料，方便后续加工，本项目采用线切割，作业过程加入切削液，切削液经滤网过滤掉切割过程产生的废金属屑后循环使用，定期更换，因此会产生废切削液S</w:t>
            </w:r>
            <w:r>
              <w:rPr>
                <w:bCs/>
                <w:iCs/>
                <w:color w:val="auto"/>
                <w:kern w:val="0"/>
                <w:sz w:val="24"/>
              </w:rPr>
              <w:t>4</w:t>
            </w:r>
            <w:r>
              <w:rPr>
                <w:rFonts w:hint="eastAsia"/>
                <w:bCs/>
                <w:iCs/>
                <w:color w:val="auto"/>
                <w:kern w:val="0"/>
                <w:sz w:val="24"/>
              </w:rPr>
              <w:t>、废金属碎屑S</w:t>
            </w:r>
            <w:r>
              <w:rPr>
                <w:bCs/>
                <w:iCs/>
                <w:color w:val="auto"/>
                <w:kern w:val="0"/>
                <w:sz w:val="24"/>
              </w:rPr>
              <w:t>5</w:t>
            </w:r>
            <w:r>
              <w:rPr>
                <w:rFonts w:hint="eastAsia"/>
                <w:bCs/>
                <w:iCs/>
                <w:color w:val="auto"/>
                <w:kern w:val="0"/>
                <w:sz w:val="24"/>
              </w:rPr>
              <w:t>，同时会金属边角料S</w:t>
            </w:r>
            <w:r>
              <w:rPr>
                <w:bCs/>
                <w:iCs/>
                <w:color w:val="auto"/>
                <w:kern w:val="0"/>
                <w:sz w:val="24"/>
              </w:rPr>
              <w:t>6</w:t>
            </w:r>
            <w:r>
              <w:rPr>
                <w:rFonts w:hint="eastAsia"/>
                <w:bCs/>
                <w:iCs/>
                <w:color w:val="auto"/>
                <w:kern w:val="0"/>
                <w:sz w:val="24"/>
              </w:rPr>
              <w:t>和噪声N。</w:t>
            </w:r>
          </w:p>
          <w:p w14:paraId="66B5E8DD">
            <w:pPr>
              <w:keepNext w:val="0"/>
              <w:keepLines w:val="0"/>
              <w:pageBreakBefore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②冲压成型：下料后的黄铜带通过冲床冲压成型，次工序会产生金属边角料S</w:t>
            </w:r>
            <w:r>
              <w:rPr>
                <w:rFonts w:hint="eastAsia"/>
                <w:bCs/>
                <w:iCs/>
                <w:color w:val="auto"/>
                <w:kern w:val="0"/>
                <w:sz w:val="24"/>
                <w:lang w:val="en-US" w:eastAsia="zh-CN"/>
              </w:rPr>
              <w:t>7</w:t>
            </w:r>
            <w:r>
              <w:rPr>
                <w:rFonts w:hint="eastAsia"/>
                <w:bCs/>
                <w:iCs/>
                <w:color w:val="auto"/>
                <w:kern w:val="0"/>
                <w:sz w:val="24"/>
              </w:rPr>
              <w:t>和噪声N</w:t>
            </w:r>
            <w:r>
              <w:rPr>
                <w:bCs/>
                <w:iCs/>
                <w:color w:val="auto"/>
                <w:kern w:val="0"/>
                <w:sz w:val="24"/>
              </w:rPr>
              <w:t>。</w:t>
            </w:r>
          </w:p>
          <w:p w14:paraId="6BB35CAB">
            <w:pPr>
              <w:keepNext w:val="0"/>
              <w:keepLines w:val="0"/>
              <w:pageBreakBefore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③检验：冲压成型后的产品经人工检验产品尺寸、外观等，该工序会产生</w:t>
            </w:r>
            <w:r>
              <w:rPr>
                <w:rFonts w:hint="eastAsia"/>
                <w:bCs/>
                <w:iCs/>
                <w:color w:val="auto"/>
                <w:kern w:val="0"/>
                <w:sz w:val="24"/>
                <w:lang w:val="en-US" w:eastAsia="zh-CN"/>
              </w:rPr>
              <w:t>不合格高压连接器</w:t>
            </w:r>
            <w:r>
              <w:rPr>
                <w:rFonts w:hint="eastAsia"/>
                <w:bCs/>
                <w:iCs/>
                <w:color w:val="auto"/>
                <w:kern w:val="0"/>
                <w:sz w:val="24"/>
              </w:rPr>
              <w:t>S</w:t>
            </w:r>
            <w:r>
              <w:rPr>
                <w:rFonts w:hint="eastAsia"/>
                <w:bCs/>
                <w:iCs/>
                <w:color w:val="auto"/>
                <w:kern w:val="0"/>
                <w:sz w:val="24"/>
                <w:lang w:val="en-US" w:eastAsia="zh-CN"/>
              </w:rPr>
              <w:t>8</w:t>
            </w:r>
            <w:r>
              <w:rPr>
                <w:bCs/>
                <w:iCs/>
                <w:color w:val="auto"/>
                <w:kern w:val="0"/>
                <w:sz w:val="24"/>
              </w:rPr>
              <w:t>。</w:t>
            </w:r>
          </w:p>
          <w:p w14:paraId="65394A88">
            <w:pPr>
              <w:keepNext w:val="0"/>
              <w:keepLines w:val="0"/>
              <w:pageBreakBefore w:val="0"/>
              <w:kinsoku/>
              <w:wordWrap/>
              <w:overflowPunct/>
              <w:topLinePunct w:val="0"/>
              <w:bidi w:val="0"/>
              <w:spacing w:line="360" w:lineRule="auto"/>
              <w:ind w:firstLine="480" w:firstLineChars="200"/>
              <w:jc w:val="left"/>
              <w:textAlignment w:val="auto"/>
              <w:rPr>
                <w:bCs/>
                <w:iCs/>
                <w:color w:val="auto"/>
                <w:kern w:val="0"/>
                <w:sz w:val="24"/>
              </w:rPr>
            </w:pPr>
            <w:r>
              <w:rPr>
                <w:rFonts w:hint="eastAsia"/>
                <w:bCs/>
                <w:iCs/>
                <w:color w:val="auto"/>
                <w:kern w:val="0"/>
                <w:sz w:val="24"/>
              </w:rPr>
              <w:t>④包装入库：检验合格后的产品包装入库，此工序会产生废包装材料S</w:t>
            </w:r>
            <w:r>
              <w:rPr>
                <w:rFonts w:hint="eastAsia"/>
                <w:bCs/>
                <w:iCs/>
                <w:color w:val="auto"/>
                <w:kern w:val="0"/>
                <w:sz w:val="24"/>
                <w:lang w:val="en-US" w:eastAsia="zh-CN"/>
              </w:rPr>
              <w:t>9</w:t>
            </w:r>
            <w:r>
              <w:rPr>
                <w:rFonts w:hint="eastAsia"/>
                <w:bCs/>
                <w:iCs/>
                <w:color w:val="auto"/>
                <w:kern w:val="0"/>
                <w:sz w:val="24"/>
              </w:rPr>
              <w:t>。</w:t>
            </w:r>
          </w:p>
          <w:p w14:paraId="3ECEDB66">
            <w:pPr>
              <w:keepNext w:val="0"/>
              <w:keepLines w:val="0"/>
              <w:pageBreakBefore w:val="0"/>
              <w:widowControl/>
              <w:kinsoku/>
              <w:wordWrap/>
              <w:overflowPunct/>
              <w:topLinePunct w:val="0"/>
              <w:bidi w:val="0"/>
              <w:spacing w:line="360" w:lineRule="auto"/>
              <w:ind w:firstLine="482" w:firstLineChars="200"/>
              <w:textAlignment w:val="auto"/>
              <w:rPr>
                <w:rFonts w:ascii="Times New Roman" w:hAnsi="Times New Roman" w:eastAsia="宋体"/>
                <w:b/>
                <w:caps w:val="0"/>
                <w:color w:val="auto"/>
                <w:kern w:val="0"/>
                <w:sz w:val="24"/>
                <w:highlight w:val="none"/>
              </w:rPr>
            </w:pPr>
            <w:r>
              <w:rPr>
                <w:rFonts w:ascii="Times New Roman" w:hAnsi="Times New Roman" w:eastAsia="宋体"/>
                <w:b/>
                <w:caps w:val="0"/>
                <w:color w:val="auto"/>
                <w:kern w:val="0"/>
                <w:sz w:val="24"/>
                <w:highlight w:val="none"/>
              </w:rPr>
              <w:t>3、现有项目</w:t>
            </w:r>
            <w:r>
              <w:rPr>
                <w:rFonts w:ascii="Times New Roman" w:hAnsi="Times New Roman" w:eastAsia="宋体"/>
                <w:b/>
                <w:caps w:val="0"/>
                <w:color w:val="auto"/>
                <w:sz w:val="24"/>
                <w:highlight w:val="none"/>
              </w:rPr>
              <w:t>采取的污染防治措施</w:t>
            </w:r>
          </w:p>
          <w:p w14:paraId="2765E0FA">
            <w:pPr>
              <w:keepNext w:val="0"/>
              <w:keepLines w:val="0"/>
              <w:pageBreakBefore w:val="0"/>
              <w:kinsoku/>
              <w:wordWrap/>
              <w:overflowPunct/>
              <w:topLinePunct w:val="0"/>
              <w:bidi w:val="0"/>
              <w:spacing w:line="360" w:lineRule="auto"/>
              <w:jc w:val="center"/>
              <w:textAlignment w:val="auto"/>
              <w:rPr>
                <w:rFonts w:ascii="Times New Roman" w:hAnsi="Times New Roman" w:eastAsia="宋体"/>
                <w:caps w:val="0"/>
                <w:color w:val="auto"/>
                <w:sz w:val="24"/>
                <w:highlight w:val="none"/>
              </w:rPr>
            </w:pPr>
            <w:r>
              <w:rPr>
                <w:rFonts w:ascii="Times New Roman" w:hAnsi="Times New Roman" w:eastAsia="宋体"/>
                <w:b/>
                <w:bCs/>
                <w:caps w:val="0"/>
                <w:color w:val="auto"/>
                <w:spacing w:val="-2"/>
                <w:sz w:val="24"/>
                <w:highlight w:val="none"/>
              </w:rPr>
              <w:t>表2-1</w:t>
            </w:r>
            <w:r>
              <w:rPr>
                <w:rFonts w:hint="eastAsia"/>
                <w:b/>
                <w:bCs/>
                <w:caps w:val="0"/>
                <w:color w:val="auto"/>
                <w:spacing w:val="-2"/>
                <w:sz w:val="24"/>
                <w:highlight w:val="none"/>
                <w:lang w:val="en-US" w:eastAsia="zh-CN"/>
              </w:rPr>
              <w:t>0</w:t>
            </w:r>
            <w:r>
              <w:rPr>
                <w:rFonts w:ascii="Times New Roman" w:hAnsi="Times New Roman" w:eastAsia="宋体"/>
                <w:b/>
                <w:bCs/>
                <w:caps w:val="0"/>
                <w:color w:val="auto"/>
                <w:spacing w:val="-2"/>
                <w:sz w:val="24"/>
                <w:highlight w:val="none"/>
              </w:rPr>
              <w:t xml:space="preserve"> </w:t>
            </w:r>
            <w:r>
              <w:rPr>
                <w:rFonts w:hint="eastAsia" w:ascii="Times New Roman" w:hAnsi="Times New Roman" w:eastAsia="宋体" w:cs="宋体"/>
                <w:b/>
                <w:bCs/>
                <w:caps w:val="0"/>
                <w:color w:val="auto"/>
                <w:spacing w:val="-2"/>
                <w:sz w:val="24"/>
                <w:highlight w:val="none"/>
              </w:rPr>
              <w:t>现有项目采取的污染防治措施一览表</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3"/>
              <w:gridCol w:w="677"/>
              <w:gridCol w:w="1550"/>
              <w:gridCol w:w="1716"/>
              <w:gridCol w:w="2273"/>
              <w:gridCol w:w="1254"/>
            </w:tblGrid>
            <w:tr w14:paraId="69C2E6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91" w:type="pct"/>
                  <w:gridSpan w:val="2"/>
                  <w:tcBorders>
                    <w:tl2br w:val="nil"/>
                    <w:tr2bl w:val="nil"/>
                  </w:tcBorders>
                  <w:vAlign w:val="center"/>
                </w:tcPr>
                <w:p w14:paraId="6F7FCEF1">
                  <w:pPr>
                    <w:jc w:val="center"/>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污染</w:t>
                  </w:r>
                </w:p>
                <w:p w14:paraId="39A5882B">
                  <w:pPr>
                    <w:jc w:val="center"/>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类别</w:t>
                  </w:r>
                </w:p>
              </w:tc>
              <w:tc>
                <w:tcPr>
                  <w:tcW w:w="983" w:type="pct"/>
                  <w:tcBorders>
                    <w:tl2br w:val="nil"/>
                    <w:tr2bl w:val="nil"/>
                  </w:tcBorders>
                  <w:vAlign w:val="center"/>
                </w:tcPr>
                <w:p w14:paraId="3A2466A2">
                  <w:pPr>
                    <w:jc w:val="center"/>
                    <w:rPr>
                      <w:rFonts w:ascii="Times New Roman" w:hAnsi="Times New Roman" w:eastAsia="宋体"/>
                      <w:b/>
                      <w:bCs/>
                      <w:caps w:val="0"/>
                      <w:color w:val="auto"/>
                      <w:szCs w:val="21"/>
                      <w:highlight w:val="none"/>
                    </w:rPr>
                  </w:pPr>
                  <w:r>
                    <w:rPr>
                      <w:rFonts w:hint="eastAsia" w:ascii="Times New Roman" w:hAnsi="Times New Roman" w:eastAsia="宋体"/>
                      <w:b/>
                      <w:bCs/>
                      <w:caps w:val="0"/>
                      <w:color w:val="auto"/>
                      <w:szCs w:val="21"/>
                      <w:highlight w:val="none"/>
                    </w:rPr>
                    <w:t>污染工序</w:t>
                  </w:r>
                </w:p>
              </w:tc>
              <w:tc>
                <w:tcPr>
                  <w:tcW w:w="1088" w:type="pct"/>
                  <w:tcBorders>
                    <w:tl2br w:val="nil"/>
                    <w:tr2bl w:val="nil"/>
                  </w:tcBorders>
                  <w:vAlign w:val="center"/>
                </w:tcPr>
                <w:p w14:paraId="564F9551">
                  <w:pPr>
                    <w:jc w:val="center"/>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主要污染因子</w:t>
                  </w:r>
                </w:p>
              </w:tc>
              <w:tc>
                <w:tcPr>
                  <w:tcW w:w="1441" w:type="pct"/>
                  <w:tcBorders>
                    <w:tl2br w:val="nil"/>
                    <w:tr2bl w:val="nil"/>
                  </w:tcBorders>
                  <w:vAlign w:val="center"/>
                </w:tcPr>
                <w:p w14:paraId="16D72ADF">
                  <w:pPr>
                    <w:jc w:val="center"/>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污染防治措施</w:t>
                  </w:r>
                </w:p>
              </w:tc>
              <w:tc>
                <w:tcPr>
                  <w:tcW w:w="795" w:type="pct"/>
                  <w:tcBorders>
                    <w:tl2br w:val="nil"/>
                    <w:tr2bl w:val="nil"/>
                  </w:tcBorders>
                  <w:vAlign w:val="center"/>
                </w:tcPr>
                <w:p w14:paraId="7125894C">
                  <w:pPr>
                    <w:jc w:val="center"/>
                    <w:rPr>
                      <w:rFonts w:ascii="Times New Roman" w:hAnsi="Times New Roman" w:eastAsia="宋体"/>
                      <w:b/>
                      <w:bCs/>
                      <w:caps w:val="0"/>
                      <w:color w:val="auto"/>
                      <w:szCs w:val="21"/>
                      <w:highlight w:val="none"/>
                    </w:rPr>
                  </w:pPr>
                  <w:r>
                    <w:rPr>
                      <w:rFonts w:ascii="Times New Roman" w:hAnsi="Times New Roman" w:eastAsia="宋体"/>
                      <w:b/>
                      <w:bCs/>
                      <w:caps w:val="0"/>
                      <w:color w:val="auto"/>
                      <w:szCs w:val="21"/>
                      <w:highlight w:val="none"/>
                    </w:rPr>
                    <w:t>排放</w:t>
                  </w:r>
                  <w:r>
                    <w:rPr>
                      <w:rFonts w:hint="eastAsia" w:ascii="Times New Roman" w:hAnsi="Times New Roman" w:eastAsia="宋体"/>
                      <w:b/>
                      <w:bCs/>
                      <w:caps w:val="0"/>
                      <w:color w:val="auto"/>
                      <w:szCs w:val="21"/>
                      <w:highlight w:val="none"/>
                    </w:rPr>
                    <w:t>口类型</w:t>
                  </w:r>
                </w:p>
              </w:tc>
            </w:tr>
            <w:tr w14:paraId="4CCC4C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1" w:type="pct"/>
                  <w:gridSpan w:val="2"/>
                  <w:vMerge w:val="restart"/>
                  <w:tcBorders>
                    <w:tl2br w:val="nil"/>
                    <w:tr2bl w:val="nil"/>
                  </w:tcBorders>
                  <w:vAlign w:val="center"/>
                </w:tcPr>
                <w:p w14:paraId="54C24179">
                  <w:pPr>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废气</w:t>
                  </w:r>
                </w:p>
              </w:tc>
              <w:tc>
                <w:tcPr>
                  <w:tcW w:w="983" w:type="pct"/>
                  <w:tcBorders>
                    <w:tl2br w:val="nil"/>
                    <w:tr2bl w:val="nil"/>
                  </w:tcBorders>
                  <w:vAlign w:val="center"/>
                </w:tcPr>
                <w:p w14:paraId="713CCC26">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注塑废气</w:t>
                  </w:r>
                </w:p>
              </w:tc>
              <w:tc>
                <w:tcPr>
                  <w:tcW w:w="1088" w:type="pct"/>
                  <w:tcBorders>
                    <w:tl2br w:val="nil"/>
                    <w:tr2bl w:val="nil"/>
                  </w:tcBorders>
                  <w:vAlign w:val="center"/>
                </w:tcPr>
                <w:p w14:paraId="7E3E408C">
                  <w:pPr>
                    <w:widowControl/>
                    <w:jc w:val="center"/>
                    <w:rPr>
                      <w:rFonts w:ascii="Times New Roman" w:hAnsi="Times New Roman" w:eastAsia="宋体"/>
                      <w:caps w:val="0"/>
                      <w:color w:val="auto"/>
                      <w:szCs w:val="21"/>
                      <w:highlight w:val="none"/>
                    </w:rPr>
                  </w:pPr>
                  <w:r>
                    <w:rPr>
                      <w:rFonts w:hint="eastAsia" w:ascii="Times New Roman" w:hAnsi="Times New Roman" w:eastAsia="宋体"/>
                      <w:caps w:val="0"/>
                      <w:color w:val="auto"/>
                      <w:kern w:val="0"/>
                      <w:szCs w:val="21"/>
                      <w:highlight w:val="none"/>
                      <w:lang w:bidi="ar"/>
                    </w:rPr>
                    <w:t>非甲烷总烃、苯乙烯、甲苯</w:t>
                  </w:r>
                </w:p>
              </w:tc>
              <w:tc>
                <w:tcPr>
                  <w:tcW w:w="1441" w:type="pct"/>
                  <w:tcBorders>
                    <w:tl2br w:val="nil"/>
                    <w:tr2bl w:val="nil"/>
                  </w:tcBorders>
                  <w:vAlign w:val="center"/>
                </w:tcPr>
                <w:p w14:paraId="249E0A40">
                  <w:pPr>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集气罩收集+</w:t>
                  </w:r>
                  <w:r>
                    <w:rPr>
                      <w:rFonts w:hint="eastAsia"/>
                      <w:caps w:val="0"/>
                      <w:color w:val="auto"/>
                      <w:szCs w:val="21"/>
                      <w:highlight w:val="none"/>
                      <w:lang w:val="en-US" w:eastAsia="zh-CN"/>
                    </w:rPr>
                    <w:t>二</w:t>
                  </w:r>
                  <w:r>
                    <w:rPr>
                      <w:rFonts w:hint="eastAsia" w:ascii="Times New Roman" w:hAnsi="Times New Roman" w:eastAsia="宋体"/>
                      <w:caps w:val="0"/>
                      <w:color w:val="auto"/>
                      <w:szCs w:val="21"/>
                      <w:highlight w:val="none"/>
                    </w:rPr>
                    <w:t>级活性炭吸附装置+1根15m高排气筒（DA001）</w:t>
                  </w:r>
                </w:p>
              </w:tc>
              <w:tc>
                <w:tcPr>
                  <w:tcW w:w="795" w:type="pct"/>
                  <w:tcBorders>
                    <w:tl2br w:val="nil"/>
                    <w:tr2bl w:val="nil"/>
                  </w:tcBorders>
                  <w:vAlign w:val="center"/>
                </w:tcPr>
                <w:p w14:paraId="61674E10">
                  <w:pPr>
                    <w:jc w:val="center"/>
                    <w:rPr>
                      <w:rFonts w:ascii="Times New Roman" w:hAnsi="Times New Roman" w:eastAsia="宋体"/>
                      <w:caps w:val="0"/>
                      <w:color w:val="auto"/>
                      <w:szCs w:val="21"/>
                      <w:highlight w:val="none"/>
                    </w:rPr>
                  </w:pPr>
                  <w:r>
                    <w:rPr>
                      <w:rFonts w:ascii="Times New Roman" w:hAnsi="Times New Roman" w:eastAsia="宋体"/>
                      <w:caps w:val="0"/>
                      <w:color w:val="auto"/>
                      <w:highlight w:val="none"/>
                    </w:rPr>
                    <w:t>一般排放口</w:t>
                  </w:r>
                </w:p>
              </w:tc>
            </w:tr>
            <w:tr w14:paraId="33351F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1" w:type="pct"/>
                  <w:gridSpan w:val="2"/>
                  <w:vMerge w:val="continue"/>
                  <w:tcBorders>
                    <w:tl2br w:val="nil"/>
                    <w:tr2bl w:val="nil"/>
                  </w:tcBorders>
                  <w:vAlign w:val="center"/>
                </w:tcPr>
                <w:p w14:paraId="793E6896">
                  <w:pPr>
                    <w:jc w:val="center"/>
                    <w:rPr>
                      <w:rFonts w:ascii="Times New Roman" w:hAnsi="Times New Roman" w:eastAsia="宋体"/>
                      <w:caps w:val="0"/>
                      <w:color w:val="auto"/>
                      <w:szCs w:val="21"/>
                      <w:highlight w:val="none"/>
                    </w:rPr>
                  </w:pPr>
                </w:p>
              </w:tc>
              <w:tc>
                <w:tcPr>
                  <w:tcW w:w="983" w:type="pct"/>
                  <w:tcBorders>
                    <w:tl2br w:val="nil"/>
                    <w:tr2bl w:val="nil"/>
                  </w:tcBorders>
                  <w:vAlign w:val="center"/>
                </w:tcPr>
                <w:p w14:paraId="4DCB9FA6">
                  <w:pPr>
                    <w:jc w:val="center"/>
                    <w:rPr>
                      <w:rFonts w:hint="default"/>
                      <w:caps w:val="0"/>
                      <w:color w:val="auto"/>
                      <w:szCs w:val="21"/>
                      <w:highlight w:val="none"/>
                      <w:lang w:val="en-US" w:eastAsia="zh-CN"/>
                    </w:rPr>
                  </w:pPr>
                  <w:r>
                    <w:rPr>
                      <w:rFonts w:hint="eastAsia"/>
                      <w:caps w:val="0"/>
                      <w:color w:val="auto"/>
                      <w:szCs w:val="21"/>
                      <w:highlight w:val="none"/>
                      <w:lang w:val="en-US" w:eastAsia="zh-CN"/>
                    </w:rPr>
                    <w:t>破碎废气</w:t>
                  </w:r>
                </w:p>
              </w:tc>
              <w:tc>
                <w:tcPr>
                  <w:tcW w:w="1088" w:type="pct"/>
                  <w:tcBorders>
                    <w:tl2br w:val="nil"/>
                    <w:tr2bl w:val="nil"/>
                  </w:tcBorders>
                  <w:vAlign w:val="center"/>
                </w:tcPr>
                <w:p w14:paraId="39CB6263">
                  <w:pPr>
                    <w:widowControl/>
                    <w:jc w:val="center"/>
                    <w:rPr>
                      <w:rFonts w:hint="eastAsia" w:ascii="Times New Roman" w:hAnsi="Times New Roman" w:eastAsia="宋体"/>
                      <w:caps w:val="0"/>
                      <w:color w:val="auto"/>
                      <w:kern w:val="0"/>
                      <w:szCs w:val="21"/>
                      <w:highlight w:val="none"/>
                      <w:lang w:val="en-US" w:eastAsia="zh-CN" w:bidi="ar"/>
                    </w:rPr>
                  </w:pPr>
                  <w:r>
                    <w:rPr>
                      <w:rFonts w:hint="eastAsia"/>
                      <w:caps w:val="0"/>
                      <w:color w:val="auto"/>
                      <w:kern w:val="0"/>
                      <w:szCs w:val="21"/>
                      <w:highlight w:val="none"/>
                      <w:lang w:val="en-US" w:eastAsia="zh-CN" w:bidi="ar"/>
                    </w:rPr>
                    <w:t>颗粒物</w:t>
                  </w:r>
                </w:p>
              </w:tc>
              <w:tc>
                <w:tcPr>
                  <w:tcW w:w="1441" w:type="pct"/>
                  <w:tcBorders>
                    <w:tl2br w:val="nil"/>
                    <w:tr2bl w:val="nil"/>
                  </w:tcBorders>
                  <w:vAlign w:val="center"/>
                </w:tcPr>
                <w:p w14:paraId="67932242">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无组织排放</w:t>
                  </w:r>
                </w:p>
              </w:tc>
              <w:tc>
                <w:tcPr>
                  <w:tcW w:w="795" w:type="pct"/>
                  <w:tcBorders>
                    <w:tl2br w:val="nil"/>
                    <w:tr2bl w:val="nil"/>
                  </w:tcBorders>
                  <w:vAlign w:val="center"/>
                </w:tcPr>
                <w:p w14:paraId="3B47CE04">
                  <w:pPr>
                    <w:jc w:val="center"/>
                    <w:rPr>
                      <w:rFonts w:hint="eastAsia" w:ascii="Times New Roman" w:hAnsi="Times New Roman" w:eastAsia="宋体"/>
                      <w:caps w:val="0"/>
                      <w:color w:val="auto"/>
                      <w:highlight w:val="none"/>
                      <w:lang w:val="en-US" w:eastAsia="zh-CN"/>
                    </w:rPr>
                  </w:pPr>
                  <w:r>
                    <w:rPr>
                      <w:rFonts w:hint="eastAsia"/>
                      <w:caps w:val="0"/>
                      <w:color w:val="auto"/>
                      <w:highlight w:val="none"/>
                      <w:lang w:val="en-US" w:eastAsia="zh-CN"/>
                    </w:rPr>
                    <w:t>/</w:t>
                  </w:r>
                </w:p>
              </w:tc>
            </w:tr>
            <w:tr w14:paraId="404410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1" w:type="pct"/>
                  <w:gridSpan w:val="2"/>
                  <w:vMerge w:val="restart"/>
                  <w:tcBorders>
                    <w:tl2br w:val="nil"/>
                    <w:tr2bl w:val="nil"/>
                  </w:tcBorders>
                  <w:vAlign w:val="center"/>
                </w:tcPr>
                <w:p w14:paraId="794EC357">
                  <w:pPr>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废水</w:t>
                  </w:r>
                </w:p>
              </w:tc>
              <w:tc>
                <w:tcPr>
                  <w:tcW w:w="983" w:type="pct"/>
                  <w:tcBorders>
                    <w:tl2br w:val="nil"/>
                    <w:tr2bl w:val="nil"/>
                  </w:tcBorders>
                  <w:vAlign w:val="center"/>
                </w:tcPr>
                <w:p w14:paraId="170930AF">
                  <w:pPr>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生活污水</w:t>
                  </w:r>
                </w:p>
              </w:tc>
              <w:tc>
                <w:tcPr>
                  <w:tcW w:w="1088" w:type="pct"/>
                  <w:tcBorders>
                    <w:tl2br w:val="nil"/>
                    <w:tr2bl w:val="nil"/>
                  </w:tcBorders>
                  <w:vAlign w:val="center"/>
                </w:tcPr>
                <w:p w14:paraId="0C11D4B5">
                  <w:pPr>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pH、COD、BOD</w:t>
                  </w:r>
                  <w:r>
                    <w:rPr>
                      <w:rFonts w:ascii="Times New Roman" w:hAnsi="Times New Roman" w:eastAsia="宋体"/>
                      <w:caps w:val="0"/>
                      <w:color w:val="auto"/>
                      <w:szCs w:val="21"/>
                      <w:highlight w:val="none"/>
                      <w:vertAlign w:val="subscript"/>
                    </w:rPr>
                    <w:t>5</w:t>
                  </w:r>
                  <w:r>
                    <w:rPr>
                      <w:rFonts w:ascii="Times New Roman" w:hAnsi="Times New Roman" w:eastAsia="宋体"/>
                      <w:caps w:val="0"/>
                      <w:color w:val="auto"/>
                      <w:szCs w:val="21"/>
                      <w:highlight w:val="none"/>
                    </w:rPr>
                    <w:t>、氨氮、SS、动植物油</w:t>
                  </w:r>
                </w:p>
              </w:tc>
              <w:tc>
                <w:tcPr>
                  <w:tcW w:w="1441" w:type="pct"/>
                  <w:tcBorders>
                    <w:tl2br w:val="nil"/>
                    <w:tr2bl w:val="nil"/>
                  </w:tcBorders>
                  <w:vAlign w:val="center"/>
                </w:tcPr>
                <w:p w14:paraId="7D1B9744">
                  <w:pPr>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kern w:val="0"/>
                      <w:szCs w:val="21"/>
                      <w:highlight w:val="none"/>
                    </w:rPr>
                    <w:t>化粪池</w:t>
                  </w:r>
                  <w:r>
                    <w:rPr>
                      <w:rFonts w:hint="eastAsia"/>
                      <w:caps w:val="0"/>
                      <w:color w:val="auto"/>
                      <w:kern w:val="0"/>
                      <w:szCs w:val="21"/>
                      <w:highlight w:val="none"/>
                      <w:lang w:eastAsia="zh-CN"/>
                    </w:rPr>
                    <w:t>、</w:t>
                  </w:r>
                  <w:r>
                    <w:rPr>
                      <w:rFonts w:hint="eastAsia"/>
                      <w:caps w:val="0"/>
                      <w:color w:val="auto"/>
                      <w:kern w:val="0"/>
                      <w:szCs w:val="21"/>
                      <w:highlight w:val="none"/>
                      <w:lang w:val="en-US" w:eastAsia="zh-CN"/>
                    </w:rPr>
                    <w:t>隔油池</w:t>
                  </w:r>
                </w:p>
              </w:tc>
              <w:tc>
                <w:tcPr>
                  <w:tcW w:w="795" w:type="pct"/>
                  <w:vMerge w:val="restart"/>
                  <w:tcBorders>
                    <w:tl2br w:val="nil"/>
                    <w:tr2bl w:val="nil"/>
                  </w:tcBorders>
                  <w:vAlign w:val="center"/>
                </w:tcPr>
                <w:p w14:paraId="094256B9">
                  <w:pPr>
                    <w:jc w:val="center"/>
                    <w:rPr>
                      <w:rFonts w:ascii="Times New Roman" w:hAnsi="Times New Roman" w:eastAsia="宋体"/>
                      <w:caps w:val="0"/>
                      <w:color w:val="auto"/>
                      <w:szCs w:val="21"/>
                      <w:highlight w:val="none"/>
                    </w:rPr>
                  </w:pPr>
                  <w:r>
                    <w:rPr>
                      <w:rFonts w:ascii="Times New Roman" w:hAnsi="Times New Roman" w:eastAsia="宋体"/>
                      <w:caps w:val="0"/>
                      <w:color w:val="auto"/>
                      <w:highlight w:val="none"/>
                    </w:rPr>
                    <w:t>一般排放口</w:t>
                  </w:r>
                </w:p>
              </w:tc>
            </w:tr>
            <w:tr w14:paraId="2CD741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1" w:type="pct"/>
                  <w:gridSpan w:val="2"/>
                  <w:vMerge w:val="continue"/>
                  <w:tcBorders>
                    <w:tl2br w:val="nil"/>
                    <w:tr2bl w:val="nil"/>
                  </w:tcBorders>
                  <w:vAlign w:val="center"/>
                </w:tcPr>
                <w:p w14:paraId="7C883E93">
                  <w:pPr>
                    <w:jc w:val="center"/>
                    <w:rPr>
                      <w:rFonts w:ascii="Times New Roman" w:hAnsi="Times New Roman" w:eastAsia="宋体"/>
                      <w:caps w:val="0"/>
                      <w:color w:val="auto"/>
                      <w:szCs w:val="21"/>
                      <w:highlight w:val="none"/>
                    </w:rPr>
                  </w:pPr>
                </w:p>
              </w:tc>
              <w:tc>
                <w:tcPr>
                  <w:tcW w:w="983" w:type="pct"/>
                  <w:tcBorders>
                    <w:tl2br w:val="nil"/>
                    <w:tr2bl w:val="nil"/>
                  </w:tcBorders>
                  <w:vAlign w:val="center"/>
                </w:tcPr>
                <w:p w14:paraId="368B5F9D">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循环废水</w:t>
                  </w:r>
                </w:p>
              </w:tc>
              <w:tc>
                <w:tcPr>
                  <w:tcW w:w="1088" w:type="pct"/>
                  <w:tcBorders>
                    <w:tl2br w:val="nil"/>
                    <w:tr2bl w:val="nil"/>
                  </w:tcBorders>
                  <w:vAlign w:val="center"/>
                </w:tcPr>
                <w:p w14:paraId="47321127">
                  <w:pPr>
                    <w:jc w:val="center"/>
                    <w:rPr>
                      <w:rFonts w:ascii="Times New Roman" w:hAnsi="Times New Roman" w:eastAsia="宋体"/>
                      <w:caps w:val="0"/>
                      <w:color w:val="auto"/>
                      <w:szCs w:val="21"/>
                      <w:highlight w:val="none"/>
                    </w:rPr>
                  </w:pPr>
                  <w:r>
                    <w:rPr>
                      <w:color w:val="auto"/>
                      <w:szCs w:val="21"/>
                    </w:rPr>
                    <w:t>pH、COD、BOD</w:t>
                  </w:r>
                  <w:r>
                    <w:rPr>
                      <w:color w:val="auto"/>
                      <w:szCs w:val="21"/>
                      <w:vertAlign w:val="subscript"/>
                    </w:rPr>
                    <w:t>5</w:t>
                  </w:r>
                  <w:r>
                    <w:rPr>
                      <w:color w:val="auto"/>
                      <w:szCs w:val="21"/>
                    </w:rPr>
                    <w:t>、SS、氨氮</w:t>
                  </w:r>
                </w:p>
              </w:tc>
              <w:tc>
                <w:tcPr>
                  <w:tcW w:w="1441" w:type="pct"/>
                  <w:tcBorders>
                    <w:tl2br w:val="nil"/>
                    <w:tr2bl w:val="nil"/>
                  </w:tcBorders>
                  <w:vAlign w:val="center"/>
                </w:tcPr>
                <w:p w14:paraId="65F52B2E">
                  <w:pPr>
                    <w:jc w:val="center"/>
                    <w:rPr>
                      <w:rFonts w:hint="eastAsia" w:ascii="Times New Roman" w:hAnsi="Times New Roman" w:eastAsia="宋体"/>
                      <w:caps w:val="0"/>
                      <w:color w:val="auto"/>
                      <w:kern w:val="0"/>
                      <w:szCs w:val="21"/>
                      <w:highlight w:val="none"/>
                      <w:lang w:val="en-US" w:eastAsia="zh-CN"/>
                    </w:rPr>
                  </w:pPr>
                  <w:r>
                    <w:rPr>
                      <w:rFonts w:hint="eastAsia"/>
                      <w:caps w:val="0"/>
                      <w:color w:val="auto"/>
                      <w:kern w:val="0"/>
                      <w:szCs w:val="21"/>
                      <w:highlight w:val="none"/>
                      <w:lang w:val="en-US" w:eastAsia="zh-CN"/>
                    </w:rPr>
                    <w:t>沉淀池</w:t>
                  </w:r>
                </w:p>
              </w:tc>
              <w:tc>
                <w:tcPr>
                  <w:tcW w:w="795" w:type="pct"/>
                  <w:vMerge w:val="continue"/>
                  <w:tcBorders>
                    <w:tl2br w:val="nil"/>
                    <w:tr2bl w:val="nil"/>
                  </w:tcBorders>
                  <w:vAlign w:val="center"/>
                </w:tcPr>
                <w:p w14:paraId="3710AF09">
                  <w:pPr>
                    <w:jc w:val="center"/>
                    <w:rPr>
                      <w:rFonts w:hint="default" w:ascii="Times New Roman" w:hAnsi="Times New Roman" w:eastAsia="宋体"/>
                      <w:caps w:val="0"/>
                      <w:color w:val="auto"/>
                      <w:highlight w:val="none"/>
                      <w:lang w:val="en-US" w:eastAsia="zh-CN"/>
                    </w:rPr>
                  </w:pPr>
                </w:p>
              </w:tc>
            </w:tr>
            <w:tr w14:paraId="3932B6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691" w:type="pct"/>
                  <w:gridSpan w:val="2"/>
                  <w:vMerge w:val="continue"/>
                  <w:tcBorders>
                    <w:tl2br w:val="nil"/>
                    <w:tr2bl w:val="nil"/>
                  </w:tcBorders>
                  <w:vAlign w:val="center"/>
                </w:tcPr>
                <w:p w14:paraId="7EC01384">
                  <w:pPr>
                    <w:jc w:val="center"/>
                    <w:rPr>
                      <w:rFonts w:ascii="Times New Roman" w:hAnsi="Times New Roman" w:eastAsia="宋体"/>
                      <w:caps w:val="0"/>
                      <w:color w:val="auto"/>
                      <w:szCs w:val="21"/>
                      <w:highlight w:val="none"/>
                    </w:rPr>
                  </w:pPr>
                </w:p>
              </w:tc>
              <w:tc>
                <w:tcPr>
                  <w:tcW w:w="983" w:type="pct"/>
                  <w:tcBorders>
                    <w:tl2br w:val="nil"/>
                    <w:tr2bl w:val="nil"/>
                  </w:tcBorders>
                  <w:vAlign w:val="center"/>
                </w:tcPr>
                <w:p w14:paraId="092EB664">
                  <w:pPr>
                    <w:jc w:val="center"/>
                    <w:rPr>
                      <w:rFonts w:hint="default"/>
                      <w:caps w:val="0"/>
                      <w:color w:val="auto"/>
                      <w:szCs w:val="21"/>
                      <w:highlight w:val="none"/>
                      <w:lang w:val="en-US" w:eastAsia="zh-CN"/>
                    </w:rPr>
                  </w:pPr>
                  <w:r>
                    <w:rPr>
                      <w:rFonts w:hint="eastAsia"/>
                      <w:caps w:val="0"/>
                      <w:color w:val="auto"/>
                      <w:szCs w:val="21"/>
                      <w:highlight w:val="none"/>
                      <w:lang w:val="en-US" w:eastAsia="zh-CN"/>
                    </w:rPr>
                    <w:t>冷却塔废水</w:t>
                  </w:r>
                </w:p>
              </w:tc>
              <w:tc>
                <w:tcPr>
                  <w:tcW w:w="1088" w:type="pct"/>
                  <w:tcBorders>
                    <w:tl2br w:val="nil"/>
                    <w:tr2bl w:val="nil"/>
                  </w:tcBorders>
                  <w:vAlign w:val="center"/>
                </w:tcPr>
                <w:p w14:paraId="2201F6D7">
                  <w:pPr>
                    <w:jc w:val="center"/>
                    <w:rPr>
                      <w:color w:val="auto"/>
                      <w:szCs w:val="21"/>
                    </w:rPr>
                  </w:pPr>
                  <w:r>
                    <w:rPr>
                      <w:color w:val="auto"/>
                      <w:szCs w:val="21"/>
                    </w:rPr>
                    <w:t>pH、COD、BOD</w:t>
                  </w:r>
                  <w:r>
                    <w:rPr>
                      <w:color w:val="auto"/>
                      <w:szCs w:val="21"/>
                      <w:vertAlign w:val="subscript"/>
                    </w:rPr>
                    <w:t>5</w:t>
                  </w:r>
                  <w:r>
                    <w:rPr>
                      <w:color w:val="auto"/>
                      <w:szCs w:val="21"/>
                    </w:rPr>
                    <w:t>、SS、氨氮</w:t>
                  </w:r>
                </w:p>
              </w:tc>
              <w:tc>
                <w:tcPr>
                  <w:tcW w:w="1441" w:type="pct"/>
                  <w:tcBorders>
                    <w:tl2br w:val="nil"/>
                    <w:tr2bl w:val="nil"/>
                  </w:tcBorders>
                  <w:vAlign w:val="center"/>
                </w:tcPr>
                <w:p w14:paraId="6B51AC50">
                  <w:pPr>
                    <w:jc w:val="center"/>
                    <w:rPr>
                      <w:rFonts w:hint="default"/>
                      <w:caps w:val="0"/>
                      <w:color w:val="auto"/>
                      <w:kern w:val="0"/>
                      <w:szCs w:val="21"/>
                      <w:highlight w:val="none"/>
                      <w:lang w:val="en-US" w:eastAsia="zh-CN"/>
                    </w:rPr>
                  </w:pPr>
                  <w:r>
                    <w:rPr>
                      <w:rFonts w:hint="eastAsia"/>
                      <w:caps w:val="0"/>
                      <w:color w:val="auto"/>
                      <w:kern w:val="0"/>
                      <w:szCs w:val="21"/>
                      <w:highlight w:val="none"/>
                      <w:lang w:val="en-US" w:eastAsia="zh-CN"/>
                    </w:rPr>
                    <w:t>/</w:t>
                  </w:r>
                </w:p>
              </w:tc>
              <w:tc>
                <w:tcPr>
                  <w:tcW w:w="795" w:type="pct"/>
                  <w:tcBorders>
                    <w:tl2br w:val="nil"/>
                    <w:tr2bl w:val="nil"/>
                  </w:tcBorders>
                  <w:vAlign w:val="center"/>
                </w:tcPr>
                <w:p w14:paraId="3715F226">
                  <w:pPr>
                    <w:jc w:val="center"/>
                    <w:rPr>
                      <w:rFonts w:hint="default" w:ascii="Times New Roman" w:hAnsi="Times New Roman" w:eastAsia="宋体"/>
                      <w:caps w:val="0"/>
                      <w:color w:val="auto"/>
                      <w:highlight w:val="none"/>
                      <w:lang w:val="en-US" w:eastAsia="zh-CN"/>
                    </w:rPr>
                  </w:pPr>
                  <w:r>
                    <w:rPr>
                      <w:rFonts w:hint="eastAsia"/>
                      <w:caps w:val="0"/>
                      <w:color w:val="auto"/>
                      <w:highlight w:val="none"/>
                      <w:lang w:val="en-US" w:eastAsia="zh-CN"/>
                    </w:rPr>
                    <w:t>循环使用，不外排</w:t>
                  </w:r>
                </w:p>
              </w:tc>
            </w:tr>
            <w:tr w14:paraId="73BEB4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1" w:type="pct"/>
                  <w:gridSpan w:val="2"/>
                  <w:tcBorders>
                    <w:tl2br w:val="nil"/>
                    <w:tr2bl w:val="nil"/>
                  </w:tcBorders>
                  <w:vAlign w:val="center"/>
                </w:tcPr>
                <w:p w14:paraId="7AE692C6">
                  <w:pPr>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噪声</w:t>
                  </w:r>
                </w:p>
              </w:tc>
              <w:tc>
                <w:tcPr>
                  <w:tcW w:w="983" w:type="pct"/>
                  <w:tcBorders>
                    <w:tl2br w:val="nil"/>
                    <w:tr2bl w:val="nil"/>
                  </w:tcBorders>
                  <w:vAlign w:val="center"/>
                </w:tcPr>
                <w:p w14:paraId="1F0A7D20">
                  <w:pPr>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生产设备运行</w:t>
                  </w:r>
                </w:p>
              </w:tc>
              <w:tc>
                <w:tcPr>
                  <w:tcW w:w="1088" w:type="pct"/>
                  <w:tcBorders>
                    <w:tl2br w:val="nil"/>
                    <w:tr2bl w:val="nil"/>
                  </w:tcBorders>
                  <w:vAlign w:val="center"/>
                </w:tcPr>
                <w:p w14:paraId="40771707">
                  <w:pPr>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生产设备噪声</w:t>
                  </w:r>
                </w:p>
              </w:tc>
              <w:tc>
                <w:tcPr>
                  <w:tcW w:w="1441" w:type="pct"/>
                  <w:tcBorders>
                    <w:tl2br w:val="nil"/>
                    <w:tr2bl w:val="nil"/>
                  </w:tcBorders>
                  <w:vAlign w:val="center"/>
                </w:tcPr>
                <w:p w14:paraId="67D2072D">
                  <w:pPr>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隔声、减振等</w:t>
                  </w:r>
                </w:p>
              </w:tc>
              <w:tc>
                <w:tcPr>
                  <w:tcW w:w="795" w:type="pct"/>
                  <w:tcBorders>
                    <w:tl2br w:val="nil"/>
                    <w:tr2bl w:val="nil"/>
                  </w:tcBorders>
                  <w:vAlign w:val="center"/>
                </w:tcPr>
                <w:p w14:paraId="2A2251EB">
                  <w:pPr>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w:t>
                  </w:r>
                </w:p>
              </w:tc>
            </w:tr>
            <w:tr w14:paraId="4B9D77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61" w:type="pct"/>
                  <w:vMerge w:val="restart"/>
                  <w:tcBorders>
                    <w:tl2br w:val="nil"/>
                    <w:tr2bl w:val="nil"/>
                  </w:tcBorders>
                  <w:vAlign w:val="center"/>
                </w:tcPr>
                <w:p w14:paraId="2A3E7402">
                  <w:pPr>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固体废物</w:t>
                  </w:r>
                </w:p>
              </w:tc>
              <w:tc>
                <w:tcPr>
                  <w:tcW w:w="429" w:type="pct"/>
                  <w:vMerge w:val="restart"/>
                  <w:tcBorders>
                    <w:tl2br w:val="nil"/>
                    <w:tr2bl w:val="nil"/>
                  </w:tcBorders>
                  <w:vAlign w:val="center"/>
                </w:tcPr>
                <w:p w14:paraId="34388293">
                  <w:pPr>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危险废物</w:t>
                  </w:r>
                </w:p>
              </w:tc>
              <w:tc>
                <w:tcPr>
                  <w:tcW w:w="983" w:type="pct"/>
                  <w:tcBorders>
                    <w:tl2br w:val="nil"/>
                    <w:tr2bl w:val="nil"/>
                  </w:tcBorders>
                  <w:vAlign w:val="center"/>
                </w:tcPr>
                <w:p w14:paraId="6E8FCA96">
                  <w:pPr>
                    <w:jc w:val="center"/>
                    <w:rPr>
                      <w:rFonts w:ascii="Times New Roman" w:hAnsi="Times New Roman" w:eastAsia="宋体"/>
                      <w:caps w:val="0"/>
                      <w:color w:val="auto"/>
                      <w:szCs w:val="21"/>
                      <w:highlight w:val="none"/>
                    </w:rPr>
                  </w:pPr>
                  <w:r>
                    <w:rPr>
                      <w:rFonts w:hint="eastAsia"/>
                      <w:color w:val="auto"/>
                      <w:szCs w:val="21"/>
                    </w:rPr>
                    <w:t>切割下料</w:t>
                  </w:r>
                </w:p>
              </w:tc>
              <w:tc>
                <w:tcPr>
                  <w:tcW w:w="1088" w:type="pct"/>
                  <w:tcBorders>
                    <w:tl2br w:val="nil"/>
                    <w:tr2bl w:val="nil"/>
                  </w:tcBorders>
                  <w:vAlign w:val="center"/>
                </w:tcPr>
                <w:p w14:paraId="1172E1C6">
                  <w:pPr>
                    <w:jc w:val="center"/>
                    <w:rPr>
                      <w:rFonts w:ascii="Times New Roman" w:hAnsi="Times New Roman" w:eastAsia="宋体"/>
                      <w:caps w:val="0"/>
                      <w:color w:val="auto"/>
                      <w:kern w:val="0"/>
                      <w:szCs w:val="21"/>
                      <w:highlight w:val="none"/>
                    </w:rPr>
                  </w:pPr>
                  <w:r>
                    <w:rPr>
                      <w:rFonts w:hint="eastAsia"/>
                      <w:color w:val="auto"/>
                      <w:szCs w:val="21"/>
                    </w:rPr>
                    <w:t>废切削液</w:t>
                  </w:r>
                </w:p>
              </w:tc>
              <w:tc>
                <w:tcPr>
                  <w:tcW w:w="1441" w:type="pct"/>
                  <w:vMerge w:val="restart"/>
                  <w:tcBorders>
                    <w:tl2br w:val="nil"/>
                    <w:tr2bl w:val="nil"/>
                  </w:tcBorders>
                  <w:vAlign w:val="center"/>
                </w:tcPr>
                <w:p w14:paraId="0DDC9D81">
                  <w:pPr>
                    <w:jc w:val="center"/>
                    <w:rPr>
                      <w:rFonts w:ascii="Times New Roman" w:hAnsi="Times New Roman" w:eastAsia="宋体"/>
                      <w:caps w:val="0"/>
                      <w:color w:val="auto"/>
                      <w:kern w:val="0"/>
                      <w:szCs w:val="21"/>
                      <w:highlight w:val="none"/>
                    </w:rPr>
                  </w:pPr>
                  <w:r>
                    <w:rPr>
                      <w:rFonts w:hint="eastAsia" w:ascii="Times New Roman" w:hAnsi="Times New Roman" w:eastAsia="宋体"/>
                      <w:caps w:val="0"/>
                      <w:color w:val="auto"/>
                      <w:kern w:val="0"/>
                      <w:szCs w:val="21"/>
                      <w:highlight w:val="none"/>
                    </w:rPr>
                    <w:t>暂存于危废暂存库内，定期交由有处理资质的单位处置</w:t>
                  </w:r>
                </w:p>
              </w:tc>
              <w:tc>
                <w:tcPr>
                  <w:tcW w:w="795" w:type="pct"/>
                  <w:vMerge w:val="restart"/>
                  <w:tcBorders>
                    <w:tl2br w:val="nil"/>
                    <w:tr2bl w:val="nil"/>
                  </w:tcBorders>
                  <w:vAlign w:val="center"/>
                </w:tcPr>
                <w:p w14:paraId="626CEC6D">
                  <w:pPr>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w:t>
                  </w:r>
                </w:p>
              </w:tc>
            </w:tr>
            <w:tr w14:paraId="0D2A64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61" w:type="pct"/>
                  <w:vMerge w:val="continue"/>
                  <w:tcBorders>
                    <w:tl2br w:val="nil"/>
                    <w:tr2bl w:val="nil"/>
                  </w:tcBorders>
                  <w:vAlign w:val="center"/>
                </w:tcPr>
                <w:p w14:paraId="58DDFC3F">
                  <w:pPr>
                    <w:jc w:val="center"/>
                    <w:rPr>
                      <w:rFonts w:ascii="Times New Roman" w:hAnsi="Times New Roman" w:eastAsia="宋体"/>
                      <w:caps w:val="0"/>
                      <w:color w:val="auto"/>
                      <w:szCs w:val="21"/>
                      <w:highlight w:val="none"/>
                    </w:rPr>
                  </w:pPr>
                </w:p>
              </w:tc>
              <w:tc>
                <w:tcPr>
                  <w:tcW w:w="429" w:type="pct"/>
                  <w:vMerge w:val="continue"/>
                  <w:tcBorders>
                    <w:tl2br w:val="nil"/>
                    <w:tr2bl w:val="nil"/>
                  </w:tcBorders>
                  <w:vAlign w:val="center"/>
                </w:tcPr>
                <w:p w14:paraId="02FC2FB9">
                  <w:pPr>
                    <w:jc w:val="center"/>
                    <w:rPr>
                      <w:rFonts w:ascii="Times New Roman" w:hAnsi="Times New Roman" w:eastAsia="宋体"/>
                      <w:caps w:val="0"/>
                      <w:color w:val="auto"/>
                      <w:szCs w:val="21"/>
                      <w:highlight w:val="none"/>
                    </w:rPr>
                  </w:pPr>
                </w:p>
              </w:tc>
              <w:tc>
                <w:tcPr>
                  <w:tcW w:w="983" w:type="pct"/>
                  <w:tcBorders>
                    <w:tl2br w:val="nil"/>
                    <w:tr2bl w:val="nil"/>
                  </w:tcBorders>
                  <w:vAlign w:val="center"/>
                </w:tcPr>
                <w:p w14:paraId="7404D801">
                  <w:pPr>
                    <w:jc w:val="center"/>
                    <w:rPr>
                      <w:rFonts w:ascii="Times New Roman" w:hAnsi="Times New Roman" w:eastAsia="宋体"/>
                      <w:caps w:val="0"/>
                      <w:color w:val="auto"/>
                      <w:szCs w:val="21"/>
                      <w:highlight w:val="none"/>
                    </w:rPr>
                  </w:pPr>
                  <w:r>
                    <w:rPr>
                      <w:rFonts w:hint="eastAsia"/>
                      <w:color w:val="auto"/>
                      <w:szCs w:val="21"/>
                    </w:rPr>
                    <w:t>设备维护</w:t>
                  </w:r>
                </w:p>
              </w:tc>
              <w:tc>
                <w:tcPr>
                  <w:tcW w:w="1088" w:type="pct"/>
                  <w:tcBorders>
                    <w:tl2br w:val="nil"/>
                    <w:tr2bl w:val="nil"/>
                  </w:tcBorders>
                  <w:vAlign w:val="center"/>
                </w:tcPr>
                <w:p w14:paraId="54297567">
                  <w:pPr>
                    <w:jc w:val="center"/>
                    <w:rPr>
                      <w:rFonts w:ascii="Times New Roman" w:hAnsi="Times New Roman" w:eastAsia="宋体"/>
                      <w:caps w:val="0"/>
                      <w:color w:val="auto"/>
                      <w:szCs w:val="21"/>
                      <w:highlight w:val="none"/>
                    </w:rPr>
                  </w:pPr>
                  <w:r>
                    <w:rPr>
                      <w:rFonts w:hint="eastAsia"/>
                      <w:color w:val="auto"/>
                      <w:szCs w:val="21"/>
                    </w:rPr>
                    <w:t>废润滑油</w:t>
                  </w:r>
                </w:p>
              </w:tc>
              <w:tc>
                <w:tcPr>
                  <w:tcW w:w="1441" w:type="pct"/>
                  <w:vMerge w:val="continue"/>
                  <w:tcBorders>
                    <w:tl2br w:val="nil"/>
                    <w:tr2bl w:val="nil"/>
                  </w:tcBorders>
                  <w:vAlign w:val="center"/>
                </w:tcPr>
                <w:p w14:paraId="611D9C91">
                  <w:pPr>
                    <w:jc w:val="center"/>
                    <w:rPr>
                      <w:rFonts w:ascii="Times New Roman" w:hAnsi="Times New Roman" w:eastAsia="宋体"/>
                      <w:caps w:val="0"/>
                      <w:color w:val="auto"/>
                      <w:kern w:val="0"/>
                      <w:szCs w:val="21"/>
                      <w:highlight w:val="none"/>
                    </w:rPr>
                  </w:pPr>
                </w:p>
              </w:tc>
              <w:tc>
                <w:tcPr>
                  <w:tcW w:w="795" w:type="pct"/>
                  <w:vMerge w:val="continue"/>
                  <w:tcBorders>
                    <w:tl2br w:val="nil"/>
                    <w:tr2bl w:val="nil"/>
                  </w:tcBorders>
                  <w:vAlign w:val="center"/>
                </w:tcPr>
                <w:p w14:paraId="7ACCED68">
                  <w:pPr>
                    <w:jc w:val="center"/>
                    <w:rPr>
                      <w:rFonts w:ascii="Times New Roman" w:hAnsi="Times New Roman" w:eastAsia="宋体"/>
                      <w:caps w:val="0"/>
                      <w:color w:val="auto"/>
                      <w:szCs w:val="21"/>
                      <w:highlight w:val="none"/>
                    </w:rPr>
                  </w:pPr>
                </w:p>
              </w:tc>
            </w:tr>
            <w:tr w14:paraId="508DBE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61" w:type="pct"/>
                  <w:vMerge w:val="continue"/>
                  <w:tcBorders>
                    <w:tl2br w:val="nil"/>
                    <w:tr2bl w:val="nil"/>
                  </w:tcBorders>
                  <w:vAlign w:val="center"/>
                </w:tcPr>
                <w:p w14:paraId="7AF1F6F1">
                  <w:pPr>
                    <w:jc w:val="center"/>
                    <w:rPr>
                      <w:rFonts w:ascii="Times New Roman" w:hAnsi="Times New Roman" w:eastAsia="宋体"/>
                      <w:caps w:val="0"/>
                      <w:color w:val="auto"/>
                      <w:szCs w:val="21"/>
                      <w:highlight w:val="none"/>
                    </w:rPr>
                  </w:pPr>
                </w:p>
              </w:tc>
              <w:tc>
                <w:tcPr>
                  <w:tcW w:w="429" w:type="pct"/>
                  <w:vMerge w:val="continue"/>
                  <w:tcBorders>
                    <w:tl2br w:val="nil"/>
                    <w:tr2bl w:val="nil"/>
                  </w:tcBorders>
                  <w:vAlign w:val="center"/>
                </w:tcPr>
                <w:p w14:paraId="39B4797A">
                  <w:pPr>
                    <w:jc w:val="center"/>
                    <w:rPr>
                      <w:rFonts w:ascii="Times New Roman" w:hAnsi="Times New Roman" w:eastAsia="宋体"/>
                      <w:caps w:val="0"/>
                      <w:color w:val="auto"/>
                      <w:szCs w:val="21"/>
                      <w:highlight w:val="none"/>
                    </w:rPr>
                  </w:pPr>
                </w:p>
              </w:tc>
              <w:tc>
                <w:tcPr>
                  <w:tcW w:w="983" w:type="pct"/>
                  <w:tcBorders>
                    <w:tl2br w:val="nil"/>
                    <w:tr2bl w:val="nil"/>
                  </w:tcBorders>
                  <w:vAlign w:val="center"/>
                </w:tcPr>
                <w:p w14:paraId="43988B37">
                  <w:pPr>
                    <w:jc w:val="center"/>
                    <w:rPr>
                      <w:rFonts w:ascii="Times New Roman" w:hAnsi="Times New Roman" w:eastAsia="宋体"/>
                      <w:caps w:val="0"/>
                      <w:color w:val="auto"/>
                      <w:szCs w:val="21"/>
                      <w:highlight w:val="none"/>
                    </w:rPr>
                  </w:pPr>
                  <w:r>
                    <w:rPr>
                      <w:rFonts w:hint="eastAsia"/>
                      <w:color w:val="auto"/>
                      <w:szCs w:val="21"/>
                    </w:rPr>
                    <w:t>设备维护</w:t>
                  </w:r>
                </w:p>
              </w:tc>
              <w:tc>
                <w:tcPr>
                  <w:tcW w:w="1088" w:type="pct"/>
                  <w:tcBorders>
                    <w:tl2br w:val="nil"/>
                    <w:tr2bl w:val="nil"/>
                  </w:tcBorders>
                  <w:vAlign w:val="center"/>
                </w:tcPr>
                <w:p w14:paraId="62266275">
                  <w:pPr>
                    <w:jc w:val="center"/>
                    <w:rPr>
                      <w:rFonts w:ascii="Times New Roman" w:hAnsi="Times New Roman" w:eastAsia="宋体"/>
                      <w:caps w:val="0"/>
                      <w:color w:val="auto"/>
                      <w:szCs w:val="21"/>
                      <w:highlight w:val="none"/>
                    </w:rPr>
                  </w:pPr>
                  <w:r>
                    <w:rPr>
                      <w:rFonts w:hint="eastAsia"/>
                      <w:color w:val="auto"/>
                      <w:szCs w:val="21"/>
                    </w:rPr>
                    <w:t>废</w:t>
                  </w:r>
                  <w:r>
                    <w:rPr>
                      <w:rFonts w:hint="eastAsia"/>
                      <w:color w:val="auto"/>
                      <w:szCs w:val="21"/>
                      <w:lang w:val="en-US" w:eastAsia="zh-CN"/>
                    </w:rPr>
                    <w:t>润滑</w:t>
                  </w:r>
                  <w:r>
                    <w:rPr>
                      <w:rFonts w:hint="eastAsia"/>
                      <w:color w:val="auto"/>
                      <w:szCs w:val="21"/>
                    </w:rPr>
                    <w:t>油桶</w:t>
                  </w:r>
                </w:p>
              </w:tc>
              <w:tc>
                <w:tcPr>
                  <w:tcW w:w="1441" w:type="pct"/>
                  <w:vMerge w:val="continue"/>
                  <w:tcBorders>
                    <w:tl2br w:val="nil"/>
                    <w:tr2bl w:val="nil"/>
                  </w:tcBorders>
                  <w:vAlign w:val="center"/>
                </w:tcPr>
                <w:p w14:paraId="7403ECAB">
                  <w:pPr>
                    <w:jc w:val="center"/>
                    <w:rPr>
                      <w:rFonts w:ascii="Times New Roman" w:hAnsi="Times New Roman" w:eastAsia="宋体"/>
                      <w:caps w:val="0"/>
                      <w:color w:val="auto"/>
                      <w:kern w:val="0"/>
                      <w:szCs w:val="21"/>
                      <w:highlight w:val="none"/>
                    </w:rPr>
                  </w:pPr>
                </w:p>
              </w:tc>
              <w:tc>
                <w:tcPr>
                  <w:tcW w:w="795" w:type="pct"/>
                  <w:vMerge w:val="continue"/>
                  <w:tcBorders>
                    <w:tl2br w:val="nil"/>
                    <w:tr2bl w:val="nil"/>
                  </w:tcBorders>
                  <w:vAlign w:val="center"/>
                </w:tcPr>
                <w:p w14:paraId="33BCE68C">
                  <w:pPr>
                    <w:jc w:val="center"/>
                    <w:rPr>
                      <w:rFonts w:ascii="Times New Roman" w:hAnsi="Times New Roman" w:eastAsia="宋体"/>
                      <w:caps w:val="0"/>
                      <w:color w:val="auto"/>
                      <w:szCs w:val="21"/>
                      <w:highlight w:val="none"/>
                    </w:rPr>
                  </w:pPr>
                </w:p>
              </w:tc>
            </w:tr>
            <w:tr w14:paraId="6E7BC3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61" w:type="pct"/>
                  <w:vMerge w:val="continue"/>
                  <w:tcBorders>
                    <w:tl2br w:val="nil"/>
                    <w:tr2bl w:val="nil"/>
                  </w:tcBorders>
                  <w:vAlign w:val="center"/>
                </w:tcPr>
                <w:p w14:paraId="08C00CE6">
                  <w:pPr>
                    <w:jc w:val="center"/>
                    <w:rPr>
                      <w:rFonts w:ascii="Times New Roman" w:hAnsi="Times New Roman" w:eastAsia="宋体"/>
                      <w:caps w:val="0"/>
                      <w:color w:val="auto"/>
                      <w:szCs w:val="21"/>
                      <w:highlight w:val="none"/>
                    </w:rPr>
                  </w:pPr>
                </w:p>
              </w:tc>
              <w:tc>
                <w:tcPr>
                  <w:tcW w:w="429" w:type="pct"/>
                  <w:vMerge w:val="continue"/>
                  <w:tcBorders>
                    <w:tl2br w:val="nil"/>
                    <w:tr2bl w:val="nil"/>
                  </w:tcBorders>
                  <w:vAlign w:val="center"/>
                </w:tcPr>
                <w:p w14:paraId="19C446BC">
                  <w:pPr>
                    <w:jc w:val="center"/>
                    <w:rPr>
                      <w:rFonts w:ascii="Times New Roman" w:hAnsi="Times New Roman" w:eastAsia="宋体"/>
                      <w:caps w:val="0"/>
                      <w:color w:val="auto"/>
                      <w:szCs w:val="21"/>
                      <w:highlight w:val="none"/>
                    </w:rPr>
                  </w:pPr>
                </w:p>
              </w:tc>
              <w:tc>
                <w:tcPr>
                  <w:tcW w:w="983" w:type="pct"/>
                  <w:tcBorders>
                    <w:tl2br w:val="nil"/>
                    <w:tr2bl w:val="nil"/>
                  </w:tcBorders>
                  <w:vAlign w:val="center"/>
                </w:tcPr>
                <w:p w14:paraId="739BE5BB">
                  <w:pPr>
                    <w:jc w:val="center"/>
                    <w:rPr>
                      <w:rFonts w:ascii="Times New Roman" w:hAnsi="Times New Roman" w:eastAsia="宋体"/>
                      <w:caps w:val="0"/>
                      <w:color w:val="auto"/>
                      <w:szCs w:val="21"/>
                      <w:highlight w:val="none"/>
                    </w:rPr>
                  </w:pPr>
                  <w:r>
                    <w:rPr>
                      <w:rFonts w:hint="eastAsia"/>
                      <w:color w:val="auto"/>
                      <w:szCs w:val="21"/>
                    </w:rPr>
                    <w:t>废气处理</w:t>
                  </w:r>
                </w:p>
              </w:tc>
              <w:tc>
                <w:tcPr>
                  <w:tcW w:w="1088" w:type="pct"/>
                  <w:tcBorders>
                    <w:tl2br w:val="nil"/>
                    <w:tr2bl w:val="nil"/>
                  </w:tcBorders>
                  <w:vAlign w:val="center"/>
                </w:tcPr>
                <w:p w14:paraId="0D67CF24">
                  <w:pPr>
                    <w:jc w:val="center"/>
                    <w:rPr>
                      <w:rFonts w:ascii="Times New Roman" w:hAnsi="Times New Roman" w:eastAsia="宋体"/>
                      <w:caps w:val="0"/>
                      <w:color w:val="auto"/>
                      <w:szCs w:val="21"/>
                      <w:highlight w:val="none"/>
                    </w:rPr>
                  </w:pPr>
                  <w:r>
                    <w:rPr>
                      <w:color w:val="auto"/>
                      <w:szCs w:val="21"/>
                    </w:rPr>
                    <w:t>废活性炭</w:t>
                  </w:r>
                </w:p>
              </w:tc>
              <w:tc>
                <w:tcPr>
                  <w:tcW w:w="1441" w:type="pct"/>
                  <w:vMerge w:val="continue"/>
                  <w:tcBorders>
                    <w:tl2br w:val="nil"/>
                    <w:tr2bl w:val="nil"/>
                  </w:tcBorders>
                  <w:vAlign w:val="center"/>
                </w:tcPr>
                <w:p w14:paraId="0AD4285D">
                  <w:pPr>
                    <w:jc w:val="center"/>
                    <w:rPr>
                      <w:rFonts w:ascii="Times New Roman" w:hAnsi="Times New Roman" w:eastAsia="宋体"/>
                      <w:caps w:val="0"/>
                      <w:color w:val="auto"/>
                      <w:kern w:val="0"/>
                      <w:szCs w:val="21"/>
                      <w:highlight w:val="none"/>
                    </w:rPr>
                  </w:pPr>
                </w:p>
              </w:tc>
              <w:tc>
                <w:tcPr>
                  <w:tcW w:w="795" w:type="pct"/>
                  <w:vMerge w:val="continue"/>
                  <w:tcBorders>
                    <w:tl2br w:val="nil"/>
                    <w:tr2bl w:val="nil"/>
                  </w:tcBorders>
                  <w:vAlign w:val="center"/>
                </w:tcPr>
                <w:p w14:paraId="3055D814">
                  <w:pPr>
                    <w:jc w:val="center"/>
                    <w:rPr>
                      <w:rFonts w:ascii="Times New Roman" w:hAnsi="Times New Roman" w:eastAsia="宋体"/>
                      <w:caps w:val="0"/>
                      <w:color w:val="auto"/>
                      <w:szCs w:val="21"/>
                      <w:highlight w:val="none"/>
                    </w:rPr>
                  </w:pPr>
                </w:p>
              </w:tc>
            </w:tr>
            <w:tr w14:paraId="7B2792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61" w:type="pct"/>
                  <w:vMerge w:val="continue"/>
                  <w:tcBorders>
                    <w:tl2br w:val="nil"/>
                    <w:tr2bl w:val="nil"/>
                  </w:tcBorders>
                  <w:vAlign w:val="center"/>
                </w:tcPr>
                <w:p w14:paraId="2ABDB7FD">
                  <w:pPr>
                    <w:jc w:val="center"/>
                    <w:rPr>
                      <w:rFonts w:ascii="Times New Roman" w:hAnsi="Times New Roman" w:eastAsia="宋体"/>
                      <w:caps w:val="0"/>
                      <w:color w:val="auto"/>
                      <w:szCs w:val="21"/>
                      <w:highlight w:val="none"/>
                    </w:rPr>
                  </w:pPr>
                </w:p>
              </w:tc>
              <w:tc>
                <w:tcPr>
                  <w:tcW w:w="429" w:type="pct"/>
                  <w:vMerge w:val="restart"/>
                  <w:tcBorders>
                    <w:tl2br w:val="nil"/>
                    <w:tr2bl w:val="nil"/>
                  </w:tcBorders>
                  <w:vAlign w:val="center"/>
                </w:tcPr>
                <w:p w14:paraId="66EC6CD0">
                  <w:pPr>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一般固体废物</w:t>
                  </w:r>
                </w:p>
              </w:tc>
              <w:tc>
                <w:tcPr>
                  <w:tcW w:w="983" w:type="pct"/>
                  <w:tcBorders>
                    <w:tl2br w:val="nil"/>
                    <w:tr2bl w:val="nil"/>
                  </w:tcBorders>
                  <w:vAlign w:val="center"/>
                </w:tcPr>
                <w:p w14:paraId="2F8456B1">
                  <w:pPr>
                    <w:jc w:val="center"/>
                    <w:rPr>
                      <w:rFonts w:ascii="Times New Roman" w:hAnsi="Times New Roman" w:eastAsia="宋体"/>
                      <w:caps w:val="0"/>
                      <w:color w:val="auto"/>
                      <w:szCs w:val="21"/>
                      <w:highlight w:val="none"/>
                    </w:rPr>
                  </w:pPr>
                  <w:r>
                    <w:rPr>
                      <w:rFonts w:hint="eastAsia"/>
                      <w:color w:val="auto"/>
                      <w:szCs w:val="21"/>
                    </w:rPr>
                    <w:t>去毛刺</w:t>
                  </w:r>
                </w:p>
              </w:tc>
              <w:tc>
                <w:tcPr>
                  <w:tcW w:w="1088" w:type="pct"/>
                  <w:tcBorders>
                    <w:tl2br w:val="nil"/>
                    <w:tr2bl w:val="nil"/>
                  </w:tcBorders>
                  <w:vAlign w:val="center"/>
                </w:tcPr>
                <w:p w14:paraId="7533A4CE">
                  <w:pPr>
                    <w:jc w:val="center"/>
                    <w:rPr>
                      <w:rFonts w:ascii="Times New Roman" w:hAnsi="Times New Roman" w:eastAsia="宋体"/>
                      <w:caps w:val="0"/>
                      <w:color w:val="auto"/>
                      <w:szCs w:val="21"/>
                      <w:highlight w:val="none"/>
                    </w:rPr>
                  </w:pPr>
                  <w:r>
                    <w:rPr>
                      <w:rFonts w:hint="eastAsia"/>
                      <w:color w:val="auto"/>
                      <w:szCs w:val="21"/>
                    </w:rPr>
                    <w:t>塑料边角料</w:t>
                  </w:r>
                </w:p>
              </w:tc>
              <w:tc>
                <w:tcPr>
                  <w:tcW w:w="1441" w:type="pct"/>
                  <w:tcBorders>
                    <w:tl2br w:val="nil"/>
                    <w:tr2bl w:val="nil"/>
                  </w:tcBorders>
                  <w:vAlign w:val="center"/>
                </w:tcPr>
                <w:p w14:paraId="0F046E20">
                  <w:pPr>
                    <w:jc w:val="center"/>
                    <w:rPr>
                      <w:rFonts w:ascii="Times New Roman" w:hAnsi="Times New Roman" w:eastAsia="宋体"/>
                      <w:caps w:val="0"/>
                      <w:color w:val="auto"/>
                      <w:kern w:val="0"/>
                      <w:szCs w:val="21"/>
                      <w:highlight w:val="none"/>
                    </w:rPr>
                  </w:pPr>
                  <w:r>
                    <w:rPr>
                      <w:rFonts w:hint="eastAsia"/>
                      <w:color w:val="auto"/>
                      <w:szCs w:val="21"/>
                    </w:rPr>
                    <w:t>破碎后回用</w:t>
                  </w:r>
                </w:p>
              </w:tc>
              <w:tc>
                <w:tcPr>
                  <w:tcW w:w="795" w:type="pct"/>
                  <w:vMerge w:val="continue"/>
                  <w:tcBorders>
                    <w:tl2br w:val="nil"/>
                    <w:tr2bl w:val="nil"/>
                  </w:tcBorders>
                  <w:vAlign w:val="center"/>
                </w:tcPr>
                <w:p w14:paraId="73564397">
                  <w:pPr>
                    <w:jc w:val="center"/>
                    <w:rPr>
                      <w:rFonts w:ascii="Times New Roman" w:hAnsi="Times New Roman" w:eastAsia="宋体"/>
                      <w:caps w:val="0"/>
                      <w:color w:val="auto"/>
                      <w:szCs w:val="21"/>
                      <w:highlight w:val="none"/>
                    </w:rPr>
                  </w:pPr>
                </w:p>
              </w:tc>
            </w:tr>
            <w:tr w14:paraId="543FBE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261" w:type="pct"/>
                  <w:vMerge w:val="continue"/>
                  <w:tcBorders>
                    <w:tl2br w:val="nil"/>
                    <w:tr2bl w:val="nil"/>
                  </w:tcBorders>
                  <w:vAlign w:val="center"/>
                </w:tcPr>
                <w:p w14:paraId="14452104">
                  <w:pPr>
                    <w:autoSpaceDE w:val="0"/>
                    <w:autoSpaceDN w:val="0"/>
                    <w:jc w:val="center"/>
                    <w:rPr>
                      <w:color w:val="auto"/>
                    </w:rPr>
                  </w:pPr>
                </w:p>
              </w:tc>
              <w:tc>
                <w:tcPr>
                  <w:tcW w:w="429" w:type="pct"/>
                  <w:vMerge w:val="continue"/>
                  <w:tcBorders>
                    <w:tl2br w:val="nil"/>
                    <w:tr2bl w:val="nil"/>
                  </w:tcBorders>
                  <w:vAlign w:val="center"/>
                </w:tcPr>
                <w:p w14:paraId="1542CD98">
                  <w:pPr>
                    <w:autoSpaceDE w:val="0"/>
                    <w:autoSpaceDN w:val="0"/>
                    <w:jc w:val="center"/>
                    <w:rPr>
                      <w:color w:val="auto"/>
                    </w:rPr>
                  </w:pPr>
                </w:p>
              </w:tc>
              <w:tc>
                <w:tcPr>
                  <w:tcW w:w="983" w:type="pct"/>
                  <w:tcBorders>
                    <w:tl2br w:val="nil"/>
                    <w:tr2bl w:val="nil"/>
                  </w:tcBorders>
                  <w:vAlign w:val="center"/>
                </w:tcPr>
                <w:p w14:paraId="56945182">
                  <w:pPr>
                    <w:jc w:val="center"/>
                    <w:rPr>
                      <w:rFonts w:hint="eastAsia" w:ascii="Times New Roman" w:hAnsi="Times New Roman" w:eastAsia="宋体"/>
                      <w:caps w:val="0"/>
                      <w:color w:val="auto"/>
                      <w:szCs w:val="21"/>
                      <w:highlight w:val="none"/>
                    </w:rPr>
                  </w:pPr>
                  <w:r>
                    <w:rPr>
                      <w:rFonts w:hint="eastAsia"/>
                      <w:color w:val="auto"/>
                      <w:szCs w:val="21"/>
                    </w:rPr>
                    <w:t>检验</w:t>
                  </w:r>
                </w:p>
              </w:tc>
              <w:tc>
                <w:tcPr>
                  <w:tcW w:w="1088" w:type="pct"/>
                  <w:tcBorders>
                    <w:tl2br w:val="nil"/>
                    <w:tr2bl w:val="nil"/>
                  </w:tcBorders>
                  <w:vAlign w:val="center"/>
                </w:tcPr>
                <w:p w14:paraId="74B03D37">
                  <w:pPr>
                    <w:jc w:val="center"/>
                    <w:rPr>
                      <w:rFonts w:hint="eastAsia" w:ascii="Times New Roman" w:hAnsi="Times New Roman" w:eastAsia="宋体"/>
                      <w:caps w:val="0"/>
                      <w:color w:val="auto"/>
                      <w:szCs w:val="21"/>
                      <w:highlight w:val="none"/>
                    </w:rPr>
                  </w:pPr>
                  <w:r>
                    <w:rPr>
                      <w:rFonts w:hint="eastAsia"/>
                      <w:color w:val="auto"/>
                      <w:szCs w:val="21"/>
                    </w:rPr>
                    <w:t>塑料不合格品</w:t>
                  </w:r>
                </w:p>
              </w:tc>
              <w:tc>
                <w:tcPr>
                  <w:tcW w:w="1441" w:type="pct"/>
                  <w:tcBorders>
                    <w:tl2br w:val="nil"/>
                    <w:tr2bl w:val="nil"/>
                  </w:tcBorders>
                  <w:vAlign w:val="center"/>
                </w:tcPr>
                <w:p w14:paraId="7E7E6A42">
                  <w:pPr>
                    <w:jc w:val="center"/>
                    <w:rPr>
                      <w:rFonts w:hint="eastAsia" w:ascii="Times New Roman" w:hAnsi="Times New Roman" w:eastAsia="宋体"/>
                      <w:caps w:val="0"/>
                      <w:color w:val="auto"/>
                      <w:szCs w:val="21"/>
                      <w:highlight w:val="none"/>
                    </w:rPr>
                  </w:pPr>
                  <w:r>
                    <w:rPr>
                      <w:color w:val="auto"/>
                      <w:szCs w:val="21"/>
                    </w:rPr>
                    <w:t>收集后外售</w:t>
                  </w:r>
                </w:p>
              </w:tc>
              <w:tc>
                <w:tcPr>
                  <w:tcW w:w="795" w:type="pct"/>
                  <w:vMerge w:val="continue"/>
                  <w:tcBorders>
                    <w:tl2br w:val="nil"/>
                    <w:tr2bl w:val="nil"/>
                  </w:tcBorders>
                  <w:vAlign w:val="center"/>
                </w:tcPr>
                <w:p w14:paraId="0229EC7F">
                  <w:pPr>
                    <w:autoSpaceDE w:val="0"/>
                    <w:autoSpaceDN w:val="0"/>
                    <w:jc w:val="center"/>
                    <w:rPr>
                      <w:rFonts w:hint="eastAsia" w:ascii="Times New Roman" w:hAnsi="Times New Roman" w:eastAsia="宋体"/>
                      <w:caps w:val="0"/>
                      <w:color w:val="auto"/>
                      <w:szCs w:val="21"/>
                      <w:highlight w:val="none"/>
                    </w:rPr>
                  </w:pPr>
                </w:p>
              </w:tc>
            </w:tr>
            <w:tr w14:paraId="17E01C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261" w:type="pct"/>
                  <w:vMerge w:val="continue"/>
                  <w:tcBorders>
                    <w:tl2br w:val="nil"/>
                    <w:tr2bl w:val="nil"/>
                  </w:tcBorders>
                  <w:vAlign w:val="center"/>
                </w:tcPr>
                <w:p w14:paraId="4A2E62CF">
                  <w:pPr>
                    <w:autoSpaceDE w:val="0"/>
                    <w:autoSpaceDN w:val="0"/>
                    <w:jc w:val="center"/>
                    <w:rPr>
                      <w:rFonts w:hint="eastAsia" w:ascii="Times New Roman" w:hAnsi="Times New Roman" w:eastAsia="宋体"/>
                      <w:caps w:val="0"/>
                      <w:color w:val="auto"/>
                      <w:szCs w:val="21"/>
                      <w:highlight w:val="none"/>
                    </w:rPr>
                  </w:pPr>
                </w:p>
              </w:tc>
              <w:tc>
                <w:tcPr>
                  <w:tcW w:w="429" w:type="pct"/>
                  <w:vMerge w:val="continue"/>
                  <w:tcBorders>
                    <w:tl2br w:val="nil"/>
                    <w:tr2bl w:val="nil"/>
                  </w:tcBorders>
                  <w:vAlign w:val="center"/>
                </w:tcPr>
                <w:p w14:paraId="500128FA">
                  <w:pPr>
                    <w:autoSpaceDE w:val="0"/>
                    <w:autoSpaceDN w:val="0"/>
                    <w:jc w:val="center"/>
                    <w:rPr>
                      <w:rFonts w:hint="eastAsia" w:ascii="Times New Roman" w:hAnsi="Times New Roman" w:eastAsia="宋体"/>
                      <w:caps w:val="0"/>
                      <w:color w:val="auto"/>
                      <w:szCs w:val="21"/>
                      <w:highlight w:val="none"/>
                    </w:rPr>
                  </w:pPr>
                </w:p>
              </w:tc>
              <w:tc>
                <w:tcPr>
                  <w:tcW w:w="983" w:type="pct"/>
                  <w:tcBorders>
                    <w:tl2br w:val="nil"/>
                    <w:tr2bl w:val="nil"/>
                  </w:tcBorders>
                  <w:vAlign w:val="center"/>
                </w:tcPr>
                <w:p w14:paraId="60B06347">
                  <w:pPr>
                    <w:jc w:val="center"/>
                    <w:rPr>
                      <w:rFonts w:hint="eastAsia" w:ascii="Times New Roman" w:hAnsi="Times New Roman" w:eastAsia="宋体"/>
                      <w:caps w:val="0"/>
                      <w:color w:val="auto"/>
                      <w:szCs w:val="21"/>
                      <w:highlight w:val="none"/>
                    </w:rPr>
                  </w:pPr>
                  <w:r>
                    <w:rPr>
                      <w:rFonts w:hint="eastAsia"/>
                      <w:color w:val="auto"/>
                      <w:szCs w:val="21"/>
                    </w:rPr>
                    <w:t>包装</w:t>
                  </w:r>
                </w:p>
              </w:tc>
              <w:tc>
                <w:tcPr>
                  <w:tcW w:w="1088" w:type="pct"/>
                  <w:tcBorders>
                    <w:tl2br w:val="nil"/>
                    <w:tr2bl w:val="nil"/>
                  </w:tcBorders>
                  <w:vAlign w:val="center"/>
                </w:tcPr>
                <w:p w14:paraId="69DA7F7C">
                  <w:pPr>
                    <w:jc w:val="center"/>
                    <w:rPr>
                      <w:rFonts w:hint="eastAsia" w:ascii="Times New Roman" w:hAnsi="Times New Roman" w:eastAsia="宋体"/>
                      <w:caps w:val="0"/>
                      <w:color w:val="auto"/>
                      <w:szCs w:val="21"/>
                      <w:highlight w:val="none"/>
                    </w:rPr>
                  </w:pPr>
                  <w:r>
                    <w:rPr>
                      <w:rFonts w:hint="eastAsia"/>
                      <w:color w:val="auto"/>
                      <w:szCs w:val="21"/>
                    </w:rPr>
                    <w:t>废包装材料</w:t>
                  </w:r>
                </w:p>
              </w:tc>
              <w:tc>
                <w:tcPr>
                  <w:tcW w:w="1441" w:type="pct"/>
                  <w:tcBorders>
                    <w:tl2br w:val="nil"/>
                    <w:tr2bl w:val="nil"/>
                  </w:tcBorders>
                  <w:vAlign w:val="center"/>
                </w:tcPr>
                <w:p w14:paraId="166063CC">
                  <w:pPr>
                    <w:jc w:val="center"/>
                    <w:rPr>
                      <w:rFonts w:hint="eastAsia" w:ascii="Times New Roman" w:hAnsi="Times New Roman" w:eastAsia="宋体"/>
                      <w:caps w:val="0"/>
                      <w:color w:val="auto"/>
                      <w:szCs w:val="21"/>
                      <w:highlight w:val="none"/>
                    </w:rPr>
                  </w:pPr>
                  <w:r>
                    <w:rPr>
                      <w:color w:val="auto"/>
                      <w:szCs w:val="21"/>
                    </w:rPr>
                    <w:t>收集后外售</w:t>
                  </w:r>
                </w:p>
              </w:tc>
              <w:tc>
                <w:tcPr>
                  <w:tcW w:w="795" w:type="pct"/>
                  <w:vMerge w:val="continue"/>
                  <w:tcBorders>
                    <w:tl2br w:val="nil"/>
                    <w:tr2bl w:val="nil"/>
                  </w:tcBorders>
                  <w:vAlign w:val="center"/>
                </w:tcPr>
                <w:p w14:paraId="04320FCD">
                  <w:pPr>
                    <w:autoSpaceDE w:val="0"/>
                    <w:autoSpaceDN w:val="0"/>
                    <w:jc w:val="center"/>
                    <w:rPr>
                      <w:rFonts w:hint="eastAsia" w:ascii="Times New Roman" w:hAnsi="Times New Roman" w:eastAsia="宋体"/>
                      <w:caps w:val="0"/>
                      <w:color w:val="auto"/>
                      <w:szCs w:val="21"/>
                      <w:highlight w:val="none"/>
                    </w:rPr>
                  </w:pPr>
                </w:p>
              </w:tc>
            </w:tr>
            <w:tr w14:paraId="28C1B0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261" w:type="pct"/>
                  <w:vMerge w:val="continue"/>
                  <w:tcBorders>
                    <w:tl2br w:val="nil"/>
                    <w:tr2bl w:val="nil"/>
                  </w:tcBorders>
                  <w:vAlign w:val="center"/>
                </w:tcPr>
                <w:p w14:paraId="79770011">
                  <w:pPr>
                    <w:autoSpaceDE w:val="0"/>
                    <w:autoSpaceDN w:val="0"/>
                    <w:jc w:val="center"/>
                    <w:rPr>
                      <w:rFonts w:hint="eastAsia" w:ascii="Times New Roman" w:hAnsi="Times New Roman" w:eastAsia="宋体"/>
                      <w:caps w:val="0"/>
                      <w:color w:val="auto"/>
                      <w:szCs w:val="21"/>
                      <w:highlight w:val="none"/>
                    </w:rPr>
                  </w:pPr>
                </w:p>
              </w:tc>
              <w:tc>
                <w:tcPr>
                  <w:tcW w:w="429" w:type="pct"/>
                  <w:vMerge w:val="continue"/>
                  <w:tcBorders>
                    <w:tl2br w:val="nil"/>
                    <w:tr2bl w:val="nil"/>
                  </w:tcBorders>
                  <w:vAlign w:val="center"/>
                </w:tcPr>
                <w:p w14:paraId="6C5A3911">
                  <w:pPr>
                    <w:autoSpaceDE w:val="0"/>
                    <w:autoSpaceDN w:val="0"/>
                    <w:jc w:val="center"/>
                    <w:rPr>
                      <w:rFonts w:hint="eastAsia" w:ascii="Times New Roman" w:hAnsi="Times New Roman" w:eastAsia="宋体"/>
                      <w:caps w:val="0"/>
                      <w:color w:val="auto"/>
                      <w:szCs w:val="21"/>
                      <w:highlight w:val="none"/>
                    </w:rPr>
                  </w:pPr>
                </w:p>
              </w:tc>
              <w:tc>
                <w:tcPr>
                  <w:tcW w:w="983" w:type="pct"/>
                  <w:tcBorders>
                    <w:tl2br w:val="nil"/>
                    <w:tr2bl w:val="nil"/>
                  </w:tcBorders>
                  <w:vAlign w:val="center"/>
                </w:tcPr>
                <w:p w14:paraId="0A5B9385">
                  <w:pPr>
                    <w:jc w:val="center"/>
                    <w:rPr>
                      <w:rFonts w:hint="eastAsia" w:ascii="Times New Roman" w:hAnsi="Times New Roman" w:eastAsia="宋体"/>
                      <w:caps w:val="0"/>
                      <w:color w:val="auto"/>
                      <w:szCs w:val="21"/>
                      <w:highlight w:val="none"/>
                    </w:rPr>
                  </w:pPr>
                  <w:r>
                    <w:rPr>
                      <w:rFonts w:hint="eastAsia"/>
                      <w:color w:val="auto"/>
                      <w:szCs w:val="21"/>
                    </w:rPr>
                    <w:t>切割下料</w:t>
                  </w:r>
                </w:p>
              </w:tc>
              <w:tc>
                <w:tcPr>
                  <w:tcW w:w="1088" w:type="pct"/>
                  <w:tcBorders>
                    <w:tl2br w:val="nil"/>
                    <w:tr2bl w:val="nil"/>
                  </w:tcBorders>
                  <w:vAlign w:val="center"/>
                </w:tcPr>
                <w:p w14:paraId="3025142B">
                  <w:pPr>
                    <w:jc w:val="center"/>
                    <w:rPr>
                      <w:rFonts w:hint="eastAsia" w:ascii="Times New Roman" w:hAnsi="Times New Roman" w:eastAsia="宋体"/>
                      <w:caps w:val="0"/>
                      <w:color w:val="auto"/>
                      <w:szCs w:val="21"/>
                      <w:highlight w:val="none"/>
                    </w:rPr>
                  </w:pPr>
                  <w:r>
                    <w:rPr>
                      <w:rFonts w:hint="eastAsia"/>
                      <w:color w:val="auto"/>
                      <w:szCs w:val="21"/>
                    </w:rPr>
                    <w:t>废金属碎屑</w:t>
                  </w:r>
                </w:p>
              </w:tc>
              <w:tc>
                <w:tcPr>
                  <w:tcW w:w="1441" w:type="pct"/>
                  <w:tcBorders>
                    <w:tl2br w:val="nil"/>
                    <w:tr2bl w:val="nil"/>
                  </w:tcBorders>
                  <w:vAlign w:val="center"/>
                </w:tcPr>
                <w:p w14:paraId="249CCCE4">
                  <w:pPr>
                    <w:jc w:val="center"/>
                    <w:rPr>
                      <w:rFonts w:hint="eastAsia" w:ascii="Times New Roman" w:hAnsi="Times New Roman" w:eastAsia="宋体"/>
                      <w:caps w:val="0"/>
                      <w:color w:val="auto"/>
                      <w:szCs w:val="21"/>
                      <w:highlight w:val="none"/>
                    </w:rPr>
                  </w:pPr>
                  <w:r>
                    <w:rPr>
                      <w:color w:val="auto"/>
                      <w:szCs w:val="21"/>
                    </w:rPr>
                    <w:t>收集后外售</w:t>
                  </w:r>
                </w:p>
              </w:tc>
              <w:tc>
                <w:tcPr>
                  <w:tcW w:w="795" w:type="pct"/>
                  <w:vMerge w:val="continue"/>
                  <w:tcBorders>
                    <w:tl2br w:val="nil"/>
                    <w:tr2bl w:val="nil"/>
                  </w:tcBorders>
                  <w:vAlign w:val="center"/>
                </w:tcPr>
                <w:p w14:paraId="06DE0B5E">
                  <w:pPr>
                    <w:autoSpaceDE w:val="0"/>
                    <w:autoSpaceDN w:val="0"/>
                    <w:jc w:val="center"/>
                    <w:rPr>
                      <w:rFonts w:hint="eastAsia" w:ascii="Times New Roman" w:hAnsi="Times New Roman" w:eastAsia="宋体"/>
                      <w:caps w:val="0"/>
                      <w:color w:val="auto"/>
                      <w:szCs w:val="21"/>
                      <w:highlight w:val="none"/>
                    </w:rPr>
                  </w:pPr>
                </w:p>
              </w:tc>
            </w:tr>
            <w:tr w14:paraId="146D6F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7" w:hRule="atLeast"/>
                <w:jc w:val="center"/>
              </w:trPr>
              <w:tc>
                <w:tcPr>
                  <w:tcW w:w="261" w:type="pct"/>
                  <w:vMerge w:val="continue"/>
                  <w:tcBorders>
                    <w:tl2br w:val="nil"/>
                    <w:tr2bl w:val="nil"/>
                  </w:tcBorders>
                  <w:vAlign w:val="center"/>
                </w:tcPr>
                <w:p w14:paraId="4E8763A7">
                  <w:pPr>
                    <w:autoSpaceDE w:val="0"/>
                    <w:autoSpaceDN w:val="0"/>
                    <w:jc w:val="center"/>
                    <w:rPr>
                      <w:rFonts w:hint="eastAsia" w:ascii="Times New Roman" w:hAnsi="Times New Roman" w:eastAsia="宋体"/>
                      <w:caps w:val="0"/>
                      <w:color w:val="auto"/>
                      <w:szCs w:val="21"/>
                      <w:highlight w:val="none"/>
                    </w:rPr>
                  </w:pPr>
                </w:p>
              </w:tc>
              <w:tc>
                <w:tcPr>
                  <w:tcW w:w="429" w:type="pct"/>
                  <w:vMerge w:val="continue"/>
                  <w:tcBorders>
                    <w:tl2br w:val="nil"/>
                    <w:tr2bl w:val="nil"/>
                  </w:tcBorders>
                  <w:vAlign w:val="center"/>
                </w:tcPr>
                <w:p w14:paraId="7B8B9DD5">
                  <w:pPr>
                    <w:autoSpaceDE w:val="0"/>
                    <w:autoSpaceDN w:val="0"/>
                    <w:jc w:val="center"/>
                    <w:rPr>
                      <w:rFonts w:hint="eastAsia" w:ascii="Times New Roman" w:hAnsi="Times New Roman" w:eastAsia="宋体"/>
                      <w:caps w:val="0"/>
                      <w:color w:val="auto"/>
                      <w:szCs w:val="21"/>
                      <w:highlight w:val="none"/>
                    </w:rPr>
                  </w:pPr>
                </w:p>
              </w:tc>
              <w:tc>
                <w:tcPr>
                  <w:tcW w:w="983" w:type="pct"/>
                  <w:tcBorders>
                    <w:tl2br w:val="nil"/>
                    <w:tr2bl w:val="nil"/>
                  </w:tcBorders>
                  <w:vAlign w:val="center"/>
                </w:tcPr>
                <w:p w14:paraId="172AF6DE">
                  <w:pPr>
                    <w:jc w:val="center"/>
                    <w:rPr>
                      <w:rFonts w:hint="eastAsia" w:ascii="Times New Roman" w:hAnsi="Times New Roman" w:eastAsia="宋体"/>
                      <w:caps w:val="0"/>
                      <w:color w:val="auto"/>
                      <w:szCs w:val="21"/>
                      <w:highlight w:val="none"/>
                    </w:rPr>
                  </w:pPr>
                  <w:r>
                    <w:rPr>
                      <w:rFonts w:hint="eastAsia"/>
                      <w:color w:val="auto"/>
                      <w:szCs w:val="21"/>
                    </w:rPr>
                    <w:t>切割下料</w:t>
                  </w:r>
                </w:p>
              </w:tc>
              <w:tc>
                <w:tcPr>
                  <w:tcW w:w="1088" w:type="pct"/>
                  <w:tcBorders>
                    <w:tl2br w:val="nil"/>
                    <w:tr2bl w:val="nil"/>
                  </w:tcBorders>
                  <w:vAlign w:val="center"/>
                </w:tcPr>
                <w:p w14:paraId="039C6024">
                  <w:pPr>
                    <w:jc w:val="center"/>
                    <w:rPr>
                      <w:rFonts w:hint="eastAsia" w:ascii="Times New Roman" w:hAnsi="Times New Roman" w:eastAsia="宋体"/>
                      <w:caps w:val="0"/>
                      <w:color w:val="auto"/>
                      <w:szCs w:val="21"/>
                      <w:highlight w:val="none"/>
                    </w:rPr>
                  </w:pPr>
                  <w:r>
                    <w:rPr>
                      <w:rFonts w:hint="eastAsia"/>
                      <w:color w:val="auto"/>
                      <w:szCs w:val="21"/>
                    </w:rPr>
                    <w:t>金属边角料</w:t>
                  </w:r>
                </w:p>
              </w:tc>
              <w:tc>
                <w:tcPr>
                  <w:tcW w:w="1441" w:type="pct"/>
                  <w:tcBorders>
                    <w:tl2br w:val="nil"/>
                    <w:tr2bl w:val="nil"/>
                  </w:tcBorders>
                  <w:vAlign w:val="center"/>
                </w:tcPr>
                <w:p w14:paraId="4F1DE2C1">
                  <w:pPr>
                    <w:jc w:val="center"/>
                    <w:rPr>
                      <w:rFonts w:hint="eastAsia" w:ascii="Times New Roman" w:hAnsi="Times New Roman" w:eastAsia="宋体"/>
                      <w:caps w:val="0"/>
                      <w:color w:val="auto"/>
                      <w:szCs w:val="21"/>
                      <w:highlight w:val="none"/>
                    </w:rPr>
                  </w:pPr>
                  <w:r>
                    <w:rPr>
                      <w:color w:val="auto"/>
                      <w:szCs w:val="21"/>
                    </w:rPr>
                    <w:t>收集后外售</w:t>
                  </w:r>
                </w:p>
              </w:tc>
              <w:tc>
                <w:tcPr>
                  <w:tcW w:w="795" w:type="pct"/>
                  <w:vMerge w:val="continue"/>
                  <w:tcBorders>
                    <w:tl2br w:val="nil"/>
                    <w:tr2bl w:val="nil"/>
                  </w:tcBorders>
                  <w:vAlign w:val="center"/>
                </w:tcPr>
                <w:p w14:paraId="26E8365E">
                  <w:pPr>
                    <w:autoSpaceDE w:val="0"/>
                    <w:autoSpaceDN w:val="0"/>
                    <w:jc w:val="center"/>
                    <w:rPr>
                      <w:rFonts w:hint="eastAsia" w:ascii="Times New Roman" w:hAnsi="Times New Roman" w:eastAsia="宋体"/>
                      <w:caps w:val="0"/>
                      <w:color w:val="auto"/>
                      <w:szCs w:val="21"/>
                      <w:highlight w:val="none"/>
                    </w:rPr>
                  </w:pPr>
                </w:p>
              </w:tc>
            </w:tr>
            <w:tr w14:paraId="0CB855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261" w:type="pct"/>
                  <w:vMerge w:val="continue"/>
                  <w:tcBorders>
                    <w:tl2br w:val="nil"/>
                    <w:tr2bl w:val="nil"/>
                  </w:tcBorders>
                  <w:vAlign w:val="center"/>
                </w:tcPr>
                <w:p w14:paraId="7B21433D">
                  <w:pPr>
                    <w:autoSpaceDE w:val="0"/>
                    <w:autoSpaceDN w:val="0"/>
                    <w:jc w:val="center"/>
                    <w:rPr>
                      <w:rFonts w:hint="eastAsia" w:ascii="Times New Roman" w:hAnsi="Times New Roman" w:eastAsia="宋体"/>
                      <w:caps w:val="0"/>
                      <w:color w:val="auto"/>
                      <w:szCs w:val="21"/>
                      <w:highlight w:val="none"/>
                    </w:rPr>
                  </w:pPr>
                </w:p>
              </w:tc>
              <w:tc>
                <w:tcPr>
                  <w:tcW w:w="429" w:type="pct"/>
                  <w:vMerge w:val="continue"/>
                  <w:tcBorders>
                    <w:tl2br w:val="nil"/>
                    <w:tr2bl w:val="nil"/>
                  </w:tcBorders>
                  <w:vAlign w:val="center"/>
                </w:tcPr>
                <w:p w14:paraId="155A9E9B">
                  <w:pPr>
                    <w:autoSpaceDE w:val="0"/>
                    <w:autoSpaceDN w:val="0"/>
                    <w:jc w:val="center"/>
                    <w:rPr>
                      <w:rFonts w:hint="eastAsia" w:ascii="Times New Roman" w:hAnsi="Times New Roman" w:eastAsia="宋体"/>
                      <w:caps w:val="0"/>
                      <w:color w:val="auto"/>
                      <w:szCs w:val="21"/>
                      <w:highlight w:val="none"/>
                    </w:rPr>
                  </w:pPr>
                </w:p>
              </w:tc>
              <w:tc>
                <w:tcPr>
                  <w:tcW w:w="983" w:type="pct"/>
                  <w:tcBorders>
                    <w:tl2br w:val="nil"/>
                    <w:tr2bl w:val="nil"/>
                  </w:tcBorders>
                  <w:vAlign w:val="center"/>
                </w:tcPr>
                <w:p w14:paraId="36AB4004">
                  <w:pPr>
                    <w:jc w:val="center"/>
                    <w:rPr>
                      <w:rFonts w:hint="eastAsia" w:ascii="Times New Roman" w:hAnsi="Times New Roman" w:eastAsia="宋体"/>
                      <w:caps w:val="0"/>
                      <w:color w:val="auto"/>
                      <w:szCs w:val="21"/>
                      <w:highlight w:val="none"/>
                    </w:rPr>
                  </w:pPr>
                  <w:r>
                    <w:rPr>
                      <w:rFonts w:hint="eastAsia"/>
                      <w:color w:val="auto"/>
                      <w:szCs w:val="21"/>
                    </w:rPr>
                    <w:t>检验</w:t>
                  </w:r>
                </w:p>
              </w:tc>
              <w:tc>
                <w:tcPr>
                  <w:tcW w:w="1088" w:type="pct"/>
                  <w:tcBorders>
                    <w:tl2br w:val="nil"/>
                    <w:tr2bl w:val="nil"/>
                  </w:tcBorders>
                  <w:vAlign w:val="center"/>
                </w:tcPr>
                <w:p w14:paraId="0D9CA403">
                  <w:pPr>
                    <w:jc w:val="center"/>
                    <w:rPr>
                      <w:rFonts w:hint="eastAsia" w:ascii="Times New Roman" w:hAnsi="Times New Roman" w:eastAsia="宋体"/>
                      <w:caps w:val="0"/>
                      <w:color w:val="auto"/>
                      <w:szCs w:val="21"/>
                      <w:highlight w:val="none"/>
                    </w:rPr>
                  </w:pPr>
                  <w:r>
                    <w:rPr>
                      <w:rFonts w:hint="eastAsia"/>
                      <w:color w:val="auto"/>
                      <w:szCs w:val="21"/>
                    </w:rPr>
                    <w:t>金属不合格品</w:t>
                  </w:r>
                </w:p>
              </w:tc>
              <w:tc>
                <w:tcPr>
                  <w:tcW w:w="1441" w:type="pct"/>
                  <w:tcBorders>
                    <w:tl2br w:val="nil"/>
                    <w:tr2bl w:val="nil"/>
                  </w:tcBorders>
                  <w:vAlign w:val="center"/>
                </w:tcPr>
                <w:p w14:paraId="57E3FA5D">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收集后外售</w:t>
                  </w:r>
                </w:p>
              </w:tc>
              <w:tc>
                <w:tcPr>
                  <w:tcW w:w="795" w:type="pct"/>
                  <w:vMerge w:val="continue"/>
                  <w:tcBorders>
                    <w:tl2br w:val="nil"/>
                    <w:tr2bl w:val="nil"/>
                  </w:tcBorders>
                  <w:vAlign w:val="center"/>
                </w:tcPr>
                <w:p w14:paraId="35595E1D">
                  <w:pPr>
                    <w:autoSpaceDE w:val="0"/>
                    <w:autoSpaceDN w:val="0"/>
                    <w:jc w:val="center"/>
                    <w:rPr>
                      <w:rFonts w:hint="eastAsia" w:ascii="Times New Roman" w:hAnsi="Times New Roman" w:eastAsia="宋体"/>
                      <w:caps w:val="0"/>
                      <w:color w:val="auto"/>
                      <w:szCs w:val="21"/>
                      <w:highlight w:val="none"/>
                    </w:rPr>
                  </w:pPr>
                </w:p>
              </w:tc>
            </w:tr>
            <w:tr w14:paraId="6F67C0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261" w:type="pct"/>
                  <w:vMerge w:val="continue"/>
                  <w:tcBorders>
                    <w:tl2br w:val="nil"/>
                    <w:tr2bl w:val="nil"/>
                  </w:tcBorders>
                  <w:vAlign w:val="center"/>
                </w:tcPr>
                <w:p w14:paraId="7EC5D1A4">
                  <w:pPr>
                    <w:autoSpaceDE w:val="0"/>
                    <w:autoSpaceDN w:val="0"/>
                    <w:jc w:val="center"/>
                    <w:rPr>
                      <w:rFonts w:hint="eastAsia" w:ascii="Times New Roman" w:hAnsi="Times New Roman" w:eastAsia="宋体"/>
                      <w:caps w:val="0"/>
                      <w:color w:val="auto"/>
                      <w:szCs w:val="21"/>
                      <w:highlight w:val="none"/>
                    </w:rPr>
                  </w:pPr>
                </w:p>
              </w:tc>
              <w:tc>
                <w:tcPr>
                  <w:tcW w:w="429" w:type="pct"/>
                  <w:vMerge w:val="continue"/>
                  <w:tcBorders>
                    <w:tl2br w:val="nil"/>
                    <w:tr2bl w:val="nil"/>
                  </w:tcBorders>
                  <w:vAlign w:val="center"/>
                </w:tcPr>
                <w:p w14:paraId="3939540A">
                  <w:pPr>
                    <w:autoSpaceDE w:val="0"/>
                    <w:autoSpaceDN w:val="0"/>
                    <w:jc w:val="center"/>
                    <w:rPr>
                      <w:rFonts w:hint="eastAsia" w:ascii="Times New Roman" w:hAnsi="Times New Roman" w:eastAsia="宋体"/>
                      <w:caps w:val="0"/>
                      <w:color w:val="auto"/>
                      <w:szCs w:val="21"/>
                      <w:highlight w:val="none"/>
                    </w:rPr>
                  </w:pPr>
                </w:p>
              </w:tc>
              <w:tc>
                <w:tcPr>
                  <w:tcW w:w="983" w:type="pct"/>
                  <w:tcBorders>
                    <w:tl2br w:val="nil"/>
                    <w:tr2bl w:val="nil"/>
                  </w:tcBorders>
                  <w:shd w:val="clear" w:color="auto" w:fill="auto"/>
                  <w:vAlign w:val="center"/>
                </w:tcPr>
                <w:p w14:paraId="5AB7B407">
                  <w:pPr>
                    <w:jc w:val="center"/>
                    <w:rPr>
                      <w:rFonts w:hint="eastAsia" w:ascii="Times New Roman" w:hAnsi="Times New Roman" w:eastAsia="宋体" w:cs="Times New Roman"/>
                      <w:caps w:val="0"/>
                      <w:color w:val="auto"/>
                      <w:kern w:val="2"/>
                      <w:sz w:val="21"/>
                      <w:szCs w:val="21"/>
                      <w:highlight w:val="none"/>
                      <w:lang w:val="en-US" w:eastAsia="zh-CN" w:bidi="ar-SA"/>
                    </w:rPr>
                  </w:pPr>
                  <w:r>
                    <w:rPr>
                      <w:rFonts w:hint="eastAsia"/>
                      <w:color w:val="auto"/>
                      <w:szCs w:val="21"/>
                      <w:lang w:val="en-US" w:eastAsia="zh-CN"/>
                    </w:rPr>
                    <w:t>沉淀池</w:t>
                  </w:r>
                </w:p>
              </w:tc>
              <w:tc>
                <w:tcPr>
                  <w:tcW w:w="1088" w:type="pct"/>
                  <w:tcBorders>
                    <w:tl2br w:val="nil"/>
                    <w:tr2bl w:val="nil"/>
                  </w:tcBorders>
                  <w:shd w:val="clear" w:color="auto" w:fill="auto"/>
                  <w:vAlign w:val="center"/>
                </w:tcPr>
                <w:p w14:paraId="32E232E2">
                  <w:pPr>
                    <w:jc w:val="center"/>
                    <w:rPr>
                      <w:rFonts w:hint="eastAsia" w:ascii="Times New Roman" w:hAnsi="Times New Roman" w:eastAsia="宋体" w:cs="Times New Roman"/>
                      <w:caps w:val="0"/>
                      <w:color w:val="auto"/>
                      <w:kern w:val="2"/>
                      <w:sz w:val="21"/>
                      <w:szCs w:val="21"/>
                      <w:highlight w:val="none"/>
                      <w:lang w:val="en-US" w:eastAsia="zh-CN" w:bidi="ar-SA"/>
                    </w:rPr>
                  </w:pPr>
                  <w:r>
                    <w:rPr>
                      <w:rFonts w:hint="eastAsia"/>
                      <w:color w:val="auto"/>
                      <w:szCs w:val="21"/>
                    </w:rPr>
                    <w:t>沉淀池污泥</w:t>
                  </w:r>
                </w:p>
              </w:tc>
              <w:tc>
                <w:tcPr>
                  <w:tcW w:w="1441" w:type="pct"/>
                  <w:tcBorders>
                    <w:tl2br w:val="nil"/>
                    <w:tr2bl w:val="nil"/>
                  </w:tcBorders>
                  <w:vAlign w:val="center"/>
                </w:tcPr>
                <w:p w14:paraId="260A571F">
                  <w:pPr>
                    <w:jc w:val="center"/>
                    <w:rPr>
                      <w:rFonts w:hint="eastAsia" w:ascii="Times New Roman" w:hAnsi="Times New Roman" w:eastAsia="宋体"/>
                      <w:caps w:val="0"/>
                      <w:color w:val="auto"/>
                      <w:szCs w:val="21"/>
                      <w:highlight w:val="none"/>
                    </w:rPr>
                  </w:pPr>
                  <w:r>
                    <w:rPr>
                      <w:color w:val="auto"/>
                      <w:szCs w:val="21"/>
                    </w:rPr>
                    <w:t>收集后交由一般固废处理公司处理</w:t>
                  </w:r>
                </w:p>
              </w:tc>
              <w:tc>
                <w:tcPr>
                  <w:tcW w:w="795" w:type="pct"/>
                  <w:vMerge w:val="continue"/>
                  <w:tcBorders>
                    <w:tl2br w:val="nil"/>
                    <w:tr2bl w:val="nil"/>
                  </w:tcBorders>
                  <w:vAlign w:val="center"/>
                </w:tcPr>
                <w:p w14:paraId="57E88BB6">
                  <w:pPr>
                    <w:autoSpaceDE w:val="0"/>
                    <w:autoSpaceDN w:val="0"/>
                    <w:jc w:val="center"/>
                    <w:rPr>
                      <w:rFonts w:hint="eastAsia" w:ascii="Times New Roman" w:hAnsi="Times New Roman" w:eastAsia="宋体"/>
                      <w:caps w:val="0"/>
                      <w:color w:val="auto"/>
                      <w:szCs w:val="21"/>
                      <w:highlight w:val="none"/>
                    </w:rPr>
                  </w:pPr>
                </w:p>
              </w:tc>
            </w:tr>
            <w:tr w14:paraId="33109E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1" w:type="pct"/>
                  <w:vMerge w:val="continue"/>
                  <w:tcBorders>
                    <w:tl2br w:val="nil"/>
                    <w:tr2bl w:val="nil"/>
                  </w:tcBorders>
                  <w:vAlign w:val="center"/>
                </w:tcPr>
                <w:p w14:paraId="79507DC5">
                  <w:pPr>
                    <w:jc w:val="center"/>
                    <w:rPr>
                      <w:rFonts w:ascii="Times New Roman" w:hAnsi="Times New Roman" w:eastAsia="宋体"/>
                      <w:caps w:val="0"/>
                      <w:color w:val="auto"/>
                      <w:szCs w:val="21"/>
                      <w:highlight w:val="none"/>
                    </w:rPr>
                  </w:pPr>
                </w:p>
              </w:tc>
              <w:tc>
                <w:tcPr>
                  <w:tcW w:w="429" w:type="pct"/>
                  <w:tcBorders>
                    <w:tl2br w:val="nil"/>
                    <w:tr2bl w:val="nil"/>
                  </w:tcBorders>
                  <w:vAlign w:val="center"/>
                </w:tcPr>
                <w:p w14:paraId="67B29553">
                  <w:pPr>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生活垃圾</w:t>
                  </w:r>
                </w:p>
              </w:tc>
              <w:tc>
                <w:tcPr>
                  <w:tcW w:w="983" w:type="pct"/>
                  <w:tcBorders>
                    <w:tl2br w:val="nil"/>
                    <w:tr2bl w:val="nil"/>
                  </w:tcBorders>
                  <w:vAlign w:val="center"/>
                </w:tcPr>
                <w:p w14:paraId="62E17406">
                  <w:pPr>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员工生活</w:t>
                  </w:r>
                </w:p>
              </w:tc>
              <w:tc>
                <w:tcPr>
                  <w:tcW w:w="1088" w:type="pct"/>
                  <w:tcBorders>
                    <w:tl2br w:val="nil"/>
                    <w:tr2bl w:val="nil"/>
                  </w:tcBorders>
                  <w:vAlign w:val="center"/>
                </w:tcPr>
                <w:p w14:paraId="29A526D5">
                  <w:pPr>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生活垃圾</w:t>
                  </w:r>
                </w:p>
              </w:tc>
              <w:tc>
                <w:tcPr>
                  <w:tcW w:w="1441" w:type="pct"/>
                  <w:tcBorders>
                    <w:tl2br w:val="nil"/>
                    <w:tr2bl w:val="nil"/>
                  </w:tcBorders>
                  <w:vAlign w:val="center"/>
                </w:tcPr>
                <w:p w14:paraId="520E7E2B">
                  <w:pPr>
                    <w:jc w:val="center"/>
                    <w:rPr>
                      <w:rFonts w:ascii="Times New Roman" w:hAnsi="Times New Roman" w:eastAsia="宋体"/>
                      <w:caps w:val="0"/>
                      <w:color w:val="auto"/>
                      <w:szCs w:val="21"/>
                      <w:highlight w:val="none"/>
                    </w:rPr>
                  </w:pPr>
                  <w:r>
                    <w:rPr>
                      <w:rFonts w:hint="eastAsia" w:ascii="Times New Roman" w:hAnsi="Times New Roman" w:eastAsia="宋体"/>
                      <w:caps w:val="0"/>
                      <w:color w:val="auto"/>
                      <w:kern w:val="0"/>
                      <w:szCs w:val="21"/>
                      <w:highlight w:val="none"/>
                    </w:rPr>
                    <w:t>收集后</w:t>
                  </w:r>
                  <w:r>
                    <w:rPr>
                      <w:rFonts w:ascii="Times New Roman" w:hAnsi="Times New Roman" w:eastAsia="宋体"/>
                      <w:caps w:val="0"/>
                      <w:color w:val="auto"/>
                      <w:kern w:val="0"/>
                      <w:szCs w:val="21"/>
                      <w:highlight w:val="none"/>
                    </w:rPr>
                    <w:t>交由环卫部门统一清运</w:t>
                  </w:r>
                </w:p>
              </w:tc>
              <w:tc>
                <w:tcPr>
                  <w:tcW w:w="795" w:type="pct"/>
                  <w:vMerge w:val="continue"/>
                  <w:tcBorders>
                    <w:tl2br w:val="nil"/>
                    <w:tr2bl w:val="nil"/>
                  </w:tcBorders>
                  <w:vAlign w:val="center"/>
                </w:tcPr>
                <w:p w14:paraId="45DBA275">
                  <w:pPr>
                    <w:jc w:val="center"/>
                    <w:rPr>
                      <w:rFonts w:ascii="Times New Roman" w:hAnsi="Times New Roman" w:eastAsia="宋体"/>
                      <w:caps w:val="0"/>
                      <w:color w:val="auto"/>
                      <w:szCs w:val="21"/>
                      <w:highlight w:val="none"/>
                    </w:rPr>
                  </w:pPr>
                </w:p>
              </w:tc>
            </w:tr>
          </w:tbl>
          <w:p w14:paraId="71484E91">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ascii="Times New Roman" w:hAnsi="Times New Roman"/>
                <w:b/>
                <w:color w:val="auto"/>
                <w:sz w:val="24"/>
              </w:rPr>
            </w:pPr>
            <w:r>
              <w:rPr>
                <w:rFonts w:hint="eastAsia" w:ascii="Times New Roman" w:hAnsi="Times New Roman"/>
                <w:b/>
                <w:color w:val="auto"/>
                <w:sz w:val="24"/>
                <w:lang w:val="en-US" w:eastAsia="zh-CN"/>
              </w:rPr>
              <w:t>4</w:t>
            </w:r>
            <w:r>
              <w:rPr>
                <w:rFonts w:ascii="Times New Roman" w:hAnsi="Times New Roman"/>
                <w:b/>
                <w:color w:val="auto"/>
                <w:sz w:val="24"/>
              </w:rPr>
              <w:t>、环评批复意见落实情况</w:t>
            </w:r>
          </w:p>
          <w:p w14:paraId="0F1AC3BC">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b/>
                <w:bCs/>
                <w:color w:val="auto"/>
                <w:sz w:val="24"/>
              </w:rPr>
            </w:pPr>
            <w:r>
              <w:rPr>
                <w:rFonts w:hint="eastAsia" w:ascii="Times New Roman" w:hAnsi="Times New Roman"/>
                <w:b/>
                <w:color w:val="auto"/>
                <w:sz w:val="24"/>
                <w:lang w:val="en-US" w:eastAsia="zh-CN"/>
              </w:rPr>
              <w:t xml:space="preserve">表2-11  </w:t>
            </w:r>
            <w:r>
              <w:rPr>
                <w:rFonts w:ascii="Times New Roman" w:hAnsi="Times New Roman"/>
                <w:b/>
                <w:color w:val="auto"/>
                <w:sz w:val="24"/>
              </w:rPr>
              <w:t>现有</w:t>
            </w:r>
            <w:r>
              <w:rPr>
                <w:rFonts w:hint="eastAsia" w:ascii="Times New Roman" w:hAnsi="Times New Roman"/>
                <w:b/>
                <w:color w:val="auto"/>
                <w:sz w:val="24"/>
                <w:lang w:val="en-US" w:eastAsia="zh-CN"/>
              </w:rPr>
              <w:t>已建</w:t>
            </w:r>
            <w:r>
              <w:rPr>
                <w:rFonts w:ascii="Times New Roman" w:hAnsi="Times New Roman"/>
                <w:b/>
                <w:color w:val="auto"/>
                <w:sz w:val="24"/>
              </w:rPr>
              <w:t>项目环评批复意见落实情况</w:t>
            </w:r>
          </w:p>
          <w:tbl>
            <w:tblPr>
              <w:tblStyle w:val="21"/>
              <w:tblW w:w="799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3"/>
              <w:gridCol w:w="3950"/>
              <w:gridCol w:w="2167"/>
              <w:gridCol w:w="1167"/>
            </w:tblGrid>
            <w:tr w14:paraId="42612A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13" w:type="dxa"/>
                  <w:tcBorders>
                    <w:tl2br w:val="nil"/>
                    <w:tr2bl w:val="nil"/>
                  </w:tcBorders>
                  <w:noWrap w:val="0"/>
                  <w:vAlign w:val="center"/>
                </w:tcPr>
                <w:p w14:paraId="50A992E0">
                  <w:pPr>
                    <w:widowControl/>
                    <w:jc w:val="center"/>
                    <w:rPr>
                      <w:b/>
                      <w:bCs/>
                      <w:color w:val="auto"/>
                      <w:szCs w:val="21"/>
                    </w:rPr>
                  </w:pPr>
                  <w:r>
                    <w:rPr>
                      <w:rFonts w:ascii="Times New Roman" w:hAnsi="Times New Roman" w:eastAsia="宋体"/>
                      <w:b/>
                      <w:bCs/>
                      <w:caps w:val="0"/>
                      <w:color w:val="auto"/>
                      <w:kern w:val="0"/>
                      <w:szCs w:val="21"/>
                      <w:highlight w:val="none"/>
                    </w:rPr>
                    <w:t>项目名称</w:t>
                  </w:r>
                </w:p>
              </w:tc>
              <w:tc>
                <w:tcPr>
                  <w:tcW w:w="3950" w:type="dxa"/>
                  <w:tcBorders>
                    <w:tl2br w:val="nil"/>
                    <w:tr2bl w:val="nil"/>
                  </w:tcBorders>
                  <w:noWrap w:val="0"/>
                  <w:vAlign w:val="center"/>
                </w:tcPr>
                <w:p w14:paraId="14F7B56E">
                  <w:pPr>
                    <w:jc w:val="center"/>
                    <w:rPr>
                      <w:b/>
                      <w:bCs/>
                      <w:color w:val="auto"/>
                      <w:szCs w:val="21"/>
                    </w:rPr>
                  </w:pPr>
                  <w:r>
                    <w:rPr>
                      <w:b/>
                      <w:bCs/>
                      <w:color w:val="auto"/>
                      <w:szCs w:val="21"/>
                    </w:rPr>
                    <w:t>环评批复要求</w:t>
                  </w:r>
                </w:p>
              </w:tc>
              <w:tc>
                <w:tcPr>
                  <w:tcW w:w="2167" w:type="dxa"/>
                  <w:tcBorders>
                    <w:tl2br w:val="nil"/>
                    <w:tr2bl w:val="nil"/>
                  </w:tcBorders>
                  <w:noWrap w:val="0"/>
                  <w:vAlign w:val="center"/>
                </w:tcPr>
                <w:p w14:paraId="2BF66DC4">
                  <w:pPr>
                    <w:jc w:val="center"/>
                    <w:rPr>
                      <w:b/>
                      <w:bCs/>
                      <w:color w:val="auto"/>
                      <w:szCs w:val="21"/>
                    </w:rPr>
                  </w:pPr>
                  <w:r>
                    <w:rPr>
                      <w:b/>
                      <w:bCs/>
                      <w:color w:val="auto"/>
                      <w:szCs w:val="21"/>
                    </w:rPr>
                    <w:t>实际建设情况</w:t>
                  </w:r>
                </w:p>
              </w:tc>
              <w:tc>
                <w:tcPr>
                  <w:tcW w:w="1167" w:type="dxa"/>
                  <w:tcBorders>
                    <w:tl2br w:val="nil"/>
                    <w:tr2bl w:val="nil"/>
                  </w:tcBorders>
                  <w:noWrap w:val="0"/>
                  <w:vAlign w:val="center"/>
                </w:tcPr>
                <w:p w14:paraId="3D73C790">
                  <w:pPr>
                    <w:jc w:val="center"/>
                    <w:rPr>
                      <w:rFonts w:hint="default" w:eastAsia="宋体"/>
                      <w:b/>
                      <w:bCs/>
                      <w:color w:val="auto"/>
                      <w:szCs w:val="21"/>
                      <w:lang w:val="en-US" w:eastAsia="zh-CN"/>
                    </w:rPr>
                  </w:pPr>
                  <w:r>
                    <w:rPr>
                      <w:rFonts w:hint="eastAsia"/>
                      <w:b/>
                      <w:bCs/>
                      <w:color w:val="auto"/>
                      <w:szCs w:val="21"/>
                      <w:lang w:val="en-US" w:eastAsia="zh-CN"/>
                    </w:rPr>
                    <w:t>是否与环评一致</w:t>
                  </w:r>
                </w:p>
              </w:tc>
            </w:tr>
            <w:tr w14:paraId="21EC9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74" w:hRule="atLeast"/>
                <w:jc w:val="center"/>
              </w:trPr>
              <w:tc>
                <w:tcPr>
                  <w:tcW w:w="713" w:type="dxa"/>
                  <w:tcBorders>
                    <w:tl2br w:val="nil"/>
                    <w:tr2bl w:val="nil"/>
                  </w:tcBorders>
                  <w:noWrap w:val="0"/>
                  <w:vAlign w:val="center"/>
                </w:tcPr>
                <w:p w14:paraId="63B2E3B8">
                  <w:pPr>
                    <w:jc w:val="center"/>
                    <w:rPr>
                      <w:rFonts w:hint="eastAsia"/>
                      <w:bCs/>
                      <w:color w:val="auto"/>
                      <w:szCs w:val="21"/>
                    </w:rPr>
                  </w:pPr>
                  <w:r>
                    <w:rPr>
                      <w:rFonts w:hint="eastAsia"/>
                      <w:color w:val="auto"/>
                      <w:szCs w:val="21"/>
                    </w:rPr>
                    <w:t>芜湖工业园项目</w:t>
                  </w:r>
                </w:p>
              </w:tc>
              <w:tc>
                <w:tcPr>
                  <w:tcW w:w="3950" w:type="dxa"/>
                  <w:tcBorders>
                    <w:tl2br w:val="nil"/>
                    <w:tr2bl w:val="nil"/>
                  </w:tcBorders>
                  <w:noWrap w:val="0"/>
                  <w:vAlign w:val="center"/>
                </w:tcPr>
                <w:p w14:paraId="15836550">
                  <w:pPr>
                    <w:rPr>
                      <w:rFonts w:hint="eastAsia"/>
                      <w:bCs/>
                      <w:color w:val="auto"/>
                      <w:szCs w:val="21"/>
                    </w:rPr>
                  </w:pPr>
                  <w:r>
                    <w:rPr>
                      <w:rFonts w:hint="eastAsia"/>
                      <w:bCs/>
                      <w:color w:val="auto"/>
                      <w:szCs w:val="21"/>
                    </w:rPr>
                    <w:t>强化车间通风措施，废气外排执行《大气污染物综合排放标准》</w:t>
                  </w:r>
                  <w:r>
                    <w:rPr>
                      <w:rFonts w:hint="eastAsia"/>
                      <w:bCs/>
                      <w:color w:val="auto"/>
                      <w:szCs w:val="21"/>
                      <w:lang w:eastAsia="zh-CN"/>
                    </w:rPr>
                    <w:t>（</w:t>
                  </w:r>
                  <w:r>
                    <w:rPr>
                      <w:rFonts w:hint="eastAsia"/>
                      <w:bCs/>
                      <w:color w:val="auto"/>
                      <w:szCs w:val="21"/>
                    </w:rPr>
                    <w:t>GB16297-1996</w:t>
                  </w:r>
                  <w:r>
                    <w:rPr>
                      <w:rFonts w:hint="eastAsia"/>
                      <w:bCs/>
                      <w:color w:val="auto"/>
                      <w:szCs w:val="21"/>
                      <w:lang w:eastAsia="zh-CN"/>
                    </w:rPr>
                    <w:t>）</w:t>
                  </w:r>
                  <w:r>
                    <w:rPr>
                      <w:rFonts w:hint="eastAsia"/>
                      <w:bCs/>
                      <w:color w:val="auto"/>
                      <w:szCs w:val="21"/>
                    </w:rPr>
                    <w:t>中无组织排放监控浓度限值。</w:t>
                  </w:r>
                </w:p>
                <w:p w14:paraId="6CFF976C">
                  <w:pPr>
                    <w:rPr>
                      <w:rFonts w:hint="eastAsia"/>
                      <w:bCs/>
                      <w:color w:val="auto"/>
                      <w:szCs w:val="21"/>
                    </w:rPr>
                  </w:pPr>
                  <w:r>
                    <w:rPr>
                      <w:rFonts w:hint="eastAsia"/>
                      <w:bCs/>
                      <w:color w:val="auto"/>
                      <w:szCs w:val="21"/>
                    </w:rPr>
                    <w:t>厂区应实行雨污分流，提高冷却水循环利用率。经处理后的生活污水外排执行《污水综合排放标准》</w:t>
                  </w:r>
                  <w:r>
                    <w:rPr>
                      <w:rFonts w:hint="eastAsia"/>
                      <w:bCs/>
                      <w:color w:val="auto"/>
                      <w:szCs w:val="21"/>
                      <w:lang w:eastAsia="zh-CN"/>
                    </w:rPr>
                    <w:t>（</w:t>
                  </w:r>
                  <w:r>
                    <w:rPr>
                      <w:rFonts w:hint="eastAsia"/>
                      <w:bCs/>
                      <w:color w:val="auto"/>
                      <w:szCs w:val="21"/>
                    </w:rPr>
                    <w:t>GB8978—1996</w:t>
                  </w:r>
                  <w:r>
                    <w:rPr>
                      <w:rFonts w:hint="eastAsia"/>
                      <w:bCs/>
                      <w:color w:val="auto"/>
                      <w:szCs w:val="21"/>
                      <w:lang w:eastAsia="zh-CN"/>
                    </w:rPr>
                    <w:t>）</w:t>
                  </w:r>
                  <w:r>
                    <w:rPr>
                      <w:rFonts w:hint="eastAsia"/>
                      <w:bCs/>
                      <w:color w:val="auto"/>
                      <w:szCs w:val="21"/>
                    </w:rPr>
                    <w:t>中一级标准；待具备接入区域内二级污水处理厂管网条件后，外排污水需达到污水处理厂接管水质要求</w:t>
                  </w:r>
                  <w:r>
                    <w:rPr>
                      <w:rFonts w:hint="eastAsia"/>
                      <w:bCs/>
                      <w:color w:val="auto"/>
                      <w:szCs w:val="21"/>
                      <w:lang w:eastAsia="zh-CN"/>
                    </w:rPr>
                    <w:t>（</w:t>
                  </w:r>
                  <w:r>
                    <w:rPr>
                      <w:rFonts w:hint="eastAsia"/>
                      <w:bCs/>
                      <w:color w:val="auto"/>
                      <w:szCs w:val="21"/>
                    </w:rPr>
                    <w:t>《污水综合排放标准》</w:t>
                  </w:r>
                  <w:r>
                    <w:rPr>
                      <w:rFonts w:hint="eastAsia"/>
                      <w:bCs/>
                      <w:color w:val="auto"/>
                      <w:szCs w:val="21"/>
                      <w:lang w:eastAsia="zh-CN"/>
                    </w:rPr>
                    <w:t>（</w:t>
                  </w:r>
                  <w:r>
                    <w:rPr>
                      <w:rFonts w:hint="eastAsia"/>
                      <w:bCs/>
                      <w:color w:val="auto"/>
                      <w:szCs w:val="21"/>
                    </w:rPr>
                    <w:t>GB8978—1996</w:t>
                  </w:r>
                  <w:r>
                    <w:rPr>
                      <w:rFonts w:hint="eastAsia"/>
                      <w:bCs/>
                      <w:color w:val="auto"/>
                      <w:szCs w:val="21"/>
                      <w:lang w:eastAsia="zh-CN"/>
                    </w:rPr>
                    <w:t>）</w:t>
                  </w:r>
                  <w:r>
                    <w:rPr>
                      <w:rFonts w:hint="eastAsia"/>
                      <w:bCs/>
                      <w:color w:val="auto"/>
                      <w:szCs w:val="21"/>
                    </w:rPr>
                    <w:t>中三级标准</w:t>
                  </w:r>
                  <w:r>
                    <w:rPr>
                      <w:rFonts w:hint="eastAsia"/>
                      <w:bCs/>
                      <w:color w:val="auto"/>
                      <w:szCs w:val="21"/>
                      <w:lang w:eastAsia="zh-CN"/>
                    </w:rPr>
                    <w:t>）</w:t>
                  </w:r>
                  <w:r>
                    <w:rPr>
                      <w:rFonts w:hint="eastAsia"/>
                      <w:bCs/>
                      <w:color w:val="auto"/>
                      <w:szCs w:val="21"/>
                    </w:rPr>
                    <w:t>。</w:t>
                  </w:r>
                </w:p>
                <w:p w14:paraId="05551B25">
                  <w:pPr>
                    <w:rPr>
                      <w:rFonts w:hint="eastAsia"/>
                      <w:bCs/>
                      <w:color w:val="auto"/>
                      <w:szCs w:val="21"/>
                    </w:rPr>
                  </w:pPr>
                  <w:r>
                    <w:rPr>
                      <w:rFonts w:hint="eastAsia"/>
                      <w:bCs/>
                      <w:color w:val="auto"/>
                      <w:szCs w:val="21"/>
                    </w:rPr>
                    <w:t>优化厂区总图布局，选用低噪生产设备。对切割机、冲床、铣床、磨床等噪声源，应针对性地采取隔声、消声、减振措施降低噪声，噪声外排执行《工业企业厂界环境噪声排放标准》</w:t>
                  </w:r>
                  <w:r>
                    <w:rPr>
                      <w:rFonts w:hint="eastAsia"/>
                      <w:bCs/>
                      <w:color w:val="auto"/>
                      <w:szCs w:val="21"/>
                      <w:lang w:eastAsia="zh-CN"/>
                    </w:rPr>
                    <w:t>（</w:t>
                  </w:r>
                  <w:r>
                    <w:rPr>
                      <w:rFonts w:hint="eastAsia"/>
                      <w:bCs/>
                      <w:color w:val="auto"/>
                      <w:szCs w:val="21"/>
                    </w:rPr>
                    <w:t>GB12348-2008</w:t>
                  </w:r>
                  <w:r>
                    <w:rPr>
                      <w:rFonts w:hint="eastAsia"/>
                      <w:bCs/>
                      <w:color w:val="auto"/>
                      <w:szCs w:val="21"/>
                      <w:lang w:eastAsia="zh-CN"/>
                    </w:rPr>
                    <w:t>）</w:t>
                  </w:r>
                  <w:r>
                    <w:rPr>
                      <w:rFonts w:hint="eastAsia"/>
                      <w:bCs/>
                      <w:color w:val="auto"/>
                      <w:szCs w:val="21"/>
                    </w:rPr>
                    <w:t>中3类限值；施工期噪声外排执行《建筑施工场界噪声限值》</w:t>
                  </w:r>
                  <w:r>
                    <w:rPr>
                      <w:rFonts w:hint="eastAsia"/>
                      <w:bCs/>
                      <w:color w:val="auto"/>
                      <w:szCs w:val="21"/>
                      <w:lang w:eastAsia="zh-CN"/>
                    </w:rPr>
                    <w:t>（</w:t>
                  </w:r>
                  <w:r>
                    <w:rPr>
                      <w:rFonts w:hint="eastAsia"/>
                      <w:bCs/>
                      <w:color w:val="auto"/>
                      <w:szCs w:val="21"/>
                    </w:rPr>
                    <w:t>GB12523-90</w:t>
                  </w:r>
                  <w:r>
                    <w:rPr>
                      <w:rFonts w:hint="eastAsia"/>
                      <w:bCs/>
                      <w:color w:val="auto"/>
                      <w:szCs w:val="21"/>
                      <w:lang w:eastAsia="zh-CN"/>
                    </w:rPr>
                    <w:t>）</w:t>
                  </w:r>
                  <w:r>
                    <w:rPr>
                      <w:rFonts w:hint="eastAsia"/>
                      <w:bCs/>
                      <w:color w:val="auto"/>
                      <w:szCs w:val="21"/>
                    </w:rPr>
                    <w:t>中有关规定。</w:t>
                  </w:r>
                </w:p>
                <w:p w14:paraId="7B0B825E">
                  <w:pPr>
                    <w:rPr>
                      <w:rFonts w:hint="eastAsia" w:eastAsia="宋体"/>
                      <w:bCs/>
                      <w:color w:val="auto"/>
                      <w:szCs w:val="21"/>
                      <w:lang w:eastAsia="zh-CN"/>
                    </w:rPr>
                  </w:pPr>
                  <w:r>
                    <w:rPr>
                      <w:rFonts w:hint="eastAsia"/>
                      <w:bCs/>
                      <w:color w:val="auto"/>
                      <w:szCs w:val="21"/>
                    </w:rPr>
                    <w:t>生产过程中产生的废塑料、废橡胶边角料应落实回收利用途径，避免产生二次污染</w:t>
                  </w:r>
                  <w:r>
                    <w:rPr>
                      <w:rFonts w:hint="eastAsia"/>
                      <w:bCs/>
                      <w:color w:val="auto"/>
                      <w:szCs w:val="21"/>
                      <w:lang w:eastAsia="zh-CN"/>
                    </w:rPr>
                    <w:t>。</w:t>
                  </w:r>
                </w:p>
                <w:p w14:paraId="1E8677C3">
                  <w:pPr>
                    <w:rPr>
                      <w:bCs/>
                      <w:color w:val="auto"/>
                      <w:szCs w:val="21"/>
                    </w:rPr>
                  </w:pPr>
                  <w:r>
                    <w:rPr>
                      <w:rFonts w:hint="eastAsia"/>
                      <w:bCs/>
                      <w:color w:val="auto"/>
                      <w:szCs w:val="21"/>
                    </w:rPr>
                    <w:t>禁止使用国家淘汰的生产工艺装备；且不得在厂区内从事电镀、电泳、喷漆等生产活动。</w:t>
                  </w:r>
                </w:p>
              </w:tc>
              <w:tc>
                <w:tcPr>
                  <w:tcW w:w="2167" w:type="dxa"/>
                  <w:tcBorders>
                    <w:tl2br w:val="nil"/>
                    <w:tr2bl w:val="nil"/>
                  </w:tcBorders>
                  <w:noWrap w:val="0"/>
                  <w:vAlign w:val="center"/>
                </w:tcPr>
                <w:p w14:paraId="4A948850">
                  <w:pPr>
                    <w:rPr>
                      <w:bCs/>
                      <w:color w:val="auto"/>
                      <w:szCs w:val="21"/>
                    </w:rPr>
                  </w:pPr>
                  <w:r>
                    <w:rPr>
                      <w:rFonts w:hint="eastAsia"/>
                      <w:bCs/>
                      <w:color w:val="auto"/>
                      <w:szCs w:val="21"/>
                    </w:rPr>
                    <w:t>废气</w:t>
                  </w:r>
                  <w:r>
                    <w:rPr>
                      <w:rFonts w:hint="eastAsia"/>
                      <w:bCs/>
                      <w:color w:val="auto"/>
                      <w:szCs w:val="21"/>
                      <w:lang w:val="en-US" w:eastAsia="zh-CN"/>
                    </w:rPr>
                    <w:t>排放满足</w:t>
                  </w:r>
                  <w:r>
                    <w:rPr>
                      <w:rFonts w:hint="eastAsia"/>
                      <w:bCs/>
                      <w:color w:val="auto"/>
                      <w:szCs w:val="21"/>
                    </w:rPr>
                    <w:t>《大气污染物综合排放标准》</w:t>
                  </w:r>
                  <w:r>
                    <w:rPr>
                      <w:rFonts w:hint="eastAsia"/>
                      <w:bCs/>
                      <w:color w:val="auto"/>
                      <w:szCs w:val="21"/>
                      <w:lang w:eastAsia="zh-CN"/>
                    </w:rPr>
                    <w:t>（</w:t>
                  </w:r>
                  <w:r>
                    <w:rPr>
                      <w:rFonts w:hint="eastAsia"/>
                      <w:bCs/>
                      <w:color w:val="auto"/>
                      <w:szCs w:val="21"/>
                    </w:rPr>
                    <w:t>GB16297-1996</w:t>
                  </w:r>
                  <w:r>
                    <w:rPr>
                      <w:rFonts w:hint="eastAsia"/>
                      <w:bCs/>
                      <w:color w:val="auto"/>
                      <w:szCs w:val="21"/>
                      <w:lang w:eastAsia="zh-CN"/>
                    </w:rPr>
                    <w:t>）</w:t>
                  </w:r>
                  <w:r>
                    <w:rPr>
                      <w:rFonts w:hint="eastAsia"/>
                      <w:bCs/>
                      <w:color w:val="auto"/>
                      <w:szCs w:val="21"/>
                    </w:rPr>
                    <w:t>中无组织排放监控浓度限值。厂区应实行雨污分流，生活污水</w:t>
                  </w:r>
                  <w:r>
                    <w:rPr>
                      <w:rFonts w:hint="eastAsia"/>
                      <w:bCs/>
                      <w:color w:val="auto"/>
                      <w:szCs w:val="21"/>
                      <w:lang w:val="en-US" w:eastAsia="zh-CN"/>
                    </w:rPr>
                    <w:t>经化粪池预处理后接管至芜湖市城南污水处理厂处理，处理后满足</w:t>
                  </w:r>
                  <w:r>
                    <w:rPr>
                      <w:rFonts w:hint="eastAsia"/>
                      <w:bCs/>
                      <w:color w:val="auto"/>
                      <w:szCs w:val="21"/>
                    </w:rPr>
                    <w:t>《污水综合排放标准》</w:t>
                  </w:r>
                  <w:r>
                    <w:rPr>
                      <w:rFonts w:hint="eastAsia"/>
                      <w:bCs/>
                      <w:color w:val="auto"/>
                      <w:szCs w:val="21"/>
                      <w:lang w:eastAsia="zh-CN"/>
                    </w:rPr>
                    <w:t>（</w:t>
                  </w:r>
                  <w:r>
                    <w:rPr>
                      <w:rFonts w:hint="eastAsia"/>
                      <w:bCs/>
                      <w:color w:val="auto"/>
                      <w:szCs w:val="21"/>
                    </w:rPr>
                    <w:t>GB8978—1996</w:t>
                  </w:r>
                  <w:r>
                    <w:rPr>
                      <w:rFonts w:hint="eastAsia"/>
                      <w:bCs/>
                      <w:color w:val="auto"/>
                      <w:szCs w:val="21"/>
                      <w:lang w:eastAsia="zh-CN"/>
                    </w:rPr>
                    <w:t>）</w:t>
                  </w:r>
                  <w:r>
                    <w:rPr>
                      <w:rFonts w:hint="eastAsia"/>
                      <w:bCs/>
                      <w:color w:val="auto"/>
                      <w:szCs w:val="21"/>
                    </w:rPr>
                    <w:t>中三级标准</w:t>
                  </w:r>
                  <w:r>
                    <w:rPr>
                      <w:rFonts w:hint="eastAsia"/>
                      <w:bCs/>
                      <w:color w:val="auto"/>
                      <w:szCs w:val="21"/>
                      <w:lang w:eastAsia="zh-CN"/>
                    </w:rPr>
                    <w:t>。</w:t>
                  </w:r>
                  <w:r>
                    <w:rPr>
                      <w:rFonts w:hint="eastAsia"/>
                      <w:bCs/>
                      <w:color w:val="auto"/>
                      <w:szCs w:val="21"/>
                    </w:rPr>
                    <w:t>噪声</w:t>
                  </w:r>
                  <w:r>
                    <w:rPr>
                      <w:rFonts w:hint="eastAsia"/>
                      <w:bCs/>
                      <w:color w:val="auto"/>
                      <w:szCs w:val="21"/>
                      <w:lang w:val="en-US" w:eastAsia="zh-CN"/>
                    </w:rPr>
                    <w:t>排放满足</w:t>
                  </w:r>
                  <w:r>
                    <w:rPr>
                      <w:rFonts w:hint="eastAsia"/>
                      <w:bCs/>
                      <w:color w:val="auto"/>
                      <w:szCs w:val="21"/>
                    </w:rPr>
                    <w:t>《工业企业厂界环境噪声排放标准》</w:t>
                  </w:r>
                  <w:r>
                    <w:rPr>
                      <w:rFonts w:hint="eastAsia"/>
                      <w:bCs/>
                      <w:color w:val="auto"/>
                      <w:szCs w:val="21"/>
                      <w:lang w:eastAsia="zh-CN"/>
                    </w:rPr>
                    <w:t>（</w:t>
                  </w:r>
                  <w:r>
                    <w:rPr>
                      <w:rFonts w:hint="eastAsia"/>
                      <w:bCs/>
                      <w:color w:val="auto"/>
                      <w:szCs w:val="21"/>
                    </w:rPr>
                    <w:t>GB12348-2008</w:t>
                  </w:r>
                  <w:r>
                    <w:rPr>
                      <w:rFonts w:hint="eastAsia"/>
                      <w:bCs/>
                      <w:color w:val="auto"/>
                      <w:szCs w:val="21"/>
                      <w:lang w:eastAsia="zh-CN"/>
                    </w:rPr>
                    <w:t>）</w:t>
                  </w:r>
                  <w:r>
                    <w:rPr>
                      <w:rFonts w:hint="eastAsia"/>
                      <w:bCs/>
                      <w:color w:val="auto"/>
                      <w:szCs w:val="21"/>
                    </w:rPr>
                    <w:t>中3类限值</w:t>
                  </w:r>
                  <w:r>
                    <w:rPr>
                      <w:rFonts w:hint="eastAsia"/>
                      <w:bCs/>
                      <w:color w:val="auto"/>
                      <w:szCs w:val="21"/>
                      <w:lang w:eastAsia="zh-CN"/>
                    </w:rPr>
                    <w:t>。</w:t>
                  </w:r>
                  <w:r>
                    <w:rPr>
                      <w:rFonts w:hint="eastAsia"/>
                      <w:bCs/>
                      <w:color w:val="auto"/>
                      <w:szCs w:val="21"/>
                      <w:lang w:val="en-US" w:eastAsia="zh-CN"/>
                    </w:rPr>
                    <w:t>一般固废收集后外售，危废交由有资质单位处理，生活垃圾交由环卫部门处理。</w:t>
                  </w:r>
                </w:p>
              </w:tc>
              <w:tc>
                <w:tcPr>
                  <w:tcW w:w="1167" w:type="dxa"/>
                  <w:tcBorders>
                    <w:tl2br w:val="nil"/>
                    <w:tr2bl w:val="nil"/>
                  </w:tcBorders>
                  <w:noWrap w:val="0"/>
                  <w:vAlign w:val="center"/>
                </w:tcPr>
                <w:p w14:paraId="18CC5F51">
                  <w:pPr>
                    <w:autoSpaceDE w:val="0"/>
                    <w:autoSpaceDN w:val="0"/>
                    <w:adjustRightInd w:val="0"/>
                    <w:jc w:val="left"/>
                    <w:rPr>
                      <w:rFonts w:hint="default" w:eastAsia="宋体"/>
                      <w:bCs/>
                      <w:color w:val="auto"/>
                      <w:szCs w:val="21"/>
                      <w:lang w:val="en-US" w:eastAsia="zh-CN"/>
                    </w:rPr>
                  </w:pPr>
                  <w:r>
                    <w:rPr>
                      <w:rFonts w:hint="eastAsia"/>
                      <w:bCs/>
                      <w:color w:val="auto"/>
                      <w:szCs w:val="21"/>
                      <w:lang w:val="en-US" w:eastAsia="zh-CN"/>
                    </w:rPr>
                    <w:t>与环评一致</w:t>
                  </w:r>
                </w:p>
              </w:tc>
            </w:tr>
            <w:tr w14:paraId="0B265C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4" w:hRule="atLeast"/>
                <w:jc w:val="center"/>
              </w:trPr>
              <w:tc>
                <w:tcPr>
                  <w:tcW w:w="713" w:type="dxa"/>
                  <w:tcBorders>
                    <w:tl2br w:val="nil"/>
                    <w:tr2bl w:val="nil"/>
                  </w:tcBorders>
                  <w:noWrap w:val="0"/>
                  <w:vAlign w:val="center"/>
                </w:tcPr>
                <w:p w14:paraId="2A42B192">
                  <w:pPr>
                    <w:jc w:val="center"/>
                    <w:rPr>
                      <w:rFonts w:hint="eastAsia"/>
                      <w:color w:val="auto"/>
                      <w:szCs w:val="21"/>
                    </w:rPr>
                  </w:pPr>
                  <w:r>
                    <w:rPr>
                      <w:rFonts w:hint="eastAsia"/>
                      <w:color w:val="auto"/>
                      <w:szCs w:val="21"/>
                    </w:rPr>
                    <w:t>芜湖工业园项目环境影响补充报告</w:t>
                  </w:r>
                </w:p>
              </w:tc>
              <w:tc>
                <w:tcPr>
                  <w:tcW w:w="3950" w:type="dxa"/>
                  <w:tcBorders>
                    <w:tl2br w:val="nil"/>
                    <w:tr2bl w:val="nil"/>
                  </w:tcBorders>
                  <w:noWrap w:val="0"/>
                  <w:vAlign w:val="center"/>
                </w:tcPr>
                <w:p w14:paraId="5D3CD042">
                  <w:pPr>
                    <w:rPr>
                      <w:color w:val="auto"/>
                      <w:szCs w:val="21"/>
                    </w:rPr>
                  </w:pPr>
                  <w:r>
                    <w:rPr>
                      <w:rFonts w:hint="eastAsia"/>
                      <w:color w:val="auto"/>
                      <w:szCs w:val="21"/>
                    </w:rPr>
                    <w:t>你公司在项目实施过程中，根据生产需要对部分生产设备进行调整：取消原设计方案中3条自动化流水线，其它环保措施不变。调整后，项目建设性质、地点、厂区总平面布局、生产规模、主要生产工艺、辅助工程、产能均不改变，仍满足各项环保要求。因此，我局同意你公司按照调整后的方案进行项目建设。</w:t>
                  </w:r>
                </w:p>
              </w:tc>
              <w:tc>
                <w:tcPr>
                  <w:tcW w:w="2167" w:type="dxa"/>
                  <w:tcBorders>
                    <w:tl2br w:val="nil"/>
                    <w:tr2bl w:val="nil"/>
                  </w:tcBorders>
                  <w:noWrap w:val="0"/>
                  <w:vAlign w:val="center"/>
                </w:tcPr>
                <w:p w14:paraId="1CF05860">
                  <w:pPr>
                    <w:autoSpaceDE w:val="0"/>
                    <w:autoSpaceDN w:val="0"/>
                    <w:adjustRightInd w:val="0"/>
                    <w:rPr>
                      <w:rFonts w:hint="default" w:eastAsia="宋体"/>
                      <w:color w:val="auto"/>
                      <w:szCs w:val="21"/>
                      <w:lang w:val="en-US" w:eastAsia="zh-CN"/>
                    </w:rPr>
                  </w:pPr>
                  <w:r>
                    <w:rPr>
                      <w:rFonts w:hint="eastAsia"/>
                      <w:color w:val="auto"/>
                      <w:szCs w:val="21"/>
                      <w:lang w:val="en-US" w:eastAsia="zh-CN"/>
                    </w:rPr>
                    <w:t>已取消</w:t>
                  </w:r>
                  <w:r>
                    <w:rPr>
                      <w:rFonts w:hint="eastAsia"/>
                      <w:color w:val="auto"/>
                      <w:szCs w:val="21"/>
                    </w:rPr>
                    <w:t>原设计方案中3条自动化流水线，其它环保措施不变</w:t>
                  </w:r>
                </w:p>
              </w:tc>
              <w:tc>
                <w:tcPr>
                  <w:tcW w:w="1167" w:type="dxa"/>
                  <w:tcBorders>
                    <w:tl2br w:val="nil"/>
                    <w:tr2bl w:val="nil"/>
                  </w:tcBorders>
                  <w:noWrap w:val="0"/>
                  <w:vAlign w:val="center"/>
                </w:tcPr>
                <w:p w14:paraId="5C96D768">
                  <w:pPr>
                    <w:autoSpaceDE w:val="0"/>
                    <w:autoSpaceDN w:val="0"/>
                    <w:adjustRightInd w:val="0"/>
                    <w:rPr>
                      <w:rFonts w:hint="eastAsia"/>
                      <w:color w:val="auto"/>
                      <w:szCs w:val="21"/>
                    </w:rPr>
                  </w:pPr>
                  <w:r>
                    <w:rPr>
                      <w:rFonts w:hint="eastAsia"/>
                      <w:bCs/>
                      <w:color w:val="auto"/>
                      <w:szCs w:val="21"/>
                      <w:lang w:val="en-US" w:eastAsia="zh-CN"/>
                    </w:rPr>
                    <w:t>与环评一致</w:t>
                  </w:r>
                </w:p>
              </w:tc>
            </w:tr>
            <w:tr w14:paraId="71BA80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7" w:hRule="atLeast"/>
                <w:jc w:val="center"/>
              </w:trPr>
              <w:tc>
                <w:tcPr>
                  <w:tcW w:w="713" w:type="dxa"/>
                  <w:tcBorders>
                    <w:tl2br w:val="nil"/>
                    <w:tr2bl w:val="nil"/>
                  </w:tcBorders>
                  <w:noWrap w:val="0"/>
                  <w:vAlign w:val="center"/>
                </w:tcPr>
                <w:p w14:paraId="18ADF805">
                  <w:pPr>
                    <w:widowControl/>
                    <w:jc w:val="center"/>
                    <w:rPr>
                      <w:rFonts w:hint="eastAsia"/>
                      <w:bCs/>
                      <w:color w:val="auto"/>
                      <w:szCs w:val="21"/>
                    </w:rPr>
                  </w:pPr>
                  <w:r>
                    <w:rPr>
                      <w:rFonts w:hint="eastAsia" w:ascii="Times New Roman" w:hAnsi="Times New Roman" w:eastAsia="宋体"/>
                      <w:caps w:val="0"/>
                      <w:color w:val="auto"/>
                      <w:szCs w:val="21"/>
                      <w:highlight w:val="none"/>
                    </w:rPr>
                    <w:t>汽车新能源高压系列产品（连接器、线束、电子锁等）</w:t>
                  </w:r>
                </w:p>
              </w:tc>
              <w:tc>
                <w:tcPr>
                  <w:tcW w:w="3950" w:type="dxa"/>
                  <w:tcBorders>
                    <w:tl2br w:val="nil"/>
                    <w:tr2bl w:val="nil"/>
                  </w:tcBorders>
                  <w:noWrap w:val="0"/>
                  <w:vAlign w:val="center"/>
                </w:tcPr>
                <w:p w14:paraId="25F664D5">
                  <w:pPr>
                    <w:rPr>
                      <w:rFonts w:hint="eastAsia"/>
                      <w:bCs/>
                      <w:color w:val="auto"/>
                      <w:szCs w:val="21"/>
                    </w:rPr>
                  </w:pPr>
                  <w:r>
                    <w:rPr>
                      <w:rFonts w:hint="eastAsia"/>
                      <w:bCs/>
                      <w:color w:val="auto"/>
                      <w:szCs w:val="21"/>
                    </w:rPr>
                    <w:t>切实落实长三角地区、省、市相关大气污染防治行动计划实施方案以及国家和地方政府制定的冬防措施、重大活动保障措施、重污染天气应急措施、污染物特别排放限值等各项环境管理要求。注塑等工序废气及无组织废气经治理后外排满足《合成树脂工业污染物排放标准》</w:t>
                  </w:r>
                  <w:r>
                    <w:rPr>
                      <w:rFonts w:hint="eastAsia"/>
                      <w:bCs/>
                      <w:color w:val="auto"/>
                      <w:szCs w:val="21"/>
                      <w:lang w:eastAsia="zh-CN"/>
                    </w:rPr>
                    <w:t>（</w:t>
                  </w:r>
                  <w:r>
                    <w:rPr>
                      <w:rFonts w:hint="eastAsia"/>
                      <w:bCs/>
                      <w:color w:val="auto"/>
                      <w:szCs w:val="21"/>
                    </w:rPr>
                    <w:t>GB31572-2015</w:t>
                  </w:r>
                  <w:r>
                    <w:rPr>
                      <w:rFonts w:hint="eastAsia"/>
                      <w:bCs/>
                      <w:color w:val="auto"/>
                      <w:szCs w:val="21"/>
                      <w:lang w:eastAsia="zh-CN"/>
                    </w:rPr>
                    <w:t>）</w:t>
                  </w:r>
                  <w:r>
                    <w:rPr>
                      <w:rFonts w:hint="eastAsia"/>
                      <w:bCs/>
                      <w:color w:val="auto"/>
                      <w:szCs w:val="21"/>
                    </w:rPr>
                    <w:t>相应标准限值。治理设施须正常稳定运行。排放口符合规范化设要求。设置卫生防护距离50米。</w:t>
                  </w:r>
                </w:p>
                <w:p w14:paraId="4E2B7024">
                  <w:pPr>
                    <w:rPr>
                      <w:rFonts w:hint="eastAsia"/>
                      <w:bCs/>
                      <w:color w:val="auto"/>
                      <w:szCs w:val="21"/>
                    </w:rPr>
                  </w:pPr>
                  <w:r>
                    <w:rPr>
                      <w:rFonts w:hint="eastAsia"/>
                      <w:bCs/>
                      <w:color w:val="auto"/>
                      <w:szCs w:val="21"/>
                    </w:rPr>
                    <w:t>加强水污染防治。落实雨污分流制度。废水经治理后排放执行纳管协议及《污水综排放标准》</w:t>
                  </w:r>
                  <w:r>
                    <w:rPr>
                      <w:rFonts w:hint="eastAsia"/>
                      <w:bCs/>
                      <w:color w:val="auto"/>
                      <w:szCs w:val="21"/>
                      <w:lang w:eastAsia="zh-CN"/>
                    </w:rPr>
                    <w:t>（</w:t>
                  </w:r>
                  <w:r>
                    <w:rPr>
                      <w:rFonts w:hint="eastAsia"/>
                      <w:bCs/>
                      <w:color w:val="auto"/>
                      <w:szCs w:val="21"/>
                    </w:rPr>
                    <w:t>GB8978-1996</w:t>
                  </w:r>
                  <w:r>
                    <w:rPr>
                      <w:rFonts w:hint="eastAsia"/>
                      <w:bCs/>
                      <w:color w:val="auto"/>
                      <w:szCs w:val="21"/>
                      <w:lang w:eastAsia="zh-CN"/>
                    </w:rPr>
                    <w:t>）</w:t>
                  </w:r>
                  <w:r>
                    <w:rPr>
                      <w:rFonts w:hint="eastAsia"/>
                      <w:bCs/>
                      <w:color w:val="auto"/>
                      <w:szCs w:val="21"/>
                    </w:rPr>
                    <w:t>中三级标准，并通过污水管网纳入区域污水处理厂集中处理，</w:t>
                  </w:r>
                  <w:r>
                    <w:rPr>
                      <w:rFonts w:hint="eastAsia"/>
                      <w:bCs/>
                      <w:color w:val="auto"/>
                      <w:szCs w:val="21"/>
                      <w:lang w:val="en-US" w:eastAsia="zh-CN"/>
                    </w:rPr>
                    <w:t>污</w:t>
                  </w:r>
                  <w:r>
                    <w:rPr>
                      <w:rFonts w:hint="eastAsia"/>
                      <w:bCs/>
                      <w:color w:val="auto"/>
                      <w:szCs w:val="21"/>
                    </w:rPr>
                    <w:t>水无法接入污水处理厂期间，不得生产。</w:t>
                  </w:r>
                </w:p>
                <w:p w14:paraId="2105451D">
                  <w:pPr>
                    <w:rPr>
                      <w:rFonts w:hint="eastAsia"/>
                      <w:bCs/>
                      <w:color w:val="auto"/>
                      <w:szCs w:val="21"/>
                    </w:rPr>
                  </w:pPr>
                  <w:r>
                    <w:rPr>
                      <w:rFonts w:hint="eastAsia"/>
                      <w:bCs/>
                      <w:color w:val="auto"/>
                      <w:szCs w:val="21"/>
                    </w:rPr>
                    <w:t>加强噪声污染防治。选用低噪设备，并针对性地分别采取隔声、消声、减振措施降低噪声，噪声外排执行《工业企业厂界环境噪声排放标准》</w:t>
                  </w:r>
                  <w:r>
                    <w:rPr>
                      <w:rFonts w:hint="eastAsia"/>
                      <w:bCs/>
                      <w:color w:val="auto"/>
                      <w:szCs w:val="21"/>
                      <w:lang w:eastAsia="zh-CN"/>
                    </w:rPr>
                    <w:t>（</w:t>
                  </w:r>
                  <w:r>
                    <w:rPr>
                      <w:rFonts w:hint="eastAsia"/>
                      <w:bCs/>
                      <w:color w:val="auto"/>
                      <w:szCs w:val="21"/>
                    </w:rPr>
                    <w:t>GB12348-2008</w:t>
                  </w:r>
                  <w:r>
                    <w:rPr>
                      <w:rFonts w:hint="eastAsia"/>
                      <w:bCs/>
                      <w:color w:val="auto"/>
                      <w:szCs w:val="21"/>
                      <w:lang w:eastAsia="zh-CN"/>
                    </w:rPr>
                    <w:t>）</w:t>
                  </w:r>
                  <w:r>
                    <w:rPr>
                      <w:rFonts w:hint="eastAsia"/>
                      <w:bCs/>
                      <w:color w:val="auto"/>
                      <w:szCs w:val="21"/>
                    </w:rPr>
                    <w:t>中3类标准限</w:t>
                  </w:r>
                  <w:r>
                    <w:rPr>
                      <w:rFonts w:hint="eastAsia"/>
                      <w:bCs/>
                      <w:color w:val="auto"/>
                      <w:szCs w:val="21"/>
                      <w:lang w:val="en-US" w:eastAsia="zh-CN"/>
                    </w:rPr>
                    <w:t>值</w:t>
                  </w:r>
                  <w:r>
                    <w:rPr>
                      <w:rFonts w:hint="eastAsia"/>
                      <w:bCs/>
                      <w:color w:val="auto"/>
                      <w:szCs w:val="21"/>
                    </w:rPr>
                    <w:t>。对周边环境保护目标声环境影响须控制在《声环境质量标准》</w:t>
                  </w:r>
                  <w:r>
                    <w:rPr>
                      <w:rFonts w:hint="eastAsia"/>
                      <w:bCs/>
                      <w:color w:val="auto"/>
                      <w:szCs w:val="21"/>
                      <w:lang w:eastAsia="zh-CN"/>
                    </w:rPr>
                    <w:t>（</w:t>
                  </w:r>
                  <w:r>
                    <w:rPr>
                      <w:rFonts w:hint="eastAsia"/>
                      <w:bCs/>
                      <w:color w:val="auto"/>
                      <w:szCs w:val="21"/>
                    </w:rPr>
                    <w:t>GB3096-2008</w:t>
                  </w:r>
                  <w:r>
                    <w:rPr>
                      <w:rFonts w:hint="eastAsia"/>
                      <w:bCs/>
                      <w:color w:val="auto"/>
                      <w:szCs w:val="21"/>
                      <w:lang w:eastAsia="zh-CN"/>
                    </w:rPr>
                    <w:t>）</w:t>
                  </w:r>
                  <w:r>
                    <w:rPr>
                      <w:rFonts w:hint="eastAsia"/>
                      <w:bCs/>
                      <w:color w:val="auto"/>
                      <w:szCs w:val="21"/>
                    </w:rPr>
                    <w:t>相应标准限值以下。</w:t>
                  </w:r>
                </w:p>
                <w:p w14:paraId="53DFCE49">
                  <w:pPr>
                    <w:rPr>
                      <w:rFonts w:hint="eastAsia"/>
                      <w:bCs/>
                      <w:color w:val="auto"/>
                      <w:szCs w:val="21"/>
                    </w:rPr>
                  </w:pPr>
                  <w:r>
                    <w:rPr>
                      <w:rFonts w:hint="eastAsia"/>
                      <w:bCs/>
                      <w:color w:val="auto"/>
                      <w:szCs w:val="21"/>
                    </w:rPr>
                    <w:t>加强固废污染防治。一般工业固废应分类收集，落实回收利用途径。生活垃圾应统一收集交环卫部门及时清运，以免产生二次污染。属危险废物的，建设单位必须委托有相应资质的单位按照国家有关规定妥善处理处置并做好防渗防腐措施。公司内临时贮存设施建设需符合《危险废物贮存污染控制标准》</w:t>
                  </w:r>
                  <w:r>
                    <w:rPr>
                      <w:rFonts w:hint="eastAsia"/>
                      <w:bCs/>
                      <w:color w:val="auto"/>
                      <w:szCs w:val="21"/>
                      <w:lang w:eastAsia="zh-CN"/>
                    </w:rPr>
                    <w:t>（</w:t>
                  </w:r>
                  <w:r>
                    <w:rPr>
                      <w:rFonts w:hint="eastAsia"/>
                      <w:bCs/>
                      <w:color w:val="auto"/>
                      <w:szCs w:val="21"/>
                    </w:rPr>
                    <w:t>GB18597-2001</w:t>
                  </w:r>
                  <w:r>
                    <w:rPr>
                      <w:rFonts w:hint="eastAsia"/>
                      <w:bCs/>
                      <w:color w:val="auto"/>
                      <w:szCs w:val="21"/>
                      <w:lang w:eastAsia="zh-CN"/>
                    </w:rPr>
                    <w:t>）</w:t>
                  </w:r>
                  <w:r>
                    <w:rPr>
                      <w:rFonts w:hint="eastAsia"/>
                      <w:bCs/>
                      <w:color w:val="auto"/>
                      <w:szCs w:val="21"/>
                    </w:rPr>
                    <w:t>及其修改单有关规定。</w:t>
                  </w:r>
                </w:p>
                <w:p w14:paraId="12D20E97">
                  <w:pPr>
                    <w:rPr>
                      <w:bCs/>
                      <w:color w:val="auto"/>
                      <w:szCs w:val="21"/>
                    </w:rPr>
                  </w:pPr>
                  <w:r>
                    <w:rPr>
                      <w:rFonts w:hint="eastAsia"/>
                      <w:bCs/>
                      <w:color w:val="auto"/>
                      <w:szCs w:val="21"/>
                    </w:rPr>
                    <w:t>项目实施过程中应按照“达标排放、清洁生产、总量控制”原则，严格执行配套建的环境保护设施与主体工程同时设计、同时施工、同时投产使用的环境保护“三同时”制[。项目竣工后，建设单位应当按照《建设项目环境保护管理条例》</w:t>
                  </w:r>
                  <w:r>
                    <w:rPr>
                      <w:rFonts w:hint="eastAsia"/>
                      <w:bCs/>
                      <w:color w:val="auto"/>
                      <w:szCs w:val="21"/>
                      <w:lang w:eastAsia="zh-CN"/>
                    </w:rPr>
                    <w:t>（</w:t>
                  </w:r>
                  <w:r>
                    <w:rPr>
                      <w:rFonts w:hint="eastAsia"/>
                      <w:bCs/>
                      <w:color w:val="auto"/>
                      <w:szCs w:val="21"/>
                    </w:rPr>
                    <w:t>国务院第682号令</w:t>
                  </w:r>
                  <w:r>
                    <w:rPr>
                      <w:rFonts w:hint="eastAsia"/>
                      <w:bCs/>
                      <w:color w:val="auto"/>
                      <w:szCs w:val="21"/>
                      <w:lang w:eastAsia="zh-CN"/>
                    </w:rPr>
                    <w:t>）</w:t>
                  </w:r>
                  <w:r>
                    <w:rPr>
                      <w:rFonts w:hint="eastAsia"/>
                      <w:bCs/>
                      <w:color w:val="auto"/>
                      <w:szCs w:val="21"/>
                    </w:rPr>
                    <w:t>求，验收配套建设的环境保护设施，并依法向社会公开验收报告，未经验收或验收不合格不得投入生产、使用。</w:t>
                  </w:r>
                </w:p>
              </w:tc>
              <w:tc>
                <w:tcPr>
                  <w:tcW w:w="2167" w:type="dxa"/>
                  <w:tcBorders>
                    <w:tl2br w:val="nil"/>
                    <w:tr2bl w:val="nil"/>
                  </w:tcBorders>
                  <w:noWrap w:val="0"/>
                  <w:vAlign w:val="center"/>
                </w:tcPr>
                <w:p w14:paraId="051B5903">
                  <w:pPr>
                    <w:rPr>
                      <w:rFonts w:hint="default" w:eastAsia="宋体"/>
                      <w:bCs/>
                      <w:color w:val="auto"/>
                      <w:szCs w:val="21"/>
                      <w:lang w:val="en-US" w:eastAsia="zh-CN"/>
                    </w:rPr>
                  </w:pPr>
                  <w:r>
                    <w:rPr>
                      <w:rFonts w:hint="eastAsia"/>
                      <w:bCs/>
                      <w:color w:val="auto"/>
                      <w:szCs w:val="21"/>
                    </w:rPr>
                    <w:t>注塑等工序废气及无组织废气经治理后外排满足《合成树脂工业污染物排放标准》</w:t>
                  </w:r>
                  <w:r>
                    <w:rPr>
                      <w:rFonts w:hint="eastAsia"/>
                      <w:bCs/>
                      <w:color w:val="auto"/>
                      <w:szCs w:val="21"/>
                      <w:lang w:eastAsia="zh-CN"/>
                    </w:rPr>
                    <w:t>（</w:t>
                  </w:r>
                  <w:r>
                    <w:rPr>
                      <w:rFonts w:hint="eastAsia"/>
                      <w:bCs/>
                      <w:color w:val="auto"/>
                      <w:szCs w:val="21"/>
                    </w:rPr>
                    <w:t>GB31572-2015</w:t>
                  </w:r>
                  <w:r>
                    <w:rPr>
                      <w:rFonts w:hint="eastAsia"/>
                      <w:bCs/>
                      <w:color w:val="auto"/>
                      <w:szCs w:val="21"/>
                      <w:lang w:eastAsia="zh-CN"/>
                    </w:rPr>
                    <w:t>）</w:t>
                  </w:r>
                  <w:r>
                    <w:rPr>
                      <w:rFonts w:hint="eastAsia"/>
                      <w:bCs/>
                      <w:color w:val="auto"/>
                      <w:szCs w:val="21"/>
                    </w:rPr>
                    <w:t>相应标准限值</w:t>
                  </w:r>
                  <w:r>
                    <w:rPr>
                      <w:rFonts w:hint="eastAsia"/>
                      <w:bCs/>
                      <w:color w:val="auto"/>
                      <w:szCs w:val="21"/>
                      <w:lang w:eastAsia="zh-CN"/>
                    </w:rPr>
                    <w:t>；</w:t>
                  </w:r>
                  <w:r>
                    <w:rPr>
                      <w:rFonts w:hint="eastAsia"/>
                      <w:color w:val="auto"/>
                      <w:szCs w:val="21"/>
                    </w:rPr>
                    <w:t>项目边界</w:t>
                  </w:r>
                  <w:r>
                    <w:rPr>
                      <w:rFonts w:hint="eastAsia"/>
                      <w:color w:val="auto"/>
                      <w:szCs w:val="21"/>
                      <w:lang w:val="en-US" w:eastAsia="zh-CN"/>
                    </w:rPr>
                    <w:t>5</w:t>
                  </w:r>
                  <w:r>
                    <w:rPr>
                      <w:color w:val="auto"/>
                      <w:szCs w:val="21"/>
                    </w:rPr>
                    <w:t>0</w:t>
                  </w:r>
                  <w:r>
                    <w:rPr>
                      <w:rFonts w:hint="eastAsia"/>
                      <w:color w:val="auto"/>
                      <w:szCs w:val="21"/>
                    </w:rPr>
                    <w:t>m范围内</w:t>
                  </w:r>
                  <w:r>
                    <w:rPr>
                      <w:rFonts w:hint="eastAsia"/>
                      <w:color w:val="auto"/>
                      <w:szCs w:val="21"/>
                      <w:lang w:val="en-US" w:eastAsia="zh-CN"/>
                    </w:rPr>
                    <w:t>目前</w:t>
                  </w:r>
                  <w:r>
                    <w:rPr>
                      <w:rFonts w:hint="eastAsia"/>
                      <w:color w:val="auto"/>
                      <w:szCs w:val="21"/>
                    </w:rPr>
                    <w:t>无</w:t>
                  </w:r>
                  <w:r>
                    <w:rPr>
                      <w:rFonts w:hint="eastAsia"/>
                      <w:bCs/>
                      <w:color w:val="auto"/>
                      <w:szCs w:val="21"/>
                    </w:rPr>
                    <w:t>居民区、医院、学校等人群长期居住的敏感建筑物。生活污水</w:t>
                  </w:r>
                  <w:r>
                    <w:rPr>
                      <w:rFonts w:hint="eastAsia"/>
                      <w:bCs/>
                      <w:color w:val="auto"/>
                      <w:szCs w:val="21"/>
                      <w:lang w:val="en-US" w:eastAsia="zh-CN"/>
                    </w:rPr>
                    <w:t>经化粪池预处理后接管至芜湖市城南污水处理厂处理，处理后满足</w:t>
                  </w:r>
                  <w:r>
                    <w:rPr>
                      <w:rFonts w:hint="eastAsia"/>
                      <w:bCs/>
                      <w:color w:val="auto"/>
                      <w:szCs w:val="21"/>
                    </w:rPr>
                    <w:t>《污水综合排放标准》</w:t>
                  </w:r>
                  <w:r>
                    <w:rPr>
                      <w:rFonts w:hint="eastAsia"/>
                      <w:bCs/>
                      <w:color w:val="auto"/>
                      <w:szCs w:val="21"/>
                      <w:lang w:eastAsia="zh-CN"/>
                    </w:rPr>
                    <w:t>（</w:t>
                  </w:r>
                  <w:r>
                    <w:rPr>
                      <w:rFonts w:hint="eastAsia"/>
                      <w:bCs/>
                      <w:color w:val="auto"/>
                      <w:szCs w:val="21"/>
                    </w:rPr>
                    <w:t>GB8978—1996</w:t>
                  </w:r>
                  <w:r>
                    <w:rPr>
                      <w:rFonts w:hint="eastAsia"/>
                      <w:bCs/>
                      <w:color w:val="auto"/>
                      <w:szCs w:val="21"/>
                      <w:lang w:eastAsia="zh-CN"/>
                    </w:rPr>
                    <w:t>）</w:t>
                  </w:r>
                  <w:r>
                    <w:rPr>
                      <w:rFonts w:hint="eastAsia"/>
                      <w:bCs/>
                      <w:color w:val="auto"/>
                      <w:szCs w:val="21"/>
                    </w:rPr>
                    <w:t>中三级标准</w:t>
                  </w:r>
                  <w:r>
                    <w:rPr>
                      <w:rFonts w:hint="eastAsia"/>
                      <w:bCs/>
                      <w:color w:val="auto"/>
                      <w:szCs w:val="21"/>
                      <w:lang w:eastAsia="zh-CN"/>
                    </w:rPr>
                    <w:t>。</w:t>
                  </w:r>
                  <w:r>
                    <w:rPr>
                      <w:rFonts w:hint="eastAsia"/>
                      <w:bCs/>
                      <w:color w:val="auto"/>
                      <w:szCs w:val="21"/>
                    </w:rPr>
                    <w:t>噪声</w:t>
                  </w:r>
                  <w:r>
                    <w:rPr>
                      <w:rFonts w:hint="eastAsia"/>
                      <w:bCs/>
                      <w:color w:val="auto"/>
                      <w:szCs w:val="21"/>
                      <w:lang w:val="en-US" w:eastAsia="zh-CN"/>
                    </w:rPr>
                    <w:t>排放满足</w:t>
                  </w:r>
                  <w:r>
                    <w:rPr>
                      <w:rFonts w:hint="eastAsia"/>
                      <w:bCs/>
                      <w:color w:val="auto"/>
                      <w:szCs w:val="21"/>
                    </w:rPr>
                    <w:t>《工业企业厂界环境噪声排放标准》</w:t>
                  </w:r>
                  <w:r>
                    <w:rPr>
                      <w:rFonts w:hint="eastAsia"/>
                      <w:bCs/>
                      <w:color w:val="auto"/>
                      <w:szCs w:val="21"/>
                      <w:lang w:eastAsia="zh-CN"/>
                    </w:rPr>
                    <w:t>（</w:t>
                  </w:r>
                  <w:r>
                    <w:rPr>
                      <w:rFonts w:hint="eastAsia"/>
                      <w:bCs/>
                      <w:color w:val="auto"/>
                      <w:szCs w:val="21"/>
                    </w:rPr>
                    <w:t>GB12348-2008</w:t>
                  </w:r>
                  <w:r>
                    <w:rPr>
                      <w:rFonts w:hint="eastAsia"/>
                      <w:bCs/>
                      <w:color w:val="auto"/>
                      <w:szCs w:val="21"/>
                      <w:lang w:eastAsia="zh-CN"/>
                    </w:rPr>
                    <w:t>）</w:t>
                  </w:r>
                  <w:r>
                    <w:rPr>
                      <w:rFonts w:hint="eastAsia"/>
                      <w:bCs/>
                      <w:color w:val="auto"/>
                      <w:szCs w:val="21"/>
                    </w:rPr>
                    <w:t>中3类限值</w:t>
                  </w:r>
                  <w:r>
                    <w:rPr>
                      <w:rFonts w:hint="eastAsia"/>
                      <w:bCs/>
                      <w:color w:val="auto"/>
                      <w:szCs w:val="21"/>
                      <w:lang w:eastAsia="zh-CN"/>
                    </w:rPr>
                    <w:t>。</w:t>
                  </w:r>
                  <w:r>
                    <w:rPr>
                      <w:rFonts w:hint="eastAsia"/>
                      <w:bCs/>
                      <w:color w:val="auto"/>
                      <w:szCs w:val="21"/>
                      <w:lang w:val="en-US" w:eastAsia="zh-CN"/>
                    </w:rPr>
                    <w:t>一般固废收集后外售，危废交由有资质单位处理，生活垃圾交由环卫部门处理。</w:t>
                  </w:r>
                </w:p>
                <w:p w14:paraId="5CBC0CE2">
                  <w:pPr>
                    <w:adjustRightInd w:val="0"/>
                    <w:snapToGrid w:val="0"/>
                    <w:rPr>
                      <w:color w:val="auto"/>
                      <w:szCs w:val="21"/>
                    </w:rPr>
                  </w:pPr>
                </w:p>
              </w:tc>
              <w:tc>
                <w:tcPr>
                  <w:tcW w:w="1167" w:type="dxa"/>
                  <w:tcBorders>
                    <w:tl2br w:val="nil"/>
                    <w:tr2bl w:val="nil"/>
                  </w:tcBorders>
                  <w:noWrap w:val="0"/>
                  <w:vAlign w:val="center"/>
                </w:tcPr>
                <w:p w14:paraId="542C540C">
                  <w:pPr>
                    <w:adjustRightInd w:val="0"/>
                    <w:snapToGrid w:val="0"/>
                    <w:rPr>
                      <w:rFonts w:hint="eastAsia"/>
                      <w:bCs/>
                      <w:color w:val="auto"/>
                      <w:szCs w:val="21"/>
                    </w:rPr>
                  </w:pPr>
                  <w:r>
                    <w:rPr>
                      <w:rFonts w:hint="eastAsia"/>
                      <w:bCs/>
                      <w:color w:val="auto"/>
                      <w:szCs w:val="21"/>
                      <w:lang w:val="en-US" w:eastAsia="zh-CN"/>
                    </w:rPr>
                    <w:t>与环评一致</w:t>
                  </w:r>
                </w:p>
              </w:tc>
            </w:tr>
            <w:tr w14:paraId="3E1A0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713" w:type="dxa"/>
                  <w:tcBorders>
                    <w:tl2br w:val="nil"/>
                    <w:tr2bl w:val="nil"/>
                  </w:tcBorders>
                  <w:noWrap w:val="0"/>
                  <w:vAlign w:val="center"/>
                </w:tcPr>
                <w:p w14:paraId="067F8B05">
                  <w:pPr>
                    <w:rPr>
                      <w:rFonts w:hint="eastAsia"/>
                      <w:bCs/>
                      <w:color w:val="auto"/>
                      <w:szCs w:val="21"/>
                    </w:rPr>
                  </w:pPr>
                  <w:r>
                    <w:rPr>
                      <w:rFonts w:hint="eastAsia" w:ascii="Times New Roman" w:hAnsi="Times New Roman" w:eastAsia="宋体"/>
                      <w:caps w:val="0"/>
                      <w:color w:val="auto"/>
                      <w:szCs w:val="21"/>
                      <w:highlight w:val="none"/>
                    </w:rPr>
                    <w:t>汽车新能源高压系列产品生产项目</w:t>
                  </w:r>
                </w:p>
              </w:tc>
              <w:tc>
                <w:tcPr>
                  <w:tcW w:w="3950" w:type="dxa"/>
                  <w:tcBorders>
                    <w:tl2br w:val="nil"/>
                    <w:tr2bl w:val="nil"/>
                  </w:tcBorders>
                  <w:noWrap w:val="0"/>
                  <w:vAlign w:val="center"/>
                </w:tcPr>
                <w:p w14:paraId="47A767ED">
                  <w:pPr>
                    <w:rPr>
                      <w:rFonts w:hint="eastAsia"/>
                      <w:bCs/>
                      <w:color w:val="auto"/>
                      <w:szCs w:val="21"/>
                    </w:rPr>
                  </w:pPr>
                  <w:r>
                    <w:rPr>
                      <w:rFonts w:hint="eastAsia"/>
                      <w:bCs/>
                      <w:color w:val="auto"/>
                      <w:szCs w:val="21"/>
                    </w:rPr>
                    <w:t>二、项目开工建设前，应依法完备其他行政许可手续。</w:t>
                  </w:r>
                </w:p>
                <w:p w14:paraId="27FBE72D">
                  <w:pPr>
                    <w:rPr>
                      <w:rFonts w:hint="eastAsia"/>
                      <w:bCs/>
                      <w:color w:val="auto"/>
                      <w:szCs w:val="21"/>
                    </w:rPr>
                  </w:pPr>
                  <w:r>
                    <w:rPr>
                      <w:rFonts w:hint="eastAsia"/>
                      <w:bCs/>
                      <w:color w:val="auto"/>
                      <w:szCs w:val="21"/>
                    </w:rPr>
                    <w:t>三、建设单位必须严格执行需要配套建设的环境保护设施与主体工程同时设计、同时施工、同时投产使用的环境保护“三同时”制度，外排的污染物须满足国家相关的排放标准，落实各项生态环境保护措施及风险防范措施、主要污染物总量控制要求。项目竣工后，你公司是建设项目竣工环境保护验收的责任主体，应当按照规定的程序和标准，组织对配套建设的环境保护设施进行验收，编制验收报告，公开相关信息，接受社会监督。经验收合格后，项目方可正式投入生产或使用。</w:t>
                  </w:r>
                </w:p>
                <w:p w14:paraId="5F10D5A1">
                  <w:pPr>
                    <w:rPr>
                      <w:bCs/>
                      <w:color w:val="auto"/>
                      <w:szCs w:val="21"/>
                    </w:rPr>
                  </w:pPr>
                  <w:r>
                    <w:rPr>
                      <w:rFonts w:hint="eastAsia"/>
                      <w:bCs/>
                      <w:color w:val="auto"/>
                      <w:szCs w:val="21"/>
                    </w:rPr>
                    <w:t>四、项目环境影响评价文件经批准后，如工程的性质、规模、工艺、地点或者防治污染、防止生态破坏的措施发生重大变动的，建设单位应当重新报批环境影响评价文件。项目环境影响评价文件自批准之日起超过五年，方决定该项目开工建设的，其环境影响评价文件应当报我局重新审核。</w:t>
                  </w:r>
                </w:p>
              </w:tc>
              <w:tc>
                <w:tcPr>
                  <w:tcW w:w="2167" w:type="dxa"/>
                  <w:tcBorders>
                    <w:tl2br w:val="nil"/>
                    <w:tr2bl w:val="nil"/>
                  </w:tcBorders>
                  <w:noWrap w:val="0"/>
                  <w:vAlign w:val="center"/>
                </w:tcPr>
                <w:p w14:paraId="09E3D736">
                  <w:pPr>
                    <w:rPr>
                      <w:rFonts w:hint="eastAsia"/>
                      <w:bCs/>
                      <w:color w:val="auto"/>
                      <w:szCs w:val="21"/>
                      <w:lang w:eastAsia="zh-CN"/>
                    </w:rPr>
                  </w:pPr>
                  <w:r>
                    <w:rPr>
                      <w:rFonts w:hint="eastAsia"/>
                      <w:bCs/>
                      <w:color w:val="auto"/>
                      <w:szCs w:val="21"/>
                    </w:rPr>
                    <w:t>注塑等工序废气及无组织废气经治理后外排满足《合成树脂工业污染物排放标准》</w:t>
                  </w:r>
                  <w:r>
                    <w:rPr>
                      <w:rFonts w:hint="eastAsia"/>
                      <w:bCs/>
                      <w:color w:val="auto"/>
                      <w:szCs w:val="21"/>
                      <w:lang w:eastAsia="zh-CN"/>
                    </w:rPr>
                    <w:t>（</w:t>
                  </w:r>
                  <w:r>
                    <w:rPr>
                      <w:rFonts w:hint="eastAsia"/>
                      <w:bCs/>
                      <w:color w:val="auto"/>
                      <w:szCs w:val="21"/>
                    </w:rPr>
                    <w:t>GB31572-2015</w:t>
                  </w:r>
                  <w:r>
                    <w:rPr>
                      <w:rFonts w:hint="eastAsia"/>
                      <w:bCs/>
                      <w:color w:val="auto"/>
                      <w:szCs w:val="21"/>
                      <w:lang w:eastAsia="zh-CN"/>
                    </w:rPr>
                    <w:t>）</w:t>
                  </w:r>
                  <w:r>
                    <w:rPr>
                      <w:rFonts w:hint="eastAsia"/>
                      <w:bCs/>
                      <w:color w:val="auto"/>
                      <w:szCs w:val="21"/>
                    </w:rPr>
                    <w:t>相应标准限值</w:t>
                  </w:r>
                  <w:r>
                    <w:rPr>
                      <w:rFonts w:hint="eastAsia"/>
                      <w:bCs/>
                      <w:color w:val="auto"/>
                      <w:szCs w:val="21"/>
                      <w:lang w:eastAsia="zh-CN"/>
                    </w:rPr>
                    <w:t>。</w:t>
                  </w:r>
                </w:p>
                <w:p w14:paraId="715DAAD6">
                  <w:pPr>
                    <w:rPr>
                      <w:color w:val="auto"/>
                      <w:szCs w:val="21"/>
                    </w:rPr>
                  </w:pPr>
                  <w:r>
                    <w:rPr>
                      <w:rFonts w:hint="eastAsia"/>
                      <w:bCs/>
                      <w:color w:val="auto"/>
                      <w:szCs w:val="21"/>
                    </w:rPr>
                    <w:t>生活污水</w:t>
                  </w:r>
                  <w:r>
                    <w:rPr>
                      <w:rFonts w:hint="eastAsia"/>
                      <w:bCs/>
                      <w:color w:val="auto"/>
                      <w:szCs w:val="21"/>
                      <w:lang w:val="en-US" w:eastAsia="zh-CN"/>
                    </w:rPr>
                    <w:t>经化粪池预处理后接管至芜湖市城南污水处理厂处理，处理后满足</w:t>
                  </w:r>
                  <w:r>
                    <w:rPr>
                      <w:rFonts w:hint="eastAsia"/>
                      <w:bCs/>
                      <w:color w:val="auto"/>
                      <w:szCs w:val="21"/>
                    </w:rPr>
                    <w:t>《污水综合排放标准》</w:t>
                  </w:r>
                  <w:r>
                    <w:rPr>
                      <w:rFonts w:hint="eastAsia"/>
                      <w:bCs/>
                      <w:color w:val="auto"/>
                      <w:szCs w:val="21"/>
                      <w:lang w:eastAsia="zh-CN"/>
                    </w:rPr>
                    <w:t>（</w:t>
                  </w:r>
                  <w:r>
                    <w:rPr>
                      <w:rFonts w:hint="eastAsia"/>
                      <w:bCs/>
                      <w:color w:val="auto"/>
                      <w:szCs w:val="21"/>
                    </w:rPr>
                    <w:t>GB8978—1996</w:t>
                  </w:r>
                  <w:r>
                    <w:rPr>
                      <w:rFonts w:hint="eastAsia"/>
                      <w:bCs/>
                      <w:color w:val="auto"/>
                      <w:szCs w:val="21"/>
                      <w:lang w:eastAsia="zh-CN"/>
                    </w:rPr>
                    <w:t>）</w:t>
                  </w:r>
                  <w:r>
                    <w:rPr>
                      <w:rFonts w:hint="eastAsia"/>
                      <w:bCs/>
                      <w:color w:val="auto"/>
                      <w:szCs w:val="21"/>
                    </w:rPr>
                    <w:t>中三级标准</w:t>
                  </w:r>
                  <w:r>
                    <w:rPr>
                      <w:rFonts w:hint="eastAsia"/>
                      <w:bCs/>
                      <w:color w:val="auto"/>
                      <w:szCs w:val="21"/>
                      <w:lang w:eastAsia="zh-CN"/>
                    </w:rPr>
                    <w:t>。</w:t>
                  </w:r>
                  <w:r>
                    <w:rPr>
                      <w:rFonts w:hint="eastAsia"/>
                      <w:bCs/>
                      <w:color w:val="auto"/>
                      <w:szCs w:val="21"/>
                    </w:rPr>
                    <w:t>噪声</w:t>
                  </w:r>
                  <w:r>
                    <w:rPr>
                      <w:rFonts w:hint="eastAsia"/>
                      <w:bCs/>
                      <w:color w:val="auto"/>
                      <w:szCs w:val="21"/>
                      <w:lang w:val="en-US" w:eastAsia="zh-CN"/>
                    </w:rPr>
                    <w:t>排放满足</w:t>
                  </w:r>
                  <w:r>
                    <w:rPr>
                      <w:rFonts w:hint="eastAsia"/>
                      <w:bCs/>
                      <w:color w:val="auto"/>
                      <w:szCs w:val="21"/>
                    </w:rPr>
                    <w:t>《工业企业厂界环境噪声排放标准》</w:t>
                  </w:r>
                  <w:r>
                    <w:rPr>
                      <w:rFonts w:hint="eastAsia"/>
                      <w:bCs/>
                      <w:color w:val="auto"/>
                      <w:szCs w:val="21"/>
                      <w:lang w:eastAsia="zh-CN"/>
                    </w:rPr>
                    <w:t>（</w:t>
                  </w:r>
                  <w:r>
                    <w:rPr>
                      <w:rFonts w:hint="eastAsia"/>
                      <w:bCs/>
                      <w:color w:val="auto"/>
                      <w:szCs w:val="21"/>
                    </w:rPr>
                    <w:t>GB12348-2008</w:t>
                  </w:r>
                  <w:r>
                    <w:rPr>
                      <w:rFonts w:hint="eastAsia"/>
                      <w:bCs/>
                      <w:color w:val="auto"/>
                      <w:szCs w:val="21"/>
                      <w:lang w:eastAsia="zh-CN"/>
                    </w:rPr>
                    <w:t>）</w:t>
                  </w:r>
                  <w:r>
                    <w:rPr>
                      <w:rFonts w:hint="eastAsia"/>
                      <w:bCs/>
                      <w:color w:val="auto"/>
                      <w:szCs w:val="21"/>
                    </w:rPr>
                    <w:t>中3类限值</w:t>
                  </w:r>
                  <w:r>
                    <w:rPr>
                      <w:rFonts w:hint="eastAsia"/>
                      <w:bCs/>
                      <w:color w:val="auto"/>
                      <w:szCs w:val="21"/>
                      <w:lang w:eastAsia="zh-CN"/>
                    </w:rPr>
                    <w:t>。</w:t>
                  </w:r>
                  <w:r>
                    <w:rPr>
                      <w:rFonts w:hint="eastAsia"/>
                      <w:bCs/>
                      <w:color w:val="auto"/>
                      <w:szCs w:val="21"/>
                      <w:lang w:val="en-US" w:eastAsia="zh-CN"/>
                    </w:rPr>
                    <w:t>一般固废收集后外售，危废交由有资质单位处理，生活垃圾交由环卫部门处理。</w:t>
                  </w:r>
                </w:p>
              </w:tc>
              <w:tc>
                <w:tcPr>
                  <w:tcW w:w="1167" w:type="dxa"/>
                  <w:tcBorders>
                    <w:tl2br w:val="nil"/>
                    <w:tr2bl w:val="nil"/>
                  </w:tcBorders>
                  <w:noWrap w:val="0"/>
                  <w:vAlign w:val="center"/>
                </w:tcPr>
                <w:p w14:paraId="0072D0E1">
                  <w:pPr>
                    <w:rPr>
                      <w:rFonts w:hint="eastAsia"/>
                      <w:color w:val="auto"/>
                      <w:szCs w:val="21"/>
                    </w:rPr>
                  </w:pPr>
                  <w:r>
                    <w:rPr>
                      <w:rFonts w:hint="eastAsia"/>
                      <w:bCs/>
                      <w:color w:val="auto"/>
                      <w:szCs w:val="21"/>
                      <w:lang w:val="en-US" w:eastAsia="zh-CN"/>
                    </w:rPr>
                    <w:t>与环评一致</w:t>
                  </w:r>
                </w:p>
              </w:tc>
            </w:tr>
          </w:tbl>
          <w:p w14:paraId="2592B91C">
            <w:pPr>
              <w:adjustRightInd w:val="0"/>
              <w:spacing w:line="360" w:lineRule="auto"/>
              <w:ind w:firstLine="482" w:firstLineChars="200"/>
              <w:textAlignment w:val="baseline"/>
              <w:rPr>
                <w:rFonts w:ascii="Times New Roman" w:hAnsi="Times New Roman" w:eastAsia="宋体"/>
                <w:b/>
                <w:caps w:val="0"/>
                <w:color w:val="auto"/>
                <w:sz w:val="24"/>
                <w:highlight w:val="none"/>
              </w:rPr>
            </w:pPr>
            <w:r>
              <w:rPr>
                <w:rFonts w:hint="eastAsia"/>
                <w:b/>
                <w:caps w:val="0"/>
                <w:color w:val="auto"/>
                <w:sz w:val="24"/>
                <w:highlight w:val="none"/>
                <w:lang w:val="en-US" w:eastAsia="zh-CN"/>
              </w:rPr>
              <w:t>5</w:t>
            </w:r>
            <w:r>
              <w:rPr>
                <w:rFonts w:ascii="Times New Roman" w:hAnsi="Times New Roman" w:eastAsia="宋体"/>
                <w:b/>
                <w:caps w:val="0"/>
                <w:color w:val="auto"/>
                <w:sz w:val="24"/>
                <w:highlight w:val="none"/>
              </w:rPr>
              <w:t>、现有项目污染物达标排放情况</w:t>
            </w:r>
          </w:p>
          <w:p w14:paraId="30DDE2D0">
            <w:pPr>
              <w:adjustRightInd w:val="0"/>
              <w:spacing w:line="360" w:lineRule="auto"/>
              <w:ind w:firstLine="482" w:firstLineChars="200"/>
              <w:textAlignment w:val="baseline"/>
              <w:rPr>
                <w:rFonts w:ascii="Times New Roman" w:hAnsi="Times New Roman" w:eastAsia="宋体"/>
                <w:b/>
                <w:caps w:val="0"/>
                <w:color w:val="auto"/>
                <w:sz w:val="24"/>
                <w:highlight w:val="none"/>
              </w:rPr>
            </w:pPr>
            <w:r>
              <w:rPr>
                <w:rFonts w:ascii="Times New Roman" w:hAnsi="Times New Roman" w:eastAsia="宋体"/>
                <w:b/>
                <w:caps w:val="0"/>
                <w:color w:val="auto"/>
                <w:sz w:val="24"/>
                <w:highlight w:val="none"/>
              </w:rPr>
              <w:t>（1）废气</w:t>
            </w:r>
          </w:p>
          <w:p w14:paraId="1CA248C6">
            <w:pPr>
              <w:adjustRightInd w:val="0"/>
              <w:spacing w:line="360" w:lineRule="auto"/>
              <w:ind w:firstLine="480" w:firstLineChars="200"/>
              <w:textAlignment w:val="baseline"/>
              <w:rPr>
                <w:rFonts w:ascii="Times New Roman" w:hAnsi="Times New Roman" w:eastAsia="宋体"/>
                <w:caps w:val="0"/>
                <w:color w:val="auto"/>
                <w:kern w:val="0"/>
                <w:sz w:val="24"/>
                <w:highlight w:val="none"/>
              </w:rPr>
            </w:pPr>
            <w:r>
              <w:rPr>
                <w:rFonts w:ascii="Times New Roman" w:hAnsi="Times New Roman" w:eastAsia="宋体"/>
                <w:caps w:val="0"/>
                <w:color w:val="auto"/>
                <w:kern w:val="0"/>
                <w:sz w:val="24"/>
                <w:highlight w:val="none"/>
              </w:rPr>
              <w:t>根据现有项目环评及验收</w:t>
            </w:r>
            <w:r>
              <w:rPr>
                <w:rFonts w:hint="eastAsia" w:ascii="Times New Roman" w:hAnsi="Times New Roman" w:eastAsia="宋体"/>
                <w:caps w:val="0"/>
                <w:color w:val="auto"/>
                <w:kern w:val="0"/>
                <w:sz w:val="24"/>
                <w:highlight w:val="none"/>
              </w:rPr>
              <w:t>报告</w:t>
            </w:r>
            <w:r>
              <w:rPr>
                <w:rFonts w:ascii="Times New Roman" w:hAnsi="Times New Roman" w:eastAsia="宋体"/>
                <w:caps w:val="0"/>
                <w:color w:val="auto"/>
                <w:kern w:val="0"/>
                <w:sz w:val="24"/>
                <w:highlight w:val="none"/>
              </w:rPr>
              <w:t>，现有项目产生的废气主要为</w:t>
            </w:r>
            <w:r>
              <w:rPr>
                <w:rFonts w:hint="eastAsia"/>
                <w:caps w:val="0"/>
                <w:color w:val="auto"/>
                <w:kern w:val="0"/>
                <w:sz w:val="24"/>
                <w:highlight w:val="none"/>
                <w:lang w:val="en-US" w:eastAsia="zh-CN"/>
              </w:rPr>
              <w:t>注塑废气、破碎粉尘</w:t>
            </w:r>
            <w:r>
              <w:rPr>
                <w:rFonts w:ascii="Times New Roman" w:hAnsi="Times New Roman" w:eastAsia="宋体"/>
                <w:caps w:val="0"/>
                <w:color w:val="auto"/>
                <w:kern w:val="0"/>
                <w:sz w:val="24"/>
                <w:highlight w:val="none"/>
              </w:rPr>
              <w:t>。</w:t>
            </w:r>
          </w:p>
          <w:p w14:paraId="5F7E803C">
            <w:pPr>
              <w:pStyle w:val="82"/>
              <w:widowControl/>
              <w:numPr>
                <w:ilvl w:val="0"/>
                <w:numId w:val="0"/>
              </w:numPr>
              <w:spacing w:line="360" w:lineRule="auto"/>
              <w:ind w:left="480" w:leftChars="0"/>
              <w:jc w:val="left"/>
              <w:rPr>
                <w:rFonts w:ascii="Times New Roman" w:hAnsi="Times New Roman" w:eastAsia="宋体"/>
                <w:caps w:val="0"/>
                <w:color w:val="auto"/>
                <w:sz w:val="24"/>
                <w:highlight w:val="none"/>
              </w:rPr>
            </w:pPr>
            <w:r>
              <w:rPr>
                <w:rFonts w:hint="default" w:ascii="Times New Roman" w:hAnsi="Times New Roman" w:eastAsia="华文仿宋" w:cs="Times New Roman"/>
                <w:caps w:val="0"/>
                <w:color w:val="auto"/>
                <w:kern w:val="0"/>
                <w:sz w:val="24"/>
                <w:highlight w:val="none"/>
              </w:rPr>
              <w:t>①</w:t>
            </w:r>
            <w:r>
              <w:rPr>
                <w:rFonts w:hint="eastAsia" w:ascii="Times New Roman" w:hAnsi="Times New Roman" w:eastAsia="宋体"/>
                <w:caps w:val="0"/>
                <w:color w:val="auto"/>
                <w:kern w:val="0"/>
                <w:sz w:val="24"/>
                <w:highlight w:val="none"/>
              </w:rPr>
              <w:t>有组织废气</w:t>
            </w:r>
          </w:p>
          <w:p w14:paraId="41E141B0">
            <w:pPr>
              <w:widowControl/>
              <w:spacing w:line="360" w:lineRule="auto"/>
              <w:ind w:firstLine="456" w:firstLineChars="200"/>
              <w:jc w:val="left"/>
              <w:rPr>
                <w:rFonts w:ascii="Times New Roman" w:hAnsi="Times New Roman" w:eastAsia="宋体"/>
                <w:caps w:val="0"/>
                <w:color w:val="auto"/>
                <w:kern w:val="0"/>
                <w:sz w:val="24"/>
                <w:highlight w:val="none"/>
              </w:rPr>
            </w:pPr>
            <w:r>
              <w:rPr>
                <w:rFonts w:ascii="Times New Roman" w:hAnsi="Times New Roman" w:eastAsia="宋体"/>
                <w:caps w:val="0"/>
                <w:color w:val="auto"/>
                <w:spacing w:val="-6"/>
                <w:kern w:val="0"/>
                <w:sz w:val="24"/>
                <w:highlight w:val="none"/>
              </w:rPr>
              <w:t>根据</w:t>
            </w:r>
            <w:r>
              <w:rPr>
                <w:rFonts w:hint="eastAsia"/>
                <w:caps w:val="0"/>
                <w:color w:val="auto"/>
                <w:spacing w:val="-6"/>
                <w:kern w:val="0"/>
                <w:sz w:val="24"/>
                <w:highlight w:val="none"/>
                <w:lang w:val="en-US" w:eastAsia="zh-CN"/>
              </w:rPr>
              <w:t>安徽尚德谱检测技术有限责任公司</w:t>
            </w:r>
            <w:r>
              <w:rPr>
                <w:rFonts w:ascii="Times New Roman" w:hAnsi="Times New Roman" w:eastAsia="宋体"/>
                <w:caps w:val="0"/>
                <w:color w:val="auto"/>
                <w:spacing w:val="-6"/>
                <w:kern w:val="0"/>
                <w:sz w:val="24"/>
                <w:highlight w:val="none"/>
              </w:rPr>
              <w:t>提供的检测报告（报告编号</w:t>
            </w:r>
            <w:r>
              <w:rPr>
                <w:rFonts w:hint="eastAsia"/>
                <w:caps w:val="0"/>
                <w:color w:val="auto"/>
                <w:kern w:val="0"/>
                <w:sz w:val="24"/>
                <w:highlight w:val="none"/>
                <w:lang w:val="en-US" w:eastAsia="zh-CN"/>
              </w:rPr>
              <w:t>BG-202305238</w:t>
            </w:r>
            <w:r>
              <w:rPr>
                <w:rFonts w:ascii="Times New Roman" w:hAnsi="Times New Roman" w:eastAsia="宋体"/>
                <w:caps w:val="0"/>
                <w:color w:val="auto"/>
                <w:spacing w:val="-6"/>
                <w:kern w:val="0"/>
                <w:sz w:val="24"/>
                <w:highlight w:val="none"/>
              </w:rPr>
              <w:t>见附件）</w:t>
            </w:r>
            <w:r>
              <w:rPr>
                <w:rFonts w:ascii="Times New Roman" w:hAnsi="Times New Roman" w:eastAsia="宋体"/>
                <w:caps w:val="0"/>
                <w:color w:val="auto"/>
                <w:kern w:val="0"/>
                <w:sz w:val="24"/>
                <w:highlight w:val="none"/>
              </w:rPr>
              <w:t>，</w:t>
            </w:r>
            <w:r>
              <w:rPr>
                <w:rFonts w:hint="eastAsia" w:ascii="Times New Roman" w:hAnsi="Times New Roman" w:eastAsia="宋体"/>
                <w:caps w:val="0"/>
                <w:color w:val="auto"/>
                <w:kern w:val="0"/>
                <w:sz w:val="24"/>
                <w:highlight w:val="none"/>
              </w:rPr>
              <w:t>有组织废气监测结果见下表。</w:t>
            </w:r>
          </w:p>
          <w:p w14:paraId="7BECC442">
            <w:pPr>
              <w:jc w:val="center"/>
              <w:rPr>
                <w:rFonts w:ascii="Times New Roman" w:hAnsi="Times New Roman" w:eastAsia="宋体"/>
                <w:b/>
                <w:bCs/>
                <w:caps w:val="0"/>
                <w:color w:val="auto"/>
                <w:spacing w:val="-2"/>
                <w:sz w:val="24"/>
                <w:highlight w:val="none"/>
              </w:rPr>
            </w:pPr>
            <w:r>
              <w:rPr>
                <w:rFonts w:ascii="Times New Roman" w:hAnsi="Times New Roman" w:eastAsia="宋体"/>
                <w:b/>
                <w:bCs/>
                <w:caps w:val="0"/>
                <w:color w:val="auto"/>
                <w:spacing w:val="-2"/>
                <w:sz w:val="24"/>
                <w:highlight w:val="none"/>
              </w:rPr>
              <w:t>表2-</w:t>
            </w:r>
            <w:r>
              <w:rPr>
                <w:rFonts w:hint="eastAsia"/>
                <w:b/>
                <w:bCs/>
                <w:caps w:val="0"/>
                <w:color w:val="auto"/>
                <w:spacing w:val="-2"/>
                <w:sz w:val="24"/>
                <w:highlight w:val="none"/>
                <w:lang w:val="en-US" w:eastAsia="zh-CN"/>
              </w:rPr>
              <w:t>12</w:t>
            </w:r>
            <w:r>
              <w:rPr>
                <w:rFonts w:ascii="Times New Roman" w:hAnsi="Times New Roman" w:eastAsia="宋体"/>
                <w:b/>
                <w:bCs/>
                <w:caps w:val="0"/>
                <w:color w:val="auto"/>
                <w:spacing w:val="-2"/>
                <w:sz w:val="24"/>
                <w:highlight w:val="none"/>
              </w:rPr>
              <w:t>有组织废气监测结果一览表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6"/>
              <w:gridCol w:w="1658"/>
              <w:gridCol w:w="709"/>
              <w:gridCol w:w="951"/>
              <w:gridCol w:w="951"/>
              <w:gridCol w:w="1112"/>
              <w:gridCol w:w="1039"/>
              <w:gridCol w:w="950"/>
            </w:tblGrid>
            <w:tr w14:paraId="29CF50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exact"/>
                <w:tblHeader/>
                <w:jc w:val="center"/>
              </w:trPr>
              <w:tc>
                <w:tcPr>
                  <w:tcW w:w="1378" w:type="pct"/>
                  <w:gridSpan w:val="2"/>
                  <w:tcBorders>
                    <w:tl2br w:val="nil"/>
                    <w:tr2bl w:val="nil"/>
                  </w:tcBorders>
                  <w:vAlign w:val="center"/>
                </w:tcPr>
                <w:p w14:paraId="0BC27CE7">
                  <w:pPr>
                    <w:widowControl/>
                    <w:spacing w:line="276" w:lineRule="auto"/>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测试断面</w:t>
                  </w:r>
                </w:p>
              </w:tc>
              <w:tc>
                <w:tcPr>
                  <w:tcW w:w="1655" w:type="pct"/>
                  <w:gridSpan w:val="3"/>
                  <w:tcBorders>
                    <w:tl2br w:val="nil"/>
                    <w:tr2bl w:val="nil"/>
                  </w:tcBorders>
                  <w:vAlign w:val="center"/>
                </w:tcPr>
                <w:p w14:paraId="3A9387EB">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注塑废气排气筒进口</w:t>
                  </w:r>
                </w:p>
              </w:tc>
              <w:tc>
                <w:tcPr>
                  <w:tcW w:w="1966" w:type="pct"/>
                  <w:gridSpan w:val="3"/>
                  <w:tcBorders>
                    <w:tl2br w:val="nil"/>
                    <w:tr2bl w:val="nil"/>
                  </w:tcBorders>
                  <w:vAlign w:val="center"/>
                </w:tcPr>
                <w:p w14:paraId="00ED3FD5">
                  <w:pPr>
                    <w:spacing w:line="276" w:lineRule="auto"/>
                    <w:jc w:val="center"/>
                    <w:rPr>
                      <w:rFonts w:ascii="Times New Roman" w:hAnsi="Times New Roman" w:eastAsia="宋体"/>
                      <w:caps w:val="0"/>
                      <w:color w:val="auto"/>
                      <w:szCs w:val="21"/>
                      <w:highlight w:val="none"/>
                    </w:rPr>
                  </w:pPr>
                  <w:r>
                    <w:rPr>
                      <w:rFonts w:hint="eastAsia"/>
                      <w:caps w:val="0"/>
                      <w:color w:val="auto"/>
                      <w:szCs w:val="21"/>
                      <w:highlight w:val="none"/>
                      <w:lang w:val="en-US" w:eastAsia="zh-CN"/>
                    </w:rPr>
                    <w:t>注塑废气排气筒进口</w:t>
                  </w:r>
                </w:p>
              </w:tc>
            </w:tr>
            <w:tr w14:paraId="3F02C4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1378" w:type="pct"/>
                  <w:gridSpan w:val="2"/>
                  <w:tcBorders>
                    <w:tl2br w:val="nil"/>
                    <w:tr2bl w:val="nil"/>
                  </w:tcBorders>
                  <w:vAlign w:val="center"/>
                </w:tcPr>
                <w:p w14:paraId="3A6C457B">
                  <w:pPr>
                    <w:widowControl/>
                    <w:spacing w:line="276" w:lineRule="auto"/>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采样日期</w:t>
                  </w:r>
                </w:p>
              </w:tc>
              <w:tc>
                <w:tcPr>
                  <w:tcW w:w="1655" w:type="pct"/>
                  <w:gridSpan w:val="3"/>
                  <w:tcBorders>
                    <w:tl2br w:val="nil"/>
                    <w:tr2bl w:val="nil"/>
                  </w:tcBorders>
                  <w:vAlign w:val="center"/>
                </w:tcPr>
                <w:p w14:paraId="178E7D42">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2023.6.2</w:t>
                  </w:r>
                </w:p>
              </w:tc>
              <w:tc>
                <w:tcPr>
                  <w:tcW w:w="1966" w:type="pct"/>
                  <w:gridSpan w:val="3"/>
                  <w:tcBorders>
                    <w:tl2br w:val="nil"/>
                    <w:tr2bl w:val="nil"/>
                  </w:tcBorders>
                  <w:vAlign w:val="center"/>
                </w:tcPr>
                <w:p w14:paraId="56AFCE18">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2023.</w:t>
                  </w:r>
                  <w:r>
                    <w:rPr>
                      <w:rFonts w:hint="eastAsia"/>
                      <w:caps w:val="0"/>
                      <w:color w:val="auto"/>
                      <w:szCs w:val="21"/>
                      <w:highlight w:val="none"/>
                      <w:lang w:val="en-US" w:eastAsia="zh-CN"/>
                    </w:rPr>
                    <w:t>6</w:t>
                  </w:r>
                  <w:r>
                    <w:rPr>
                      <w:rFonts w:ascii="Times New Roman" w:hAnsi="Times New Roman" w:eastAsia="宋体"/>
                      <w:caps w:val="0"/>
                      <w:color w:val="auto"/>
                      <w:szCs w:val="21"/>
                      <w:highlight w:val="none"/>
                    </w:rPr>
                    <w:t>.3</w:t>
                  </w:r>
                </w:p>
              </w:tc>
            </w:tr>
            <w:tr w14:paraId="2B5CD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1378" w:type="pct"/>
                  <w:gridSpan w:val="2"/>
                  <w:tcBorders>
                    <w:tl2br w:val="nil"/>
                    <w:tr2bl w:val="nil"/>
                  </w:tcBorders>
                  <w:vAlign w:val="center"/>
                </w:tcPr>
                <w:p w14:paraId="6E7C9EE7">
                  <w:pPr>
                    <w:widowControl/>
                    <w:spacing w:line="276" w:lineRule="auto"/>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采样频次</w:t>
                  </w:r>
                </w:p>
              </w:tc>
              <w:tc>
                <w:tcPr>
                  <w:tcW w:w="449" w:type="pct"/>
                  <w:tcBorders>
                    <w:tl2br w:val="nil"/>
                    <w:tr2bl w:val="nil"/>
                  </w:tcBorders>
                  <w:vAlign w:val="center"/>
                </w:tcPr>
                <w:p w14:paraId="11B84DA5">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1</w:t>
                  </w:r>
                </w:p>
              </w:tc>
              <w:tc>
                <w:tcPr>
                  <w:tcW w:w="602" w:type="pct"/>
                  <w:tcBorders>
                    <w:tl2br w:val="nil"/>
                    <w:tr2bl w:val="nil"/>
                  </w:tcBorders>
                  <w:vAlign w:val="center"/>
                </w:tcPr>
                <w:p w14:paraId="0678E124">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2</w:t>
                  </w:r>
                </w:p>
              </w:tc>
              <w:tc>
                <w:tcPr>
                  <w:tcW w:w="602" w:type="pct"/>
                  <w:tcBorders>
                    <w:tl2br w:val="nil"/>
                    <w:tr2bl w:val="nil"/>
                  </w:tcBorders>
                  <w:vAlign w:val="center"/>
                </w:tcPr>
                <w:p w14:paraId="55E11773">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3</w:t>
                  </w:r>
                </w:p>
              </w:tc>
              <w:tc>
                <w:tcPr>
                  <w:tcW w:w="705" w:type="pct"/>
                  <w:tcBorders>
                    <w:tl2br w:val="nil"/>
                    <w:tr2bl w:val="nil"/>
                  </w:tcBorders>
                  <w:vAlign w:val="center"/>
                </w:tcPr>
                <w:p w14:paraId="5F35D53D">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1</w:t>
                  </w:r>
                </w:p>
              </w:tc>
              <w:tc>
                <w:tcPr>
                  <w:tcW w:w="658" w:type="pct"/>
                  <w:tcBorders>
                    <w:tl2br w:val="nil"/>
                    <w:tr2bl w:val="nil"/>
                  </w:tcBorders>
                  <w:vAlign w:val="center"/>
                </w:tcPr>
                <w:p w14:paraId="7BF5BB47">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2</w:t>
                  </w:r>
                </w:p>
              </w:tc>
              <w:tc>
                <w:tcPr>
                  <w:tcW w:w="602" w:type="pct"/>
                  <w:tcBorders>
                    <w:tl2br w:val="nil"/>
                    <w:tr2bl w:val="nil"/>
                  </w:tcBorders>
                  <w:vAlign w:val="center"/>
                </w:tcPr>
                <w:p w14:paraId="55ADDAC1">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3</w:t>
                  </w:r>
                </w:p>
              </w:tc>
            </w:tr>
            <w:tr w14:paraId="1FE849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1378" w:type="pct"/>
                  <w:gridSpan w:val="2"/>
                  <w:tcBorders>
                    <w:tl2br w:val="nil"/>
                    <w:tr2bl w:val="nil"/>
                  </w:tcBorders>
                  <w:vAlign w:val="center"/>
                </w:tcPr>
                <w:p w14:paraId="630AD164">
                  <w:pPr>
                    <w:widowControl/>
                    <w:spacing w:line="276" w:lineRule="auto"/>
                    <w:jc w:val="center"/>
                    <w:rPr>
                      <w:rFonts w:hint="eastAsia" w:ascii="Times New Roman" w:hAnsi="Times New Roman" w:eastAsia="宋体"/>
                      <w:caps w:val="0"/>
                      <w:color w:val="auto"/>
                      <w:kern w:val="0"/>
                      <w:szCs w:val="21"/>
                      <w:highlight w:val="none"/>
                      <w:lang w:eastAsia="zh-CN"/>
                    </w:rPr>
                  </w:pPr>
                  <w:r>
                    <w:rPr>
                      <w:rFonts w:ascii="Times New Roman" w:hAnsi="Times New Roman" w:eastAsia="宋体"/>
                      <w:caps w:val="0"/>
                      <w:color w:val="auto"/>
                      <w:kern w:val="0"/>
                      <w:szCs w:val="21"/>
                      <w:highlight w:val="none"/>
                    </w:rPr>
                    <w:t xml:space="preserve">测点烟气温度 </w:t>
                  </w:r>
                  <w:r>
                    <w:rPr>
                      <w:rFonts w:hint="eastAsia"/>
                      <w:caps w:val="0"/>
                      <w:color w:val="auto"/>
                      <w:kern w:val="0"/>
                      <w:szCs w:val="21"/>
                      <w:highlight w:val="none"/>
                      <w:lang w:eastAsia="zh-CN"/>
                    </w:rPr>
                    <w:t>（</w:t>
                  </w:r>
                  <w:r>
                    <w:rPr>
                      <w:rFonts w:ascii="Times New Roman" w:hAnsi="Times New Roman" w:eastAsia="宋体"/>
                      <w:caps w:val="0"/>
                      <w:color w:val="auto"/>
                      <w:kern w:val="0"/>
                      <w:szCs w:val="21"/>
                      <w:highlight w:val="none"/>
                    </w:rPr>
                    <w:t>℃</w:t>
                  </w:r>
                  <w:r>
                    <w:rPr>
                      <w:rFonts w:hint="eastAsia"/>
                      <w:caps w:val="0"/>
                      <w:color w:val="auto"/>
                      <w:kern w:val="0"/>
                      <w:szCs w:val="21"/>
                      <w:highlight w:val="none"/>
                      <w:lang w:eastAsia="zh-CN"/>
                    </w:rPr>
                    <w:t>）</w:t>
                  </w:r>
                </w:p>
              </w:tc>
              <w:tc>
                <w:tcPr>
                  <w:tcW w:w="449" w:type="pct"/>
                  <w:tcBorders>
                    <w:tl2br w:val="nil"/>
                    <w:tr2bl w:val="nil"/>
                  </w:tcBorders>
                  <w:vAlign w:val="center"/>
                </w:tcPr>
                <w:p w14:paraId="7EEB32CF">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24.7</w:t>
                  </w:r>
                </w:p>
              </w:tc>
              <w:tc>
                <w:tcPr>
                  <w:tcW w:w="602" w:type="pct"/>
                  <w:tcBorders>
                    <w:tl2br w:val="nil"/>
                    <w:tr2bl w:val="nil"/>
                  </w:tcBorders>
                  <w:vAlign w:val="center"/>
                </w:tcPr>
                <w:p w14:paraId="23511173">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24.6</w:t>
                  </w:r>
                </w:p>
              </w:tc>
              <w:tc>
                <w:tcPr>
                  <w:tcW w:w="602" w:type="pct"/>
                  <w:tcBorders>
                    <w:tl2br w:val="nil"/>
                    <w:tr2bl w:val="nil"/>
                  </w:tcBorders>
                  <w:vAlign w:val="center"/>
                </w:tcPr>
                <w:p w14:paraId="78DC4CC0">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24.3</w:t>
                  </w:r>
                </w:p>
              </w:tc>
              <w:tc>
                <w:tcPr>
                  <w:tcW w:w="705" w:type="pct"/>
                  <w:tcBorders>
                    <w:tl2br w:val="nil"/>
                    <w:tr2bl w:val="nil"/>
                  </w:tcBorders>
                  <w:vAlign w:val="center"/>
                </w:tcPr>
                <w:p w14:paraId="57BCAB7F">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21.8</w:t>
                  </w:r>
                </w:p>
              </w:tc>
              <w:tc>
                <w:tcPr>
                  <w:tcW w:w="658" w:type="pct"/>
                  <w:tcBorders>
                    <w:tl2br w:val="nil"/>
                    <w:tr2bl w:val="nil"/>
                  </w:tcBorders>
                  <w:vAlign w:val="center"/>
                </w:tcPr>
                <w:p w14:paraId="420ACC57">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21.4</w:t>
                  </w:r>
                </w:p>
              </w:tc>
              <w:tc>
                <w:tcPr>
                  <w:tcW w:w="602" w:type="pct"/>
                  <w:tcBorders>
                    <w:tl2br w:val="nil"/>
                    <w:tr2bl w:val="nil"/>
                  </w:tcBorders>
                  <w:vAlign w:val="center"/>
                </w:tcPr>
                <w:p w14:paraId="67C3F125">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21.6</w:t>
                  </w:r>
                </w:p>
              </w:tc>
            </w:tr>
            <w:tr w14:paraId="7F3882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1378" w:type="pct"/>
                  <w:gridSpan w:val="2"/>
                  <w:tcBorders>
                    <w:tl2br w:val="nil"/>
                    <w:tr2bl w:val="nil"/>
                  </w:tcBorders>
                  <w:vAlign w:val="center"/>
                </w:tcPr>
                <w:p w14:paraId="1E3666B2">
                  <w:pPr>
                    <w:widowControl/>
                    <w:spacing w:line="276" w:lineRule="auto"/>
                    <w:jc w:val="center"/>
                    <w:rPr>
                      <w:rFonts w:hint="eastAsia" w:ascii="Times New Roman" w:hAnsi="Times New Roman" w:eastAsia="宋体"/>
                      <w:caps w:val="0"/>
                      <w:color w:val="auto"/>
                      <w:kern w:val="0"/>
                      <w:szCs w:val="21"/>
                      <w:highlight w:val="none"/>
                      <w:lang w:eastAsia="zh-CN"/>
                    </w:rPr>
                  </w:pPr>
                  <w:r>
                    <w:rPr>
                      <w:rFonts w:ascii="Times New Roman" w:hAnsi="Times New Roman" w:eastAsia="宋体"/>
                      <w:caps w:val="0"/>
                      <w:color w:val="auto"/>
                      <w:kern w:val="0"/>
                      <w:szCs w:val="21"/>
                      <w:highlight w:val="none"/>
                    </w:rPr>
                    <w:t xml:space="preserve">测点烟气流速 </w:t>
                  </w:r>
                  <w:r>
                    <w:rPr>
                      <w:rFonts w:hint="eastAsia"/>
                      <w:caps w:val="0"/>
                      <w:color w:val="auto"/>
                      <w:kern w:val="0"/>
                      <w:szCs w:val="21"/>
                      <w:highlight w:val="none"/>
                      <w:lang w:eastAsia="zh-CN"/>
                    </w:rPr>
                    <w:t>（</w:t>
                  </w:r>
                  <w:r>
                    <w:rPr>
                      <w:rFonts w:ascii="Times New Roman" w:hAnsi="Times New Roman" w:eastAsia="宋体"/>
                      <w:caps w:val="0"/>
                      <w:color w:val="auto"/>
                      <w:kern w:val="0"/>
                      <w:szCs w:val="21"/>
                      <w:highlight w:val="none"/>
                    </w:rPr>
                    <w:t>m/s</w:t>
                  </w:r>
                  <w:r>
                    <w:rPr>
                      <w:rFonts w:hint="eastAsia"/>
                      <w:caps w:val="0"/>
                      <w:color w:val="auto"/>
                      <w:kern w:val="0"/>
                      <w:szCs w:val="21"/>
                      <w:highlight w:val="none"/>
                      <w:lang w:eastAsia="zh-CN"/>
                    </w:rPr>
                    <w:t>）</w:t>
                  </w:r>
                </w:p>
              </w:tc>
              <w:tc>
                <w:tcPr>
                  <w:tcW w:w="449" w:type="pct"/>
                  <w:tcBorders>
                    <w:tl2br w:val="nil"/>
                    <w:tr2bl w:val="nil"/>
                  </w:tcBorders>
                  <w:vAlign w:val="center"/>
                </w:tcPr>
                <w:p w14:paraId="3616D9E7">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11.9</w:t>
                  </w:r>
                </w:p>
              </w:tc>
              <w:tc>
                <w:tcPr>
                  <w:tcW w:w="602" w:type="pct"/>
                  <w:tcBorders>
                    <w:tl2br w:val="nil"/>
                    <w:tr2bl w:val="nil"/>
                  </w:tcBorders>
                  <w:vAlign w:val="center"/>
                </w:tcPr>
                <w:p w14:paraId="39BBDF86">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12.1</w:t>
                  </w:r>
                </w:p>
              </w:tc>
              <w:tc>
                <w:tcPr>
                  <w:tcW w:w="602" w:type="pct"/>
                  <w:tcBorders>
                    <w:tl2br w:val="nil"/>
                    <w:tr2bl w:val="nil"/>
                  </w:tcBorders>
                  <w:vAlign w:val="center"/>
                </w:tcPr>
                <w:p w14:paraId="42BE6B55">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12.3</w:t>
                  </w:r>
                </w:p>
              </w:tc>
              <w:tc>
                <w:tcPr>
                  <w:tcW w:w="705" w:type="pct"/>
                  <w:tcBorders>
                    <w:tl2br w:val="nil"/>
                    <w:tr2bl w:val="nil"/>
                  </w:tcBorders>
                  <w:vAlign w:val="center"/>
                </w:tcPr>
                <w:p w14:paraId="3727755C">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12</w:t>
                  </w:r>
                </w:p>
              </w:tc>
              <w:tc>
                <w:tcPr>
                  <w:tcW w:w="658" w:type="pct"/>
                  <w:tcBorders>
                    <w:tl2br w:val="nil"/>
                    <w:tr2bl w:val="nil"/>
                  </w:tcBorders>
                  <w:vAlign w:val="center"/>
                </w:tcPr>
                <w:p w14:paraId="415BC656">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11.8</w:t>
                  </w:r>
                </w:p>
              </w:tc>
              <w:tc>
                <w:tcPr>
                  <w:tcW w:w="602" w:type="pct"/>
                  <w:tcBorders>
                    <w:tl2br w:val="nil"/>
                    <w:tr2bl w:val="nil"/>
                  </w:tcBorders>
                  <w:vAlign w:val="center"/>
                </w:tcPr>
                <w:p w14:paraId="4EB574FF">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11.9</w:t>
                  </w:r>
                </w:p>
              </w:tc>
            </w:tr>
            <w:tr w14:paraId="23A01E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1378" w:type="pct"/>
                  <w:gridSpan w:val="2"/>
                  <w:tcBorders>
                    <w:tl2br w:val="nil"/>
                    <w:tr2bl w:val="nil"/>
                  </w:tcBorders>
                  <w:vAlign w:val="center"/>
                </w:tcPr>
                <w:p w14:paraId="6A6A5E18">
                  <w:pPr>
                    <w:widowControl/>
                    <w:spacing w:line="276" w:lineRule="auto"/>
                    <w:jc w:val="center"/>
                    <w:rPr>
                      <w:rFonts w:ascii="Times New Roman" w:hAnsi="Times New Roman" w:eastAsia="宋体"/>
                      <w:caps w:val="0"/>
                      <w:color w:val="auto"/>
                      <w:kern w:val="0"/>
                      <w:szCs w:val="21"/>
                      <w:highlight w:val="none"/>
                    </w:rPr>
                  </w:pPr>
                  <w:r>
                    <w:rPr>
                      <w:rFonts w:hint="eastAsia"/>
                      <w:caps w:val="0"/>
                      <w:color w:val="auto"/>
                      <w:kern w:val="0"/>
                      <w:szCs w:val="21"/>
                      <w:highlight w:val="none"/>
                      <w:lang w:val="en-US" w:eastAsia="zh-CN"/>
                    </w:rPr>
                    <w:t>标杆流</w:t>
                  </w:r>
                  <w:r>
                    <w:rPr>
                      <w:rFonts w:ascii="Times New Roman" w:hAnsi="Times New Roman" w:eastAsia="宋体"/>
                      <w:caps w:val="0"/>
                      <w:color w:val="auto"/>
                      <w:kern w:val="0"/>
                      <w:szCs w:val="21"/>
                      <w:highlight w:val="none"/>
                    </w:rPr>
                    <w:t>量（m³/h）</w:t>
                  </w:r>
                </w:p>
              </w:tc>
              <w:tc>
                <w:tcPr>
                  <w:tcW w:w="449" w:type="pct"/>
                  <w:tcBorders>
                    <w:tl2br w:val="nil"/>
                    <w:tr2bl w:val="nil"/>
                  </w:tcBorders>
                  <w:vAlign w:val="center"/>
                </w:tcPr>
                <w:p w14:paraId="59B8FEAB">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19552</w:t>
                  </w:r>
                </w:p>
              </w:tc>
              <w:tc>
                <w:tcPr>
                  <w:tcW w:w="602" w:type="pct"/>
                  <w:tcBorders>
                    <w:tl2br w:val="nil"/>
                    <w:tr2bl w:val="nil"/>
                  </w:tcBorders>
                  <w:vAlign w:val="center"/>
                </w:tcPr>
                <w:p w14:paraId="38176471">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19888</w:t>
                  </w:r>
                </w:p>
              </w:tc>
              <w:tc>
                <w:tcPr>
                  <w:tcW w:w="602" w:type="pct"/>
                  <w:tcBorders>
                    <w:tl2br w:val="nil"/>
                    <w:tr2bl w:val="nil"/>
                  </w:tcBorders>
                  <w:vAlign w:val="center"/>
                </w:tcPr>
                <w:p w14:paraId="250003E4">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20237</w:t>
                  </w:r>
                </w:p>
              </w:tc>
              <w:tc>
                <w:tcPr>
                  <w:tcW w:w="705" w:type="pct"/>
                  <w:tcBorders>
                    <w:tl2br w:val="nil"/>
                    <w:tr2bl w:val="nil"/>
                  </w:tcBorders>
                  <w:vAlign w:val="center"/>
                </w:tcPr>
                <w:p w14:paraId="1F1E01AF">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20069</w:t>
                  </w:r>
                </w:p>
              </w:tc>
              <w:tc>
                <w:tcPr>
                  <w:tcW w:w="658" w:type="pct"/>
                  <w:tcBorders>
                    <w:tl2br w:val="nil"/>
                    <w:tr2bl w:val="nil"/>
                  </w:tcBorders>
                  <w:vAlign w:val="center"/>
                </w:tcPr>
                <w:p w14:paraId="10323F14">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19761</w:t>
                  </w:r>
                </w:p>
              </w:tc>
              <w:tc>
                <w:tcPr>
                  <w:tcW w:w="602" w:type="pct"/>
                  <w:tcBorders>
                    <w:tl2br w:val="nil"/>
                    <w:tr2bl w:val="nil"/>
                  </w:tcBorders>
                  <w:vAlign w:val="center"/>
                </w:tcPr>
                <w:p w14:paraId="646EFA7A">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19915</w:t>
                  </w:r>
                </w:p>
              </w:tc>
            </w:tr>
            <w:tr w14:paraId="59B60A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327" w:type="pct"/>
                  <w:vMerge w:val="restart"/>
                  <w:tcBorders>
                    <w:tl2br w:val="nil"/>
                    <w:tr2bl w:val="nil"/>
                  </w:tcBorders>
                  <w:vAlign w:val="center"/>
                </w:tcPr>
                <w:p w14:paraId="0F3DBDD0">
                  <w:pPr>
                    <w:widowControl/>
                    <w:jc w:val="center"/>
                    <w:rPr>
                      <w:rFonts w:ascii="Times New Roman" w:hAnsi="Times New Roman" w:eastAsia="宋体"/>
                      <w:caps w:val="0"/>
                      <w:color w:val="auto"/>
                      <w:kern w:val="0"/>
                      <w:szCs w:val="21"/>
                      <w:highlight w:val="none"/>
                    </w:rPr>
                  </w:pPr>
                  <w:r>
                    <w:rPr>
                      <w:rFonts w:ascii="Times New Roman" w:hAnsi="Times New Roman" w:eastAsia="宋体"/>
                      <w:caps w:val="0"/>
                      <w:color w:val="auto"/>
                      <w:szCs w:val="21"/>
                      <w:highlight w:val="none"/>
                    </w:rPr>
                    <w:t>非甲烷总烃</w:t>
                  </w:r>
                </w:p>
              </w:tc>
              <w:tc>
                <w:tcPr>
                  <w:tcW w:w="1051" w:type="pct"/>
                  <w:tcBorders>
                    <w:tl2br w:val="nil"/>
                    <w:tr2bl w:val="nil"/>
                  </w:tcBorders>
                  <w:vAlign w:val="center"/>
                </w:tcPr>
                <w:p w14:paraId="454AEA53">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污染物排放浓度</w:t>
                  </w:r>
                  <w:r>
                    <w:rPr>
                      <w:rFonts w:hint="eastAsia"/>
                      <w:caps w:val="0"/>
                      <w:color w:val="auto"/>
                      <w:szCs w:val="21"/>
                      <w:highlight w:val="none"/>
                      <w:lang w:eastAsia="zh-CN"/>
                    </w:rPr>
                    <w:t>（</w:t>
                  </w:r>
                  <w:r>
                    <w:rPr>
                      <w:rFonts w:ascii="Times New Roman" w:hAnsi="Times New Roman" w:eastAsia="宋体"/>
                      <w:caps w:val="0"/>
                      <w:color w:val="auto"/>
                      <w:szCs w:val="21"/>
                      <w:highlight w:val="none"/>
                    </w:rPr>
                    <w:t>mg/m³</w:t>
                  </w:r>
                  <w:r>
                    <w:rPr>
                      <w:rFonts w:hint="eastAsia"/>
                      <w:caps w:val="0"/>
                      <w:color w:val="auto"/>
                      <w:szCs w:val="21"/>
                      <w:highlight w:val="none"/>
                      <w:lang w:eastAsia="zh-CN"/>
                    </w:rPr>
                    <w:t>）</w:t>
                  </w:r>
                </w:p>
              </w:tc>
              <w:tc>
                <w:tcPr>
                  <w:tcW w:w="449" w:type="pct"/>
                  <w:tcBorders>
                    <w:tl2br w:val="nil"/>
                    <w:tr2bl w:val="nil"/>
                  </w:tcBorders>
                  <w:vAlign w:val="center"/>
                </w:tcPr>
                <w:p w14:paraId="50E57FA1">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15.6</w:t>
                  </w:r>
                </w:p>
              </w:tc>
              <w:tc>
                <w:tcPr>
                  <w:tcW w:w="602" w:type="pct"/>
                  <w:tcBorders>
                    <w:tl2br w:val="nil"/>
                    <w:tr2bl w:val="nil"/>
                  </w:tcBorders>
                  <w:vAlign w:val="center"/>
                </w:tcPr>
                <w:p w14:paraId="644E0AC1">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15.5</w:t>
                  </w:r>
                </w:p>
              </w:tc>
              <w:tc>
                <w:tcPr>
                  <w:tcW w:w="602" w:type="pct"/>
                  <w:tcBorders>
                    <w:tl2br w:val="nil"/>
                    <w:tr2bl w:val="nil"/>
                  </w:tcBorders>
                  <w:vAlign w:val="center"/>
                </w:tcPr>
                <w:p w14:paraId="67A77B00">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15.4</w:t>
                  </w:r>
                </w:p>
              </w:tc>
              <w:tc>
                <w:tcPr>
                  <w:tcW w:w="705" w:type="pct"/>
                  <w:tcBorders>
                    <w:tl2br w:val="nil"/>
                    <w:tr2bl w:val="nil"/>
                  </w:tcBorders>
                  <w:vAlign w:val="center"/>
                </w:tcPr>
                <w:p w14:paraId="66D0AB43">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15.8</w:t>
                  </w:r>
                </w:p>
              </w:tc>
              <w:tc>
                <w:tcPr>
                  <w:tcW w:w="658" w:type="pct"/>
                  <w:tcBorders>
                    <w:tl2br w:val="nil"/>
                    <w:tr2bl w:val="nil"/>
                  </w:tcBorders>
                  <w:vAlign w:val="center"/>
                </w:tcPr>
                <w:p w14:paraId="68B02060">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15.8</w:t>
                  </w:r>
                </w:p>
              </w:tc>
              <w:tc>
                <w:tcPr>
                  <w:tcW w:w="602" w:type="pct"/>
                  <w:tcBorders>
                    <w:tl2br w:val="nil"/>
                    <w:tr2bl w:val="nil"/>
                  </w:tcBorders>
                  <w:vAlign w:val="center"/>
                </w:tcPr>
                <w:p w14:paraId="088551A5">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15.4</w:t>
                  </w:r>
                </w:p>
              </w:tc>
            </w:tr>
            <w:tr w14:paraId="639FA2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exact"/>
                <w:jc w:val="center"/>
              </w:trPr>
              <w:tc>
                <w:tcPr>
                  <w:tcW w:w="327" w:type="pct"/>
                  <w:vMerge w:val="continue"/>
                  <w:tcBorders>
                    <w:tl2br w:val="nil"/>
                    <w:tr2bl w:val="nil"/>
                  </w:tcBorders>
                  <w:vAlign w:val="center"/>
                </w:tcPr>
                <w:p w14:paraId="1538F842">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3C161095">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污染物平均排放浓度</w:t>
                  </w:r>
                  <w:r>
                    <w:rPr>
                      <w:rFonts w:hint="eastAsia"/>
                      <w:caps w:val="0"/>
                      <w:color w:val="auto"/>
                      <w:szCs w:val="21"/>
                      <w:highlight w:val="none"/>
                      <w:lang w:eastAsia="zh-CN"/>
                    </w:rPr>
                    <w:t>（</w:t>
                  </w:r>
                  <w:r>
                    <w:rPr>
                      <w:rFonts w:ascii="Times New Roman" w:hAnsi="Times New Roman" w:eastAsia="宋体"/>
                      <w:caps w:val="0"/>
                      <w:color w:val="auto"/>
                      <w:szCs w:val="21"/>
                      <w:highlight w:val="none"/>
                    </w:rPr>
                    <w:t>mg/m³</w:t>
                  </w:r>
                  <w:r>
                    <w:rPr>
                      <w:rFonts w:hint="eastAsia"/>
                      <w:caps w:val="0"/>
                      <w:color w:val="auto"/>
                      <w:szCs w:val="21"/>
                      <w:highlight w:val="none"/>
                      <w:lang w:eastAsia="zh-CN"/>
                    </w:rPr>
                    <w:t>）</w:t>
                  </w:r>
                </w:p>
              </w:tc>
              <w:tc>
                <w:tcPr>
                  <w:tcW w:w="1655" w:type="pct"/>
                  <w:gridSpan w:val="3"/>
                  <w:tcBorders>
                    <w:tl2br w:val="nil"/>
                    <w:tr2bl w:val="nil"/>
                  </w:tcBorders>
                  <w:vAlign w:val="center"/>
                </w:tcPr>
                <w:p w14:paraId="672AE55D">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15.5</w:t>
                  </w:r>
                </w:p>
              </w:tc>
              <w:tc>
                <w:tcPr>
                  <w:tcW w:w="1966" w:type="pct"/>
                  <w:gridSpan w:val="3"/>
                  <w:tcBorders>
                    <w:tl2br w:val="nil"/>
                    <w:tr2bl w:val="nil"/>
                  </w:tcBorders>
                  <w:vAlign w:val="center"/>
                </w:tcPr>
                <w:p w14:paraId="23D1AA01">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15.7</w:t>
                  </w:r>
                </w:p>
              </w:tc>
            </w:tr>
            <w:tr w14:paraId="64EBCB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9" w:hRule="exact"/>
                <w:jc w:val="center"/>
              </w:trPr>
              <w:tc>
                <w:tcPr>
                  <w:tcW w:w="327" w:type="pct"/>
                  <w:vMerge w:val="continue"/>
                  <w:tcBorders>
                    <w:tl2br w:val="nil"/>
                    <w:tr2bl w:val="nil"/>
                  </w:tcBorders>
                  <w:vAlign w:val="center"/>
                </w:tcPr>
                <w:p w14:paraId="3E091869">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6E289E3C">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污染物排放速率</w:t>
                  </w:r>
                  <w:r>
                    <w:rPr>
                      <w:rFonts w:hint="eastAsia"/>
                      <w:caps w:val="0"/>
                      <w:color w:val="auto"/>
                      <w:szCs w:val="21"/>
                      <w:highlight w:val="none"/>
                      <w:lang w:eastAsia="zh-CN"/>
                    </w:rPr>
                    <w:t>（</w:t>
                  </w:r>
                  <w:r>
                    <w:rPr>
                      <w:rFonts w:ascii="Times New Roman" w:hAnsi="Times New Roman" w:eastAsia="宋体"/>
                      <w:caps w:val="0"/>
                      <w:color w:val="auto"/>
                      <w:szCs w:val="21"/>
                      <w:highlight w:val="none"/>
                    </w:rPr>
                    <w:t>kg/h</w:t>
                  </w:r>
                  <w:r>
                    <w:rPr>
                      <w:rFonts w:hint="eastAsia"/>
                      <w:caps w:val="0"/>
                      <w:color w:val="auto"/>
                      <w:szCs w:val="21"/>
                      <w:highlight w:val="none"/>
                      <w:lang w:eastAsia="zh-CN"/>
                    </w:rPr>
                    <w:t>）</w:t>
                  </w:r>
                </w:p>
              </w:tc>
              <w:tc>
                <w:tcPr>
                  <w:tcW w:w="449" w:type="pct"/>
                  <w:tcBorders>
                    <w:tl2br w:val="nil"/>
                    <w:tr2bl w:val="nil"/>
                  </w:tcBorders>
                  <w:vAlign w:val="center"/>
                </w:tcPr>
                <w:p w14:paraId="546EEEC9">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0.305</w:t>
                  </w:r>
                </w:p>
              </w:tc>
              <w:tc>
                <w:tcPr>
                  <w:tcW w:w="602" w:type="pct"/>
                  <w:tcBorders>
                    <w:tl2br w:val="nil"/>
                    <w:tr2bl w:val="nil"/>
                  </w:tcBorders>
                  <w:vAlign w:val="center"/>
                </w:tcPr>
                <w:p w14:paraId="7BF460EE">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0.308</w:t>
                  </w:r>
                </w:p>
              </w:tc>
              <w:tc>
                <w:tcPr>
                  <w:tcW w:w="602" w:type="pct"/>
                  <w:tcBorders>
                    <w:tl2br w:val="nil"/>
                    <w:tr2bl w:val="nil"/>
                  </w:tcBorders>
                  <w:vAlign w:val="center"/>
                </w:tcPr>
                <w:p w14:paraId="552CF327">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0.312</w:t>
                  </w:r>
                </w:p>
              </w:tc>
              <w:tc>
                <w:tcPr>
                  <w:tcW w:w="705" w:type="pct"/>
                  <w:tcBorders>
                    <w:tl2br w:val="nil"/>
                    <w:tr2bl w:val="nil"/>
                  </w:tcBorders>
                  <w:vAlign w:val="center"/>
                </w:tcPr>
                <w:p w14:paraId="61B11B4B">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0.317</w:t>
                  </w:r>
                </w:p>
              </w:tc>
              <w:tc>
                <w:tcPr>
                  <w:tcW w:w="658" w:type="pct"/>
                  <w:tcBorders>
                    <w:tl2br w:val="nil"/>
                    <w:tr2bl w:val="nil"/>
                  </w:tcBorders>
                  <w:vAlign w:val="center"/>
                </w:tcPr>
                <w:p w14:paraId="70A40D7E">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0.312</w:t>
                  </w:r>
                </w:p>
              </w:tc>
              <w:tc>
                <w:tcPr>
                  <w:tcW w:w="602" w:type="pct"/>
                  <w:tcBorders>
                    <w:tl2br w:val="nil"/>
                    <w:tr2bl w:val="nil"/>
                  </w:tcBorders>
                  <w:vAlign w:val="center"/>
                </w:tcPr>
                <w:p w14:paraId="024DCCAF">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0.307</w:t>
                  </w:r>
                </w:p>
              </w:tc>
            </w:tr>
            <w:tr w14:paraId="6B0B48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327" w:type="pct"/>
                  <w:vMerge w:val="continue"/>
                  <w:tcBorders>
                    <w:tl2br w:val="nil"/>
                    <w:tr2bl w:val="nil"/>
                  </w:tcBorders>
                  <w:vAlign w:val="center"/>
                </w:tcPr>
                <w:p w14:paraId="55126FA1">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05255CE5">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污染物平均排放速率</w:t>
                  </w:r>
                  <w:r>
                    <w:rPr>
                      <w:rFonts w:hint="eastAsia"/>
                      <w:caps w:val="0"/>
                      <w:color w:val="auto"/>
                      <w:szCs w:val="21"/>
                      <w:highlight w:val="none"/>
                      <w:lang w:eastAsia="zh-CN"/>
                    </w:rPr>
                    <w:t>（</w:t>
                  </w:r>
                  <w:r>
                    <w:rPr>
                      <w:rFonts w:ascii="Times New Roman" w:hAnsi="Times New Roman" w:eastAsia="宋体"/>
                      <w:caps w:val="0"/>
                      <w:color w:val="auto"/>
                      <w:szCs w:val="21"/>
                      <w:highlight w:val="none"/>
                    </w:rPr>
                    <w:t>kg/h</w:t>
                  </w:r>
                  <w:r>
                    <w:rPr>
                      <w:rFonts w:hint="eastAsia"/>
                      <w:caps w:val="0"/>
                      <w:color w:val="auto"/>
                      <w:szCs w:val="21"/>
                      <w:highlight w:val="none"/>
                      <w:lang w:eastAsia="zh-CN"/>
                    </w:rPr>
                    <w:t>）</w:t>
                  </w:r>
                </w:p>
              </w:tc>
              <w:tc>
                <w:tcPr>
                  <w:tcW w:w="1655" w:type="pct"/>
                  <w:gridSpan w:val="3"/>
                  <w:tcBorders>
                    <w:tl2br w:val="nil"/>
                    <w:tr2bl w:val="nil"/>
                  </w:tcBorders>
                  <w:vAlign w:val="center"/>
                </w:tcPr>
                <w:p w14:paraId="555E751C">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0.308</w:t>
                  </w:r>
                </w:p>
              </w:tc>
              <w:tc>
                <w:tcPr>
                  <w:tcW w:w="1966" w:type="pct"/>
                  <w:gridSpan w:val="3"/>
                  <w:tcBorders>
                    <w:tl2br w:val="nil"/>
                    <w:tr2bl w:val="nil"/>
                  </w:tcBorders>
                  <w:vAlign w:val="center"/>
                </w:tcPr>
                <w:p w14:paraId="70BA768E">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0.312</w:t>
                  </w:r>
                </w:p>
              </w:tc>
            </w:tr>
          </w:tbl>
          <w:p w14:paraId="06A86081">
            <w:pPr>
              <w:jc w:val="center"/>
              <w:rPr>
                <w:rFonts w:ascii="Times New Roman" w:hAnsi="Times New Roman" w:eastAsia="宋体"/>
                <w:b/>
                <w:bCs/>
                <w:caps w:val="0"/>
                <w:color w:val="auto"/>
                <w:spacing w:val="-2"/>
                <w:sz w:val="24"/>
                <w:highlight w:val="none"/>
              </w:rPr>
            </w:pPr>
            <w:r>
              <w:rPr>
                <w:rFonts w:ascii="Times New Roman" w:hAnsi="Times New Roman" w:eastAsia="宋体"/>
                <w:b/>
                <w:bCs/>
                <w:caps w:val="0"/>
                <w:color w:val="auto"/>
                <w:spacing w:val="-2"/>
                <w:sz w:val="24"/>
                <w:highlight w:val="none"/>
              </w:rPr>
              <w:t>表2-1</w:t>
            </w:r>
            <w:r>
              <w:rPr>
                <w:rFonts w:hint="eastAsia"/>
                <w:b/>
                <w:bCs/>
                <w:caps w:val="0"/>
                <w:color w:val="auto"/>
                <w:spacing w:val="-2"/>
                <w:sz w:val="24"/>
                <w:highlight w:val="none"/>
                <w:lang w:val="en-US" w:eastAsia="zh-CN"/>
              </w:rPr>
              <w:t>3</w:t>
            </w:r>
            <w:r>
              <w:rPr>
                <w:rFonts w:ascii="Times New Roman" w:hAnsi="Times New Roman" w:eastAsia="宋体"/>
                <w:b/>
                <w:bCs/>
                <w:caps w:val="0"/>
                <w:color w:val="auto"/>
                <w:spacing w:val="-2"/>
                <w:sz w:val="24"/>
                <w:highlight w:val="none"/>
              </w:rPr>
              <w:t>有组织废气监测结果一览表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6"/>
              <w:gridCol w:w="1658"/>
              <w:gridCol w:w="709"/>
              <w:gridCol w:w="161"/>
              <w:gridCol w:w="790"/>
              <w:gridCol w:w="80"/>
              <w:gridCol w:w="871"/>
              <w:gridCol w:w="1033"/>
              <w:gridCol w:w="79"/>
              <w:gridCol w:w="954"/>
              <w:gridCol w:w="85"/>
              <w:gridCol w:w="950"/>
            </w:tblGrid>
            <w:tr w14:paraId="150D57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exact"/>
                <w:tblHeader/>
                <w:jc w:val="center"/>
              </w:trPr>
              <w:tc>
                <w:tcPr>
                  <w:tcW w:w="1378" w:type="pct"/>
                  <w:gridSpan w:val="2"/>
                  <w:tcBorders>
                    <w:tl2br w:val="nil"/>
                    <w:tr2bl w:val="nil"/>
                  </w:tcBorders>
                  <w:vAlign w:val="center"/>
                </w:tcPr>
                <w:p w14:paraId="5E88FF09">
                  <w:pPr>
                    <w:widowControl/>
                    <w:spacing w:line="276" w:lineRule="auto"/>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测试断面</w:t>
                  </w:r>
                </w:p>
              </w:tc>
              <w:tc>
                <w:tcPr>
                  <w:tcW w:w="1655" w:type="pct"/>
                  <w:gridSpan w:val="5"/>
                  <w:tcBorders>
                    <w:tl2br w:val="nil"/>
                    <w:tr2bl w:val="nil"/>
                  </w:tcBorders>
                  <w:vAlign w:val="center"/>
                </w:tcPr>
                <w:p w14:paraId="3FF01939">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注塑废气排气筒出口</w:t>
                  </w:r>
                </w:p>
              </w:tc>
              <w:tc>
                <w:tcPr>
                  <w:tcW w:w="1966" w:type="pct"/>
                  <w:gridSpan w:val="5"/>
                  <w:tcBorders>
                    <w:tl2br w:val="nil"/>
                    <w:tr2bl w:val="nil"/>
                  </w:tcBorders>
                  <w:vAlign w:val="center"/>
                </w:tcPr>
                <w:p w14:paraId="63C7482E">
                  <w:pPr>
                    <w:spacing w:line="276" w:lineRule="auto"/>
                    <w:jc w:val="center"/>
                    <w:rPr>
                      <w:rFonts w:hint="default" w:ascii="Times New Roman" w:hAnsi="Times New Roman" w:eastAsia="宋体"/>
                      <w:caps w:val="0"/>
                      <w:color w:val="auto"/>
                      <w:szCs w:val="21"/>
                      <w:highlight w:val="none"/>
                      <w:lang w:val="en-US"/>
                    </w:rPr>
                  </w:pPr>
                  <w:r>
                    <w:rPr>
                      <w:rFonts w:hint="eastAsia"/>
                      <w:caps w:val="0"/>
                      <w:color w:val="auto"/>
                      <w:szCs w:val="21"/>
                      <w:highlight w:val="none"/>
                      <w:lang w:val="en-US" w:eastAsia="zh-CN"/>
                    </w:rPr>
                    <w:t>注塑废气排气筒出口</w:t>
                  </w:r>
                </w:p>
              </w:tc>
            </w:tr>
            <w:tr w14:paraId="08C180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1378" w:type="pct"/>
                  <w:gridSpan w:val="2"/>
                  <w:tcBorders>
                    <w:tl2br w:val="nil"/>
                    <w:tr2bl w:val="nil"/>
                  </w:tcBorders>
                  <w:vAlign w:val="center"/>
                </w:tcPr>
                <w:p w14:paraId="169FD8C6">
                  <w:pPr>
                    <w:widowControl/>
                    <w:spacing w:line="276" w:lineRule="auto"/>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采样日期</w:t>
                  </w:r>
                </w:p>
              </w:tc>
              <w:tc>
                <w:tcPr>
                  <w:tcW w:w="1655" w:type="pct"/>
                  <w:gridSpan w:val="5"/>
                  <w:tcBorders>
                    <w:tl2br w:val="nil"/>
                    <w:tr2bl w:val="nil"/>
                  </w:tcBorders>
                  <w:vAlign w:val="center"/>
                </w:tcPr>
                <w:p w14:paraId="348C4526">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2023.6.2</w:t>
                  </w:r>
                </w:p>
              </w:tc>
              <w:tc>
                <w:tcPr>
                  <w:tcW w:w="1966" w:type="pct"/>
                  <w:gridSpan w:val="5"/>
                  <w:tcBorders>
                    <w:tl2br w:val="nil"/>
                    <w:tr2bl w:val="nil"/>
                  </w:tcBorders>
                  <w:vAlign w:val="center"/>
                </w:tcPr>
                <w:p w14:paraId="36D0DC42">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2023.</w:t>
                  </w:r>
                  <w:r>
                    <w:rPr>
                      <w:rFonts w:hint="eastAsia" w:ascii="Times New Roman" w:hAnsi="Times New Roman" w:eastAsia="宋体"/>
                      <w:caps w:val="0"/>
                      <w:color w:val="auto"/>
                      <w:szCs w:val="21"/>
                      <w:highlight w:val="none"/>
                      <w:lang w:val="en-US" w:eastAsia="zh-CN"/>
                    </w:rPr>
                    <w:t>6</w:t>
                  </w:r>
                  <w:r>
                    <w:rPr>
                      <w:rFonts w:ascii="Times New Roman" w:hAnsi="Times New Roman" w:eastAsia="宋体"/>
                      <w:caps w:val="0"/>
                      <w:color w:val="auto"/>
                      <w:szCs w:val="21"/>
                      <w:highlight w:val="none"/>
                    </w:rPr>
                    <w:t>.3</w:t>
                  </w:r>
                </w:p>
              </w:tc>
            </w:tr>
            <w:tr w14:paraId="6F0758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1378" w:type="pct"/>
                  <w:gridSpan w:val="2"/>
                  <w:tcBorders>
                    <w:tl2br w:val="nil"/>
                    <w:tr2bl w:val="nil"/>
                  </w:tcBorders>
                  <w:vAlign w:val="center"/>
                </w:tcPr>
                <w:p w14:paraId="2E26E9B7">
                  <w:pPr>
                    <w:widowControl/>
                    <w:spacing w:line="276" w:lineRule="auto"/>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采样频次</w:t>
                  </w:r>
                </w:p>
              </w:tc>
              <w:tc>
                <w:tcPr>
                  <w:tcW w:w="449" w:type="pct"/>
                  <w:tcBorders>
                    <w:tl2br w:val="nil"/>
                    <w:tr2bl w:val="nil"/>
                  </w:tcBorders>
                  <w:vAlign w:val="center"/>
                </w:tcPr>
                <w:p w14:paraId="50294DE8">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1</w:t>
                  </w:r>
                </w:p>
              </w:tc>
              <w:tc>
                <w:tcPr>
                  <w:tcW w:w="602" w:type="pct"/>
                  <w:gridSpan w:val="2"/>
                  <w:tcBorders>
                    <w:tl2br w:val="nil"/>
                    <w:tr2bl w:val="nil"/>
                  </w:tcBorders>
                  <w:vAlign w:val="center"/>
                </w:tcPr>
                <w:p w14:paraId="442418B0">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2</w:t>
                  </w:r>
                </w:p>
              </w:tc>
              <w:tc>
                <w:tcPr>
                  <w:tcW w:w="602" w:type="pct"/>
                  <w:gridSpan w:val="2"/>
                  <w:tcBorders>
                    <w:tl2br w:val="nil"/>
                    <w:tr2bl w:val="nil"/>
                  </w:tcBorders>
                  <w:vAlign w:val="center"/>
                </w:tcPr>
                <w:p w14:paraId="0A72E1ED">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3</w:t>
                  </w:r>
                </w:p>
              </w:tc>
              <w:tc>
                <w:tcPr>
                  <w:tcW w:w="705" w:type="pct"/>
                  <w:gridSpan w:val="2"/>
                  <w:tcBorders>
                    <w:tl2br w:val="nil"/>
                    <w:tr2bl w:val="nil"/>
                  </w:tcBorders>
                  <w:vAlign w:val="center"/>
                </w:tcPr>
                <w:p w14:paraId="399873A1">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1</w:t>
                  </w:r>
                </w:p>
              </w:tc>
              <w:tc>
                <w:tcPr>
                  <w:tcW w:w="658" w:type="pct"/>
                  <w:gridSpan w:val="2"/>
                  <w:tcBorders>
                    <w:tl2br w:val="nil"/>
                    <w:tr2bl w:val="nil"/>
                  </w:tcBorders>
                  <w:vAlign w:val="center"/>
                </w:tcPr>
                <w:p w14:paraId="70CD7B21">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2</w:t>
                  </w:r>
                </w:p>
              </w:tc>
              <w:tc>
                <w:tcPr>
                  <w:tcW w:w="602" w:type="pct"/>
                  <w:tcBorders>
                    <w:tl2br w:val="nil"/>
                    <w:tr2bl w:val="nil"/>
                  </w:tcBorders>
                  <w:vAlign w:val="center"/>
                </w:tcPr>
                <w:p w14:paraId="0A5C4118">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3</w:t>
                  </w:r>
                </w:p>
              </w:tc>
            </w:tr>
            <w:tr w14:paraId="4BF54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1378" w:type="pct"/>
                  <w:gridSpan w:val="2"/>
                  <w:tcBorders>
                    <w:tl2br w:val="nil"/>
                    <w:tr2bl w:val="nil"/>
                  </w:tcBorders>
                  <w:vAlign w:val="center"/>
                </w:tcPr>
                <w:p w14:paraId="1B3331E6">
                  <w:pPr>
                    <w:widowControl/>
                    <w:spacing w:line="276" w:lineRule="auto"/>
                    <w:jc w:val="center"/>
                    <w:rPr>
                      <w:rFonts w:hint="eastAsia" w:ascii="Times New Roman" w:hAnsi="Times New Roman" w:eastAsia="宋体"/>
                      <w:caps w:val="0"/>
                      <w:color w:val="auto"/>
                      <w:kern w:val="0"/>
                      <w:szCs w:val="21"/>
                      <w:highlight w:val="none"/>
                      <w:lang w:eastAsia="zh-CN"/>
                    </w:rPr>
                  </w:pPr>
                  <w:r>
                    <w:rPr>
                      <w:rFonts w:ascii="Times New Roman" w:hAnsi="Times New Roman" w:eastAsia="宋体"/>
                      <w:caps w:val="0"/>
                      <w:color w:val="auto"/>
                      <w:kern w:val="0"/>
                      <w:szCs w:val="21"/>
                      <w:highlight w:val="none"/>
                    </w:rPr>
                    <w:t xml:space="preserve">测点烟气温度 </w:t>
                  </w:r>
                  <w:r>
                    <w:rPr>
                      <w:rFonts w:hint="eastAsia"/>
                      <w:caps w:val="0"/>
                      <w:color w:val="auto"/>
                      <w:kern w:val="0"/>
                      <w:szCs w:val="21"/>
                      <w:highlight w:val="none"/>
                      <w:lang w:eastAsia="zh-CN"/>
                    </w:rPr>
                    <w:t>（</w:t>
                  </w:r>
                  <w:r>
                    <w:rPr>
                      <w:rFonts w:ascii="Times New Roman" w:hAnsi="Times New Roman" w:eastAsia="宋体"/>
                      <w:caps w:val="0"/>
                      <w:color w:val="auto"/>
                      <w:kern w:val="0"/>
                      <w:szCs w:val="21"/>
                      <w:highlight w:val="none"/>
                    </w:rPr>
                    <w:t>℃</w:t>
                  </w:r>
                  <w:r>
                    <w:rPr>
                      <w:rFonts w:hint="eastAsia"/>
                      <w:caps w:val="0"/>
                      <w:color w:val="auto"/>
                      <w:kern w:val="0"/>
                      <w:szCs w:val="21"/>
                      <w:highlight w:val="none"/>
                      <w:lang w:eastAsia="zh-CN"/>
                    </w:rPr>
                    <w:t>）</w:t>
                  </w:r>
                </w:p>
              </w:tc>
              <w:tc>
                <w:tcPr>
                  <w:tcW w:w="449" w:type="pct"/>
                  <w:tcBorders>
                    <w:tl2br w:val="nil"/>
                    <w:tr2bl w:val="nil"/>
                  </w:tcBorders>
                  <w:vAlign w:val="center"/>
                </w:tcPr>
                <w:p w14:paraId="70FB7191">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25.1</w:t>
                  </w:r>
                </w:p>
              </w:tc>
              <w:tc>
                <w:tcPr>
                  <w:tcW w:w="602" w:type="pct"/>
                  <w:gridSpan w:val="2"/>
                  <w:tcBorders>
                    <w:tl2br w:val="nil"/>
                    <w:tr2bl w:val="nil"/>
                  </w:tcBorders>
                  <w:vAlign w:val="center"/>
                </w:tcPr>
                <w:p w14:paraId="10E2392C">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25</w:t>
                  </w:r>
                </w:p>
              </w:tc>
              <w:tc>
                <w:tcPr>
                  <w:tcW w:w="602" w:type="pct"/>
                  <w:gridSpan w:val="2"/>
                  <w:tcBorders>
                    <w:tl2br w:val="nil"/>
                    <w:tr2bl w:val="nil"/>
                  </w:tcBorders>
                  <w:vAlign w:val="center"/>
                </w:tcPr>
                <w:p w14:paraId="0172DA95">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24.9</w:t>
                  </w:r>
                </w:p>
              </w:tc>
              <w:tc>
                <w:tcPr>
                  <w:tcW w:w="705" w:type="pct"/>
                  <w:gridSpan w:val="2"/>
                  <w:tcBorders>
                    <w:tl2br w:val="nil"/>
                    <w:tr2bl w:val="nil"/>
                  </w:tcBorders>
                  <w:vAlign w:val="center"/>
                </w:tcPr>
                <w:p w14:paraId="7E2134CC">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21.5</w:t>
                  </w:r>
                </w:p>
              </w:tc>
              <w:tc>
                <w:tcPr>
                  <w:tcW w:w="658" w:type="pct"/>
                  <w:gridSpan w:val="2"/>
                  <w:tcBorders>
                    <w:tl2br w:val="nil"/>
                    <w:tr2bl w:val="nil"/>
                  </w:tcBorders>
                  <w:vAlign w:val="center"/>
                </w:tcPr>
                <w:p w14:paraId="2721E415">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21.4</w:t>
                  </w:r>
                </w:p>
              </w:tc>
              <w:tc>
                <w:tcPr>
                  <w:tcW w:w="602" w:type="pct"/>
                  <w:tcBorders>
                    <w:tl2br w:val="nil"/>
                    <w:tr2bl w:val="nil"/>
                  </w:tcBorders>
                  <w:vAlign w:val="center"/>
                </w:tcPr>
                <w:p w14:paraId="0F8D8D58">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21.7</w:t>
                  </w:r>
                </w:p>
              </w:tc>
            </w:tr>
            <w:tr w14:paraId="6F3886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1378" w:type="pct"/>
                  <w:gridSpan w:val="2"/>
                  <w:tcBorders>
                    <w:tl2br w:val="nil"/>
                    <w:tr2bl w:val="nil"/>
                  </w:tcBorders>
                  <w:vAlign w:val="center"/>
                </w:tcPr>
                <w:p w14:paraId="31EC6080">
                  <w:pPr>
                    <w:widowControl/>
                    <w:spacing w:line="276" w:lineRule="auto"/>
                    <w:jc w:val="center"/>
                    <w:rPr>
                      <w:rFonts w:hint="eastAsia" w:ascii="Times New Roman" w:hAnsi="Times New Roman" w:eastAsia="宋体"/>
                      <w:caps w:val="0"/>
                      <w:color w:val="auto"/>
                      <w:kern w:val="0"/>
                      <w:szCs w:val="21"/>
                      <w:highlight w:val="none"/>
                      <w:lang w:eastAsia="zh-CN"/>
                    </w:rPr>
                  </w:pPr>
                  <w:r>
                    <w:rPr>
                      <w:rFonts w:ascii="Times New Roman" w:hAnsi="Times New Roman" w:eastAsia="宋体"/>
                      <w:caps w:val="0"/>
                      <w:color w:val="auto"/>
                      <w:kern w:val="0"/>
                      <w:szCs w:val="21"/>
                      <w:highlight w:val="none"/>
                    </w:rPr>
                    <w:t xml:space="preserve">测点烟气流速 </w:t>
                  </w:r>
                  <w:r>
                    <w:rPr>
                      <w:rFonts w:hint="eastAsia"/>
                      <w:caps w:val="0"/>
                      <w:color w:val="auto"/>
                      <w:kern w:val="0"/>
                      <w:szCs w:val="21"/>
                      <w:highlight w:val="none"/>
                      <w:lang w:eastAsia="zh-CN"/>
                    </w:rPr>
                    <w:t>（</w:t>
                  </w:r>
                  <w:r>
                    <w:rPr>
                      <w:rFonts w:ascii="Times New Roman" w:hAnsi="Times New Roman" w:eastAsia="宋体"/>
                      <w:caps w:val="0"/>
                      <w:color w:val="auto"/>
                      <w:kern w:val="0"/>
                      <w:szCs w:val="21"/>
                      <w:highlight w:val="none"/>
                    </w:rPr>
                    <w:t>m/s</w:t>
                  </w:r>
                  <w:r>
                    <w:rPr>
                      <w:rFonts w:hint="eastAsia"/>
                      <w:caps w:val="0"/>
                      <w:color w:val="auto"/>
                      <w:kern w:val="0"/>
                      <w:szCs w:val="21"/>
                      <w:highlight w:val="none"/>
                      <w:lang w:eastAsia="zh-CN"/>
                    </w:rPr>
                    <w:t>）</w:t>
                  </w:r>
                </w:p>
              </w:tc>
              <w:tc>
                <w:tcPr>
                  <w:tcW w:w="449" w:type="pct"/>
                  <w:tcBorders>
                    <w:tl2br w:val="nil"/>
                    <w:tr2bl w:val="nil"/>
                  </w:tcBorders>
                  <w:vAlign w:val="center"/>
                </w:tcPr>
                <w:p w14:paraId="5BD7A679">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10.6</w:t>
                  </w:r>
                </w:p>
              </w:tc>
              <w:tc>
                <w:tcPr>
                  <w:tcW w:w="602" w:type="pct"/>
                  <w:gridSpan w:val="2"/>
                  <w:tcBorders>
                    <w:tl2br w:val="nil"/>
                    <w:tr2bl w:val="nil"/>
                  </w:tcBorders>
                  <w:vAlign w:val="center"/>
                </w:tcPr>
                <w:p w14:paraId="7F082D68">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11.1</w:t>
                  </w:r>
                </w:p>
              </w:tc>
              <w:tc>
                <w:tcPr>
                  <w:tcW w:w="602" w:type="pct"/>
                  <w:gridSpan w:val="2"/>
                  <w:tcBorders>
                    <w:tl2br w:val="nil"/>
                    <w:tr2bl w:val="nil"/>
                  </w:tcBorders>
                  <w:vAlign w:val="center"/>
                </w:tcPr>
                <w:p w14:paraId="606EF4E7">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10.8</w:t>
                  </w:r>
                </w:p>
              </w:tc>
              <w:tc>
                <w:tcPr>
                  <w:tcW w:w="705" w:type="pct"/>
                  <w:gridSpan w:val="2"/>
                  <w:tcBorders>
                    <w:tl2br w:val="nil"/>
                    <w:tr2bl w:val="nil"/>
                  </w:tcBorders>
                  <w:vAlign w:val="center"/>
                </w:tcPr>
                <w:p w14:paraId="4975AE4D">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10.3</w:t>
                  </w:r>
                </w:p>
              </w:tc>
              <w:tc>
                <w:tcPr>
                  <w:tcW w:w="658" w:type="pct"/>
                  <w:gridSpan w:val="2"/>
                  <w:tcBorders>
                    <w:tl2br w:val="nil"/>
                    <w:tr2bl w:val="nil"/>
                  </w:tcBorders>
                  <w:vAlign w:val="center"/>
                </w:tcPr>
                <w:p w14:paraId="21367976">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10.9</w:t>
                  </w:r>
                </w:p>
              </w:tc>
              <w:tc>
                <w:tcPr>
                  <w:tcW w:w="602" w:type="pct"/>
                  <w:tcBorders>
                    <w:tl2br w:val="nil"/>
                    <w:tr2bl w:val="nil"/>
                  </w:tcBorders>
                  <w:vAlign w:val="center"/>
                </w:tcPr>
                <w:p w14:paraId="2372BBF3">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10.9</w:t>
                  </w:r>
                </w:p>
              </w:tc>
            </w:tr>
            <w:tr w14:paraId="5C6BB4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1378" w:type="pct"/>
                  <w:gridSpan w:val="2"/>
                  <w:tcBorders>
                    <w:tl2br w:val="nil"/>
                    <w:tr2bl w:val="nil"/>
                  </w:tcBorders>
                  <w:vAlign w:val="center"/>
                </w:tcPr>
                <w:p w14:paraId="36B2D3F1">
                  <w:pPr>
                    <w:widowControl/>
                    <w:spacing w:line="276" w:lineRule="auto"/>
                    <w:jc w:val="center"/>
                    <w:rPr>
                      <w:rFonts w:ascii="Times New Roman" w:hAnsi="Times New Roman" w:eastAsia="宋体"/>
                      <w:caps w:val="0"/>
                      <w:color w:val="auto"/>
                      <w:kern w:val="0"/>
                      <w:szCs w:val="21"/>
                      <w:highlight w:val="none"/>
                    </w:rPr>
                  </w:pPr>
                  <w:r>
                    <w:rPr>
                      <w:rFonts w:hint="eastAsia"/>
                      <w:caps w:val="0"/>
                      <w:color w:val="auto"/>
                      <w:kern w:val="0"/>
                      <w:szCs w:val="21"/>
                      <w:highlight w:val="none"/>
                      <w:lang w:val="en-US" w:eastAsia="zh-CN"/>
                    </w:rPr>
                    <w:t>标杆流</w:t>
                  </w:r>
                  <w:r>
                    <w:rPr>
                      <w:rFonts w:ascii="Times New Roman" w:hAnsi="Times New Roman" w:eastAsia="宋体"/>
                      <w:caps w:val="0"/>
                      <w:color w:val="auto"/>
                      <w:kern w:val="0"/>
                      <w:szCs w:val="21"/>
                      <w:highlight w:val="none"/>
                    </w:rPr>
                    <w:t>量（m³/h）</w:t>
                  </w:r>
                </w:p>
              </w:tc>
              <w:tc>
                <w:tcPr>
                  <w:tcW w:w="449" w:type="pct"/>
                  <w:tcBorders>
                    <w:tl2br w:val="nil"/>
                    <w:tr2bl w:val="nil"/>
                  </w:tcBorders>
                  <w:vAlign w:val="center"/>
                </w:tcPr>
                <w:p w14:paraId="6D6AEEB5">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17393</w:t>
                  </w:r>
                </w:p>
              </w:tc>
              <w:tc>
                <w:tcPr>
                  <w:tcW w:w="602" w:type="pct"/>
                  <w:gridSpan w:val="2"/>
                  <w:tcBorders>
                    <w:tl2br w:val="nil"/>
                    <w:tr2bl w:val="nil"/>
                  </w:tcBorders>
                  <w:vAlign w:val="center"/>
                </w:tcPr>
                <w:p w14:paraId="47E37279">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18219</w:t>
                  </w:r>
                </w:p>
              </w:tc>
              <w:tc>
                <w:tcPr>
                  <w:tcW w:w="602" w:type="pct"/>
                  <w:gridSpan w:val="2"/>
                  <w:tcBorders>
                    <w:tl2br w:val="nil"/>
                    <w:tr2bl w:val="nil"/>
                  </w:tcBorders>
                  <w:vAlign w:val="center"/>
                </w:tcPr>
                <w:p w14:paraId="5FCD19B3">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17733</w:t>
                  </w:r>
                </w:p>
              </w:tc>
              <w:tc>
                <w:tcPr>
                  <w:tcW w:w="705" w:type="pct"/>
                  <w:gridSpan w:val="2"/>
                  <w:tcBorders>
                    <w:tl2br w:val="nil"/>
                    <w:tr2bl w:val="nil"/>
                  </w:tcBorders>
                  <w:vAlign w:val="center"/>
                </w:tcPr>
                <w:p w14:paraId="0A90F926">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17913</w:t>
                  </w:r>
                </w:p>
              </w:tc>
              <w:tc>
                <w:tcPr>
                  <w:tcW w:w="658" w:type="pct"/>
                  <w:gridSpan w:val="2"/>
                  <w:tcBorders>
                    <w:tl2br w:val="nil"/>
                    <w:tr2bl w:val="nil"/>
                  </w:tcBorders>
                  <w:vAlign w:val="center"/>
                </w:tcPr>
                <w:p w14:paraId="4F0FA81C">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18254</w:t>
                  </w:r>
                </w:p>
              </w:tc>
              <w:tc>
                <w:tcPr>
                  <w:tcW w:w="602" w:type="pct"/>
                  <w:tcBorders>
                    <w:tl2br w:val="nil"/>
                    <w:tr2bl w:val="nil"/>
                  </w:tcBorders>
                  <w:vAlign w:val="center"/>
                </w:tcPr>
                <w:p w14:paraId="2F876075">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18235</w:t>
                  </w:r>
                </w:p>
              </w:tc>
            </w:tr>
            <w:tr w14:paraId="30DDB0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327" w:type="pct"/>
                  <w:vMerge w:val="restart"/>
                  <w:tcBorders>
                    <w:tl2br w:val="nil"/>
                    <w:tr2bl w:val="nil"/>
                  </w:tcBorders>
                  <w:vAlign w:val="center"/>
                </w:tcPr>
                <w:p w14:paraId="02044455">
                  <w:pPr>
                    <w:widowControl/>
                    <w:jc w:val="center"/>
                    <w:rPr>
                      <w:rFonts w:hint="eastAsia" w:ascii="Times New Roman" w:hAnsi="Times New Roman" w:eastAsia="宋体"/>
                      <w:caps w:val="0"/>
                      <w:color w:val="auto"/>
                      <w:kern w:val="0"/>
                      <w:szCs w:val="21"/>
                      <w:highlight w:val="none"/>
                      <w:lang w:eastAsia="zh-CN"/>
                    </w:rPr>
                  </w:pPr>
                  <w:r>
                    <w:rPr>
                      <w:rFonts w:hint="eastAsia" w:ascii="Times New Roman" w:hAnsi="Times New Roman" w:eastAsia="宋体"/>
                      <w:caps w:val="0"/>
                      <w:color w:val="auto"/>
                      <w:szCs w:val="21"/>
                      <w:highlight w:val="none"/>
                      <w:lang w:val="en-US" w:eastAsia="zh-CN"/>
                    </w:rPr>
                    <w:t>甲苯</w:t>
                  </w:r>
                </w:p>
              </w:tc>
              <w:tc>
                <w:tcPr>
                  <w:tcW w:w="1051" w:type="pct"/>
                  <w:tcBorders>
                    <w:tl2br w:val="nil"/>
                    <w:tr2bl w:val="nil"/>
                  </w:tcBorders>
                  <w:vAlign w:val="center"/>
                </w:tcPr>
                <w:p w14:paraId="2A08D681">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污染物排放浓度</w:t>
                  </w:r>
                  <w:r>
                    <w:rPr>
                      <w:rFonts w:hint="eastAsia"/>
                      <w:caps w:val="0"/>
                      <w:color w:val="auto"/>
                      <w:szCs w:val="21"/>
                      <w:highlight w:val="none"/>
                      <w:lang w:eastAsia="zh-CN"/>
                    </w:rPr>
                    <w:t>（</w:t>
                  </w:r>
                  <w:r>
                    <w:rPr>
                      <w:rFonts w:ascii="Times New Roman" w:hAnsi="Times New Roman" w:eastAsia="宋体"/>
                      <w:caps w:val="0"/>
                      <w:color w:val="auto"/>
                      <w:szCs w:val="21"/>
                      <w:highlight w:val="none"/>
                    </w:rPr>
                    <w:t>mg/m³</w:t>
                  </w:r>
                  <w:r>
                    <w:rPr>
                      <w:rFonts w:hint="eastAsia"/>
                      <w:caps w:val="0"/>
                      <w:color w:val="auto"/>
                      <w:szCs w:val="21"/>
                      <w:highlight w:val="none"/>
                      <w:lang w:eastAsia="zh-CN"/>
                    </w:rPr>
                    <w:t>）</w:t>
                  </w:r>
                </w:p>
              </w:tc>
              <w:tc>
                <w:tcPr>
                  <w:tcW w:w="449" w:type="pct"/>
                  <w:tcBorders>
                    <w:tl2br w:val="nil"/>
                    <w:tr2bl w:val="nil"/>
                  </w:tcBorders>
                  <w:vAlign w:val="center"/>
                </w:tcPr>
                <w:p w14:paraId="6733EB22">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c>
                <w:tcPr>
                  <w:tcW w:w="602" w:type="pct"/>
                  <w:gridSpan w:val="2"/>
                  <w:tcBorders>
                    <w:tl2br w:val="nil"/>
                    <w:tr2bl w:val="nil"/>
                  </w:tcBorders>
                  <w:vAlign w:val="center"/>
                </w:tcPr>
                <w:p w14:paraId="091FA524">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c>
                <w:tcPr>
                  <w:tcW w:w="602" w:type="pct"/>
                  <w:gridSpan w:val="2"/>
                  <w:tcBorders>
                    <w:tl2br w:val="nil"/>
                    <w:tr2bl w:val="nil"/>
                  </w:tcBorders>
                  <w:vAlign w:val="center"/>
                </w:tcPr>
                <w:p w14:paraId="444345D7">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c>
                <w:tcPr>
                  <w:tcW w:w="705" w:type="pct"/>
                  <w:gridSpan w:val="2"/>
                  <w:tcBorders>
                    <w:tl2br w:val="nil"/>
                    <w:tr2bl w:val="nil"/>
                  </w:tcBorders>
                  <w:vAlign w:val="center"/>
                </w:tcPr>
                <w:p w14:paraId="566B0903">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c>
                <w:tcPr>
                  <w:tcW w:w="658" w:type="pct"/>
                  <w:gridSpan w:val="2"/>
                  <w:tcBorders>
                    <w:tl2br w:val="nil"/>
                    <w:tr2bl w:val="nil"/>
                  </w:tcBorders>
                  <w:vAlign w:val="center"/>
                </w:tcPr>
                <w:p w14:paraId="0B7630D7">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c>
                <w:tcPr>
                  <w:tcW w:w="602" w:type="pct"/>
                  <w:tcBorders>
                    <w:tl2br w:val="nil"/>
                    <w:tr2bl w:val="nil"/>
                  </w:tcBorders>
                  <w:vAlign w:val="center"/>
                </w:tcPr>
                <w:p w14:paraId="1B108DB9">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r>
            <w:tr w14:paraId="4F2985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exact"/>
                <w:jc w:val="center"/>
              </w:trPr>
              <w:tc>
                <w:tcPr>
                  <w:tcW w:w="327" w:type="pct"/>
                  <w:vMerge w:val="continue"/>
                  <w:tcBorders>
                    <w:tl2br w:val="nil"/>
                    <w:tr2bl w:val="nil"/>
                  </w:tcBorders>
                  <w:vAlign w:val="center"/>
                </w:tcPr>
                <w:p w14:paraId="71ECA526">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4BF0B619">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污染物平均排放浓度</w:t>
                  </w:r>
                  <w:r>
                    <w:rPr>
                      <w:rFonts w:hint="eastAsia"/>
                      <w:caps w:val="0"/>
                      <w:color w:val="auto"/>
                      <w:szCs w:val="21"/>
                      <w:highlight w:val="none"/>
                      <w:lang w:eastAsia="zh-CN"/>
                    </w:rPr>
                    <w:t>（</w:t>
                  </w:r>
                  <w:r>
                    <w:rPr>
                      <w:rFonts w:ascii="Times New Roman" w:hAnsi="Times New Roman" w:eastAsia="宋体"/>
                      <w:caps w:val="0"/>
                      <w:color w:val="auto"/>
                      <w:szCs w:val="21"/>
                      <w:highlight w:val="none"/>
                    </w:rPr>
                    <w:t>mg/m³</w:t>
                  </w:r>
                  <w:r>
                    <w:rPr>
                      <w:rFonts w:hint="eastAsia"/>
                      <w:caps w:val="0"/>
                      <w:color w:val="auto"/>
                      <w:szCs w:val="21"/>
                      <w:highlight w:val="none"/>
                      <w:lang w:eastAsia="zh-CN"/>
                    </w:rPr>
                    <w:t>）</w:t>
                  </w:r>
                </w:p>
              </w:tc>
              <w:tc>
                <w:tcPr>
                  <w:tcW w:w="1655" w:type="pct"/>
                  <w:gridSpan w:val="5"/>
                  <w:tcBorders>
                    <w:tl2br w:val="nil"/>
                    <w:tr2bl w:val="nil"/>
                  </w:tcBorders>
                  <w:vAlign w:val="center"/>
                </w:tcPr>
                <w:p w14:paraId="5EB8F9DA">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w:t>
                  </w:r>
                </w:p>
              </w:tc>
              <w:tc>
                <w:tcPr>
                  <w:tcW w:w="1966" w:type="pct"/>
                  <w:gridSpan w:val="5"/>
                  <w:tcBorders>
                    <w:tl2br w:val="nil"/>
                    <w:tr2bl w:val="nil"/>
                  </w:tcBorders>
                  <w:vAlign w:val="center"/>
                </w:tcPr>
                <w:p w14:paraId="2EC3A13A">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w:t>
                  </w:r>
                </w:p>
              </w:tc>
            </w:tr>
            <w:tr w14:paraId="3449B0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9" w:hRule="exact"/>
                <w:jc w:val="center"/>
              </w:trPr>
              <w:tc>
                <w:tcPr>
                  <w:tcW w:w="327" w:type="pct"/>
                  <w:vMerge w:val="continue"/>
                  <w:tcBorders>
                    <w:tl2br w:val="nil"/>
                    <w:tr2bl w:val="nil"/>
                  </w:tcBorders>
                  <w:vAlign w:val="center"/>
                </w:tcPr>
                <w:p w14:paraId="6CAB67F7">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3FA19601">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污染物排放速率</w:t>
                  </w:r>
                  <w:r>
                    <w:rPr>
                      <w:rFonts w:hint="eastAsia"/>
                      <w:caps w:val="0"/>
                      <w:color w:val="auto"/>
                      <w:szCs w:val="21"/>
                      <w:highlight w:val="none"/>
                      <w:lang w:eastAsia="zh-CN"/>
                    </w:rPr>
                    <w:t>（</w:t>
                  </w:r>
                  <w:r>
                    <w:rPr>
                      <w:rFonts w:ascii="Times New Roman" w:hAnsi="Times New Roman" w:eastAsia="宋体"/>
                      <w:caps w:val="0"/>
                      <w:color w:val="auto"/>
                      <w:szCs w:val="21"/>
                      <w:highlight w:val="none"/>
                    </w:rPr>
                    <w:t>kg/h</w:t>
                  </w:r>
                  <w:r>
                    <w:rPr>
                      <w:rFonts w:hint="eastAsia"/>
                      <w:caps w:val="0"/>
                      <w:color w:val="auto"/>
                      <w:szCs w:val="21"/>
                      <w:highlight w:val="none"/>
                      <w:lang w:eastAsia="zh-CN"/>
                    </w:rPr>
                    <w:t>）</w:t>
                  </w:r>
                </w:p>
              </w:tc>
              <w:tc>
                <w:tcPr>
                  <w:tcW w:w="449" w:type="pct"/>
                  <w:tcBorders>
                    <w:tl2br w:val="nil"/>
                    <w:tr2bl w:val="nil"/>
                  </w:tcBorders>
                  <w:vAlign w:val="center"/>
                </w:tcPr>
                <w:p w14:paraId="6B183880">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c>
                <w:tcPr>
                  <w:tcW w:w="602" w:type="pct"/>
                  <w:gridSpan w:val="2"/>
                  <w:tcBorders>
                    <w:tl2br w:val="nil"/>
                    <w:tr2bl w:val="nil"/>
                  </w:tcBorders>
                  <w:vAlign w:val="center"/>
                </w:tcPr>
                <w:p w14:paraId="3C2A22A7">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c>
                <w:tcPr>
                  <w:tcW w:w="602" w:type="pct"/>
                  <w:gridSpan w:val="2"/>
                  <w:tcBorders>
                    <w:tl2br w:val="nil"/>
                    <w:tr2bl w:val="nil"/>
                  </w:tcBorders>
                  <w:vAlign w:val="center"/>
                </w:tcPr>
                <w:p w14:paraId="529B0E31">
                  <w:pPr>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c>
                <w:tcPr>
                  <w:tcW w:w="705" w:type="pct"/>
                  <w:gridSpan w:val="2"/>
                  <w:tcBorders>
                    <w:tl2br w:val="nil"/>
                    <w:tr2bl w:val="nil"/>
                  </w:tcBorders>
                  <w:vAlign w:val="center"/>
                </w:tcPr>
                <w:p w14:paraId="0DDCB86A">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c>
                <w:tcPr>
                  <w:tcW w:w="658" w:type="pct"/>
                  <w:gridSpan w:val="2"/>
                  <w:tcBorders>
                    <w:tl2br w:val="nil"/>
                    <w:tr2bl w:val="nil"/>
                  </w:tcBorders>
                  <w:vAlign w:val="center"/>
                </w:tcPr>
                <w:p w14:paraId="36FA9AFA">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c>
                <w:tcPr>
                  <w:tcW w:w="602" w:type="pct"/>
                  <w:tcBorders>
                    <w:tl2br w:val="nil"/>
                    <w:tr2bl w:val="nil"/>
                  </w:tcBorders>
                  <w:vAlign w:val="center"/>
                </w:tcPr>
                <w:p w14:paraId="015D0AFB">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ND</w:t>
                  </w:r>
                </w:p>
              </w:tc>
            </w:tr>
            <w:tr w14:paraId="356726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0" w:hRule="exact"/>
                <w:jc w:val="center"/>
              </w:trPr>
              <w:tc>
                <w:tcPr>
                  <w:tcW w:w="327" w:type="pct"/>
                  <w:vMerge w:val="continue"/>
                  <w:tcBorders>
                    <w:tl2br w:val="nil"/>
                    <w:tr2bl w:val="nil"/>
                  </w:tcBorders>
                  <w:vAlign w:val="center"/>
                </w:tcPr>
                <w:p w14:paraId="46C581A4">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5A49C53E">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污染物平均排放速率</w:t>
                  </w:r>
                  <w:r>
                    <w:rPr>
                      <w:rFonts w:hint="eastAsia"/>
                      <w:caps w:val="0"/>
                      <w:color w:val="auto"/>
                      <w:szCs w:val="21"/>
                      <w:highlight w:val="none"/>
                      <w:lang w:eastAsia="zh-CN"/>
                    </w:rPr>
                    <w:t>（</w:t>
                  </w:r>
                  <w:r>
                    <w:rPr>
                      <w:rFonts w:ascii="Times New Roman" w:hAnsi="Times New Roman" w:eastAsia="宋体"/>
                      <w:caps w:val="0"/>
                      <w:color w:val="auto"/>
                      <w:szCs w:val="21"/>
                      <w:highlight w:val="none"/>
                    </w:rPr>
                    <w:t>kg/h</w:t>
                  </w:r>
                  <w:r>
                    <w:rPr>
                      <w:rFonts w:hint="eastAsia"/>
                      <w:caps w:val="0"/>
                      <w:color w:val="auto"/>
                      <w:szCs w:val="21"/>
                      <w:highlight w:val="none"/>
                      <w:lang w:eastAsia="zh-CN"/>
                    </w:rPr>
                    <w:t>）</w:t>
                  </w:r>
                </w:p>
              </w:tc>
              <w:tc>
                <w:tcPr>
                  <w:tcW w:w="1655" w:type="pct"/>
                  <w:gridSpan w:val="5"/>
                  <w:tcBorders>
                    <w:tl2br w:val="nil"/>
                    <w:tr2bl w:val="nil"/>
                  </w:tcBorders>
                  <w:vAlign w:val="center"/>
                </w:tcPr>
                <w:p w14:paraId="26B085E8">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w:t>
                  </w:r>
                </w:p>
              </w:tc>
              <w:tc>
                <w:tcPr>
                  <w:tcW w:w="1966" w:type="pct"/>
                  <w:gridSpan w:val="5"/>
                  <w:tcBorders>
                    <w:tl2br w:val="nil"/>
                    <w:tr2bl w:val="nil"/>
                  </w:tcBorders>
                  <w:vAlign w:val="center"/>
                </w:tcPr>
                <w:p w14:paraId="56D00446">
                  <w:pPr>
                    <w:spacing w:line="276" w:lineRule="auto"/>
                    <w:ind w:right="-34" w:rightChars="-16"/>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w:t>
                  </w:r>
                </w:p>
              </w:tc>
            </w:tr>
            <w:tr w14:paraId="0A0372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327" w:type="pct"/>
                  <w:vMerge w:val="restart"/>
                  <w:tcBorders>
                    <w:tl2br w:val="nil"/>
                    <w:tr2bl w:val="nil"/>
                  </w:tcBorders>
                  <w:vAlign w:val="center"/>
                </w:tcPr>
                <w:p w14:paraId="78FED458">
                  <w:pPr>
                    <w:widowControl/>
                    <w:jc w:val="left"/>
                    <w:rPr>
                      <w:rFonts w:hint="eastAsia"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非甲烷总烃</w:t>
                  </w:r>
                </w:p>
              </w:tc>
              <w:tc>
                <w:tcPr>
                  <w:tcW w:w="1051" w:type="pct"/>
                  <w:tcBorders>
                    <w:tl2br w:val="nil"/>
                    <w:tr2bl w:val="nil"/>
                  </w:tcBorders>
                  <w:vAlign w:val="center"/>
                </w:tcPr>
                <w:p w14:paraId="2E7394E8">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污染物排放浓度</w:t>
                  </w:r>
                  <w:r>
                    <w:rPr>
                      <w:rFonts w:hint="eastAsia"/>
                      <w:caps w:val="0"/>
                      <w:color w:val="auto"/>
                      <w:szCs w:val="21"/>
                      <w:highlight w:val="none"/>
                      <w:lang w:eastAsia="zh-CN"/>
                    </w:rPr>
                    <w:t>（</w:t>
                  </w:r>
                  <w:r>
                    <w:rPr>
                      <w:rFonts w:ascii="Times New Roman" w:hAnsi="Times New Roman" w:eastAsia="宋体"/>
                      <w:caps w:val="0"/>
                      <w:color w:val="auto"/>
                      <w:szCs w:val="21"/>
                      <w:highlight w:val="none"/>
                    </w:rPr>
                    <w:t>mg/m³</w:t>
                  </w:r>
                  <w:r>
                    <w:rPr>
                      <w:rFonts w:hint="eastAsia"/>
                      <w:caps w:val="0"/>
                      <w:color w:val="auto"/>
                      <w:szCs w:val="21"/>
                      <w:highlight w:val="none"/>
                      <w:lang w:eastAsia="zh-CN"/>
                    </w:rPr>
                    <w:t>）</w:t>
                  </w:r>
                </w:p>
              </w:tc>
              <w:tc>
                <w:tcPr>
                  <w:tcW w:w="551" w:type="pct"/>
                  <w:gridSpan w:val="2"/>
                  <w:tcBorders>
                    <w:tl2br w:val="nil"/>
                    <w:tr2bl w:val="nil"/>
                  </w:tcBorders>
                  <w:vAlign w:val="center"/>
                </w:tcPr>
                <w:p w14:paraId="41FC22B6">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6.06</w:t>
                  </w:r>
                </w:p>
              </w:tc>
              <w:tc>
                <w:tcPr>
                  <w:tcW w:w="551" w:type="pct"/>
                  <w:gridSpan w:val="2"/>
                  <w:tcBorders>
                    <w:tl2br w:val="nil"/>
                    <w:tr2bl w:val="nil"/>
                  </w:tcBorders>
                  <w:vAlign w:val="center"/>
                </w:tcPr>
                <w:p w14:paraId="0D64ED88">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6.08</w:t>
                  </w:r>
                </w:p>
              </w:tc>
              <w:tc>
                <w:tcPr>
                  <w:tcW w:w="552" w:type="pct"/>
                  <w:tcBorders>
                    <w:tl2br w:val="nil"/>
                    <w:tr2bl w:val="nil"/>
                  </w:tcBorders>
                  <w:vAlign w:val="center"/>
                </w:tcPr>
                <w:p w14:paraId="5B32C251">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6.02</w:t>
                  </w:r>
                </w:p>
              </w:tc>
              <w:tc>
                <w:tcPr>
                  <w:tcW w:w="654" w:type="pct"/>
                  <w:tcBorders>
                    <w:tl2br w:val="nil"/>
                    <w:tr2bl w:val="nil"/>
                  </w:tcBorders>
                  <w:vAlign w:val="center"/>
                </w:tcPr>
                <w:p w14:paraId="58242423">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5.99</w:t>
                  </w:r>
                </w:p>
              </w:tc>
              <w:tc>
                <w:tcPr>
                  <w:tcW w:w="654" w:type="pct"/>
                  <w:gridSpan w:val="2"/>
                  <w:tcBorders>
                    <w:tl2br w:val="nil"/>
                    <w:tr2bl w:val="nil"/>
                  </w:tcBorders>
                  <w:vAlign w:val="center"/>
                </w:tcPr>
                <w:p w14:paraId="3208C904">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5.81</w:t>
                  </w:r>
                </w:p>
              </w:tc>
              <w:tc>
                <w:tcPr>
                  <w:tcW w:w="656" w:type="pct"/>
                  <w:gridSpan w:val="2"/>
                  <w:tcBorders>
                    <w:tl2br w:val="nil"/>
                    <w:tr2bl w:val="nil"/>
                  </w:tcBorders>
                  <w:vAlign w:val="center"/>
                </w:tcPr>
                <w:p w14:paraId="1240B93D">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5.65</w:t>
                  </w:r>
                </w:p>
              </w:tc>
            </w:tr>
            <w:tr w14:paraId="38CD50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327" w:type="pct"/>
                  <w:vMerge w:val="continue"/>
                  <w:tcBorders>
                    <w:tl2br w:val="nil"/>
                    <w:tr2bl w:val="nil"/>
                  </w:tcBorders>
                  <w:vAlign w:val="center"/>
                </w:tcPr>
                <w:p w14:paraId="1BE97FB2">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61923CCF">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污染物平均排放浓度</w:t>
                  </w:r>
                  <w:r>
                    <w:rPr>
                      <w:rFonts w:hint="eastAsia"/>
                      <w:caps w:val="0"/>
                      <w:color w:val="auto"/>
                      <w:szCs w:val="21"/>
                      <w:highlight w:val="none"/>
                      <w:lang w:eastAsia="zh-CN"/>
                    </w:rPr>
                    <w:t>（</w:t>
                  </w:r>
                  <w:r>
                    <w:rPr>
                      <w:rFonts w:ascii="Times New Roman" w:hAnsi="Times New Roman" w:eastAsia="宋体"/>
                      <w:caps w:val="0"/>
                      <w:color w:val="auto"/>
                      <w:szCs w:val="21"/>
                      <w:highlight w:val="none"/>
                    </w:rPr>
                    <w:t>mg/m³</w:t>
                  </w:r>
                  <w:r>
                    <w:rPr>
                      <w:rFonts w:hint="eastAsia"/>
                      <w:caps w:val="0"/>
                      <w:color w:val="auto"/>
                      <w:szCs w:val="21"/>
                      <w:highlight w:val="none"/>
                      <w:lang w:eastAsia="zh-CN"/>
                    </w:rPr>
                    <w:t>）</w:t>
                  </w:r>
                </w:p>
              </w:tc>
              <w:tc>
                <w:tcPr>
                  <w:tcW w:w="1655" w:type="pct"/>
                  <w:gridSpan w:val="5"/>
                  <w:tcBorders>
                    <w:tl2br w:val="nil"/>
                    <w:tr2bl w:val="nil"/>
                  </w:tcBorders>
                  <w:vAlign w:val="center"/>
                </w:tcPr>
                <w:p w14:paraId="0F73E82B">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6.05</w:t>
                  </w:r>
                </w:p>
              </w:tc>
              <w:tc>
                <w:tcPr>
                  <w:tcW w:w="1966" w:type="pct"/>
                  <w:gridSpan w:val="5"/>
                  <w:tcBorders>
                    <w:tl2br w:val="nil"/>
                    <w:tr2bl w:val="nil"/>
                  </w:tcBorders>
                  <w:vAlign w:val="center"/>
                </w:tcPr>
                <w:p w14:paraId="02B42B92">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5.82</w:t>
                  </w:r>
                </w:p>
              </w:tc>
            </w:tr>
            <w:tr w14:paraId="1231F8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327" w:type="pct"/>
                  <w:vMerge w:val="continue"/>
                  <w:tcBorders>
                    <w:tl2br w:val="nil"/>
                    <w:tr2bl w:val="nil"/>
                  </w:tcBorders>
                  <w:vAlign w:val="center"/>
                </w:tcPr>
                <w:p w14:paraId="66B39BB7">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200155A0">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污染物排放速率</w:t>
                  </w:r>
                  <w:r>
                    <w:rPr>
                      <w:rFonts w:hint="eastAsia"/>
                      <w:caps w:val="0"/>
                      <w:color w:val="auto"/>
                      <w:szCs w:val="21"/>
                      <w:highlight w:val="none"/>
                      <w:lang w:eastAsia="zh-CN"/>
                    </w:rPr>
                    <w:t>（</w:t>
                  </w:r>
                  <w:r>
                    <w:rPr>
                      <w:rFonts w:ascii="Times New Roman" w:hAnsi="Times New Roman" w:eastAsia="宋体"/>
                      <w:caps w:val="0"/>
                      <w:color w:val="auto"/>
                      <w:szCs w:val="21"/>
                      <w:highlight w:val="none"/>
                    </w:rPr>
                    <w:t>kg/h</w:t>
                  </w:r>
                  <w:r>
                    <w:rPr>
                      <w:rFonts w:hint="eastAsia"/>
                      <w:caps w:val="0"/>
                      <w:color w:val="auto"/>
                      <w:szCs w:val="21"/>
                      <w:highlight w:val="none"/>
                      <w:lang w:eastAsia="zh-CN"/>
                    </w:rPr>
                    <w:t>）</w:t>
                  </w:r>
                </w:p>
              </w:tc>
              <w:tc>
                <w:tcPr>
                  <w:tcW w:w="551" w:type="pct"/>
                  <w:gridSpan w:val="2"/>
                  <w:tcBorders>
                    <w:tl2br w:val="nil"/>
                    <w:tr2bl w:val="nil"/>
                  </w:tcBorders>
                  <w:vAlign w:val="center"/>
                </w:tcPr>
                <w:p w14:paraId="672E85F6">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0.165</w:t>
                  </w:r>
                </w:p>
              </w:tc>
              <w:tc>
                <w:tcPr>
                  <w:tcW w:w="551" w:type="pct"/>
                  <w:gridSpan w:val="2"/>
                  <w:tcBorders>
                    <w:tl2br w:val="nil"/>
                    <w:tr2bl w:val="nil"/>
                  </w:tcBorders>
                  <w:vAlign w:val="center"/>
                </w:tcPr>
                <w:p w14:paraId="706FF916">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0.111</w:t>
                  </w:r>
                </w:p>
              </w:tc>
              <w:tc>
                <w:tcPr>
                  <w:tcW w:w="552" w:type="pct"/>
                  <w:tcBorders>
                    <w:tl2br w:val="nil"/>
                    <w:tr2bl w:val="nil"/>
                  </w:tcBorders>
                  <w:vAlign w:val="center"/>
                </w:tcPr>
                <w:p w14:paraId="201B08C6">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0.108</w:t>
                  </w:r>
                </w:p>
              </w:tc>
              <w:tc>
                <w:tcPr>
                  <w:tcW w:w="654" w:type="pct"/>
                  <w:tcBorders>
                    <w:tl2br w:val="nil"/>
                    <w:tr2bl w:val="nil"/>
                  </w:tcBorders>
                  <w:vAlign w:val="center"/>
                </w:tcPr>
                <w:p w14:paraId="3C4C38EC">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0.107</w:t>
                  </w:r>
                </w:p>
              </w:tc>
              <w:tc>
                <w:tcPr>
                  <w:tcW w:w="654" w:type="pct"/>
                  <w:gridSpan w:val="2"/>
                  <w:tcBorders>
                    <w:tl2br w:val="nil"/>
                    <w:tr2bl w:val="nil"/>
                  </w:tcBorders>
                  <w:vAlign w:val="center"/>
                </w:tcPr>
                <w:p w14:paraId="1F5054A2">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0.106</w:t>
                  </w:r>
                </w:p>
              </w:tc>
              <w:tc>
                <w:tcPr>
                  <w:tcW w:w="656" w:type="pct"/>
                  <w:gridSpan w:val="2"/>
                  <w:tcBorders>
                    <w:tl2br w:val="nil"/>
                    <w:tr2bl w:val="nil"/>
                  </w:tcBorders>
                  <w:vAlign w:val="center"/>
                </w:tcPr>
                <w:p w14:paraId="542BA08D">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0.103</w:t>
                  </w:r>
                </w:p>
              </w:tc>
            </w:tr>
            <w:tr w14:paraId="25997A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327" w:type="pct"/>
                  <w:vMerge w:val="continue"/>
                  <w:tcBorders>
                    <w:tl2br w:val="nil"/>
                    <w:tr2bl w:val="nil"/>
                  </w:tcBorders>
                  <w:vAlign w:val="center"/>
                </w:tcPr>
                <w:p w14:paraId="2D77F379">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0D237D57">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污染物平均排放速率</w:t>
                  </w:r>
                  <w:r>
                    <w:rPr>
                      <w:rFonts w:hint="eastAsia"/>
                      <w:caps w:val="0"/>
                      <w:color w:val="auto"/>
                      <w:szCs w:val="21"/>
                      <w:highlight w:val="none"/>
                      <w:lang w:eastAsia="zh-CN"/>
                    </w:rPr>
                    <w:t>（</w:t>
                  </w:r>
                  <w:r>
                    <w:rPr>
                      <w:rFonts w:ascii="Times New Roman" w:hAnsi="Times New Roman" w:eastAsia="宋体"/>
                      <w:caps w:val="0"/>
                      <w:color w:val="auto"/>
                      <w:szCs w:val="21"/>
                      <w:highlight w:val="none"/>
                    </w:rPr>
                    <w:t>kg/h</w:t>
                  </w:r>
                  <w:r>
                    <w:rPr>
                      <w:rFonts w:hint="eastAsia"/>
                      <w:caps w:val="0"/>
                      <w:color w:val="auto"/>
                      <w:szCs w:val="21"/>
                      <w:highlight w:val="none"/>
                      <w:lang w:eastAsia="zh-CN"/>
                    </w:rPr>
                    <w:t>）</w:t>
                  </w:r>
                </w:p>
              </w:tc>
              <w:tc>
                <w:tcPr>
                  <w:tcW w:w="1655" w:type="pct"/>
                  <w:gridSpan w:val="5"/>
                  <w:tcBorders>
                    <w:tl2br w:val="nil"/>
                    <w:tr2bl w:val="nil"/>
                  </w:tcBorders>
                  <w:vAlign w:val="center"/>
                </w:tcPr>
                <w:p w14:paraId="6607E559">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0.128</w:t>
                  </w:r>
                </w:p>
              </w:tc>
              <w:tc>
                <w:tcPr>
                  <w:tcW w:w="1966" w:type="pct"/>
                  <w:gridSpan w:val="5"/>
                  <w:tcBorders>
                    <w:tl2br w:val="nil"/>
                    <w:tr2bl w:val="nil"/>
                  </w:tcBorders>
                  <w:vAlign w:val="center"/>
                </w:tcPr>
                <w:p w14:paraId="440A0B45">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0.105</w:t>
                  </w:r>
                </w:p>
              </w:tc>
            </w:tr>
            <w:tr w14:paraId="187CE8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327" w:type="pct"/>
                  <w:vMerge w:val="restart"/>
                  <w:tcBorders>
                    <w:tl2br w:val="nil"/>
                    <w:tr2bl w:val="nil"/>
                  </w:tcBorders>
                  <w:vAlign w:val="center"/>
                </w:tcPr>
                <w:p w14:paraId="3F2BA174">
                  <w:pPr>
                    <w:widowControl/>
                    <w:jc w:val="left"/>
                    <w:rPr>
                      <w:rFonts w:hint="eastAsia"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苯乙烯</w:t>
                  </w:r>
                </w:p>
              </w:tc>
              <w:tc>
                <w:tcPr>
                  <w:tcW w:w="1051" w:type="pct"/>
                  <w:tcBorders>
                    <w:tl2br w:val="nil"/>
                    <w:tr2bl w:val="nil"/>
                  </w:tcBorders>
                  <w:vAlign w:val="center"/>
                </w:tcPr>
                <w:p w14:paraId="2264CA45">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污染物排放浓度</w:t>
                  </w:r>
                  <w:r>
                    <w:rPr>
                      <w:rFonts w:hint="eastAsia"/>
                      <w:caps w:val="0"/>
                      <w:color w:val="auto"/>
                      <w:szCs w:val="21"/>
                      <w:highlight w:val="none"/>
                      <w:lang w:eastAsia="zh-CN"/>
                    </w:rPr>
                    <w:t>（</w:t>
                  </w:r>
                  <w:r>
                    <w:rPr>
                      <w:rFonts w:ascii="Times New Roman" w:hAnsi="Times New Roman" w:eastAsia="宋体"/>
                      <w:caps w:val="0"/>
                      <w:color w:val="auto"/>
                      <w:szCs w:val="21"/>
                      <w:highlight w:val="none"/>
                    </w:rPr>
                    <w:t>mg/m³</w:t>
                  </w:r>
                  <w:r>
                    <w:rPr>
                      <w:rFonts w:hint="eastAsia"/>
                      <w:caps w:val="0"/>
                      <w:color w:val="auto"/>
                      <w:szCs w:val="21"/>
                      <w:highlight w:val="none"/>
                      <w:lang w:eastAsia="zh-CN"/>
                    </w:rPr>
                    <w:t>）</w:t>
                  </w:r>
                </w:p>
              </w:tc>
              <w:tc>
                <w:tcPr>
                  <w:tcW w:w="551" w:type="pct"/>
                  <w:gridSpan w:val="2"/>
                  <w:tcBorders>
                    <w:tl2br w:val="nil"/>
                    <w:tr2bl w:val="nil"/>
                  </w:tcBorders>
                  <w:vAlign w:val="center"/>
                </w:tcPr>
                <w:p w14:paraId="725E7300">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1.5</w:t>
                  </w:r>
                </w:p>
              </w:tc>
              <w:tc>
                <w:tcPr>
                  <w:tcW w:w="551" w:type="pct"/>
                  <w:gridSpan w:val="2"/>
                  <w:tcBorders>
                    <w:tl2br w:val="nil"/>
                    <w:tr2bl w:val="nil"/>
                  </w:tcBorders>
                  <w:vAlign w:val="center"/>
                </w:tcPr>
                <w:p w14:paraId="28732A15">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1.2</w:t>
                  </w:r>
                </w:p>
              </w:tc>
              <w:tc>
                <w:tcPr>
                  <w:tcW w:w="552" w:type="pct"/>
                  <w:tcBorders>
                    <w:tl2br w:val="nil"/>
                    <w:tr2bl w:val="nil"/>
                  </w:tcBorders>
                  <w:vAlign w:val="center"/>
                </w:tcPr>
                <w:p w14:paraId="5C69D22E">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1.1</w:t>
                  </w:r>
                </w:p>
              </w:tc>
              <w:tc>
                <w:tcPr>
                  <w:tcW w:w="654" w:type="pct"/>
                  <w:tcBorders>
                    <w:tl2br w:val="nil"/>
                    <w:tr2bl w:val="nil"/>
                  </w:tcBorders>
                  <w:vAlign w:val="center"/>
                </w:tcPr>
                <w:p w14:paraId="4C3953F8">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1.8</w:t>
                  </w:r>
                </w:p>
              </w:tc>
              <w:tc>
                <w:tcPr>
                  <w:tcW w:w="654" w:type="pct"/>
                  <w:gridSpan w:val="2"/>
                  <w:tcBorders>
                    <w:tl2br w:val="nil"/>
                    <w:tr2bl w:val="nil"/>
                  </w:tcBorders>
                  <w:vAlign w:val="center"/>
                </w:tcPr>
                <w:p w14:paraId="48F89FE4">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1.6</w:t>
                  </w:r>
                </w:p>
              </w:tc>
              <w:tc>
                <w:tcPr>
                  <w:tcW w:w="656" w:type="pct"/>
                  <w:gridSpan w:val="2"/>
                  <w:tcBorders>
                    <w:tl2br w:val="nil"/>
                    <w:tr2bl w:val="nil"/>
                  </w:tcBorders>
                  <w:vAlign w:val="center"/>
                </w:tcPr>
                <w:p w14:paraId="3A7C36A4">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1.8</w:t>
                  </w:r>
                </w:p>
              </w:tc>
            </w:tr>
            <w:tr w14:paraId="4E4666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327" w:type="pct"/>
                  <w:vMerge w:val="continue"/>
                  <w:tcBorders>
                    <w:tl2br w:val="nil"/>
                    <w:tr2bl w:val="nil"/>
                  </w:tcBorders>
                  <w:vAlign w:val="center"/>
                </w:tcPr>
                <w:p w14:paraId="799FE8CF">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1704E4BF">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污染物平均排放浓度</w:t>
                  </w:r>
                  <w:r>
                    <w:rPr>
                      <w:rFonts w:hint="eastAsia"/>
                      <w:caps w:val="0"/>
                      <w:color w:val="auto"/>
                      <w:szCs w:val="21"/>
                      <w:highlight w:val="none"/>
                      <w:lang w:eastAsia="zh-CN"/>
                    </w:rPr>
                    <w:t>（</w:t>
                  </w:r>
                  <w:r>
                    <w:rPr>
                      <w:rFonts w:ascii="Times New Roman" w:hAnsi="Times New Roman" w:eastAsia="宋体"/>
                      <w:caps w:val="0"/>
                      <w:color w:val="auto"/>
                      <w:szCs w:val="21"/>
                      <w:highlight w:val="none"/>
                    </w:rPr>
                    <w:t>mg/m³</w:t>
                  </w:r>
                  <w:r>
                    <w:rPr>
                      <w:rFonts w:hint="eastAsia"/>
                      <w:caps w:val="0"/>
                      <w:color w:val="auto"/>
                      <w:szCs w:val="21"/>
                      <w:highlight w:val="none"/>
                      <w:lang w:eastAsia="zh-CN"/>
                    </w:rPr>
                    <w:t>）</w:t>
                  </w:r>
                </w:p>
              </w:tc>
              <w:tc>
                <w:tcPr>
                  <w:tcW w:w="1655" w:type="pct"/>
                  <w:gridSpan w:val="5"/>
                  <w:tcBorders>
                    <w:tl2br w:val="nil"/>
                    <w:tr2bl w:val="nil"/>
                  </w:tcBorders>
                  <w:vAlign w:val="center"/>
                </w:tcPr>
                <w:p w14:paraId="37C85D1E">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1.3</w:t>
                  </w:r>
                </w:p>
              </w:tc>
              <w:tc>
                <w:tcPr>
                  <w:tcW w:w="1966" w:type="pct"/>
                  <w:gridSpan w:val="5"/>
                  <w:tcBorders>
                    <w:tl2br w:val="nil"/>
                    <w:tr2bl w:val="nil"/>
                  </w:tcBorders>
                  <w:vAlign w:val="center"/>
                </w:tcPr>
                <w:p w14:paraId="7E799A61">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1.7</w:t>
                  </w:r>
                </w:p>
              </w:tc>
            </w:tr>
            <w:tr w14:paraId="675AEB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327" w:type="pct"/>
                  <w:vMerge w:val="continue"/>
                  <w:tcBorders>
                    <w:tl2br w:val="nil"/>
                    <w:tr2bl w:val="nil"/>
                  </w:tcBorders>
                  <w:vAlign w:val="center"/>
                </w:tcPr>
                <w:p w14:paraId="4D51120B">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55AF6A09">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污染物排放速率</w:t>
                  </w:r>
                  <w:r>
                    <w:rPr>
                      <w:rFonts w:hint="eastAsia"/>
                      <w:caps w:val="0"/>
                      <w:color w:val="auto"/>
                      <w:szCs w:val="21"/>
                      <w:highlight w:val="none"/>
                      <w:lang w:eastAsia="zh-CN"/>
                    </w:rPr>
                    <w:t>（</w:t>
                  </w:r>
                  <w:r>
                    <w:rPr>
                      <w:rFonts w:ascii="Times New Roman" w:hAnsi="Times New Roman" w:eastAsia="宋体"/>
                      <w:caps w:val="0"/>
                      <w:color w:val="auto"/>
                      <w:szCs w:val="21"/>
                      <w:highlight w:val="none"/>
                    </w:rPr>
                    <w:t>kg/h</w:t>
                  </w:r>
                  <w:r>
                    <w:rPr>
                      <w:rFonts w:hint="eastAsia"/>
                      <w:caps w:val="0"/>
                      <w:color w:val="auto"/>
                      <w:szCs w:val="21"/>
                      <w:highlight w:val="none"/>
                      <w:lang w:eastAsia="zh-CN"/>
                    </w:rPr>
                    <w:t>）</w:t>
                  </w:r>
                </w:p>
              </w:tc>
              <w:tc>
                <w:tcPr>
                  <w:tcW w:w="551" w:type="pct"/>
                  <w:gridSpan w:val="2"/>
                  <w:tcBorders>
                    <w:tl2br w:val="nil"/>
                    <w:tr2bl w:val="nil"/>
                  </w:tcBorders>
                  <w:vAlign w:val="center"/>
                </w:tcPr>
                <w:p w14:paraId="4FEFEEF0">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0.026</w:t>
                  </w:r>
                </w:p>
              </w:tc>
              <w:tc>
                <w:tcPr>
                  <w:tcW w:w="551" w:type="pct"/>
                  <w:gridSpan w:val="2"/>
                  <w:tcBorders>
                    <w:tl2br w:val="nil"/>
                    <w:tr2bl w:val="nil"/>
                  </w:tcBorders>
                  <w:vAlign w:val="center"/>
                </w:tcPr>
                <w:p w14:paraId="7FDA8874">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0.022</w:t>
                  </w:r>
                </w:p>
              </w:tc>
              <w:tc>
                <w:tcPr>
                  <w:tcW w:w="552" w:type="pct"/>
                  <w:tcBorders>
                    <w:tl2br w:val="nil"/>
                    <w:tr2bl w:val="nil"/>
                  </w:tcBorders>
                  <w:vAlign w:val="center"/>
                </w:tcPr>
                <w:p w14:paraId="0848CC22">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0.02</w:t>
                  </w:r>
                </w:p>
              </w:tc>
              <w:tc>
                <w:tcPr>
                  <w:tcW w:w="654" w:type="pct"/>
                  <w:tcBorders>
                    <w:tl2br w:val="nil"/>
                    <w:tr2bl w:val="nil"/>
                  </w:tcBorders>
                  <w:vAlign w:val="center"/>
                </w:tcPr>
                <w:p w14:paraId="1C3F86DF">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0.032</w:t>
                  </w:r>
                </w:p>
              </w:tc>
              <w:tc>
                <w:tcPr>
                  <w:tcW w:w="654" w:type="pct"/>
                  <w:gridSpan w:val="2"/>
                  <w:tcBorders>
                    <w:tl2br w:val="nil"/>
                    <w:tr2bl w:val="nil"/>
                  </w:tcBorders>
                  <w:vAlign w:val="center"/>
                </w:tcPr>
                <w:p w14:paraId="4A4DBF28">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0.029</w:t>
                  </w:r>
                </w:p>
              </w:tc>
              <w:tc>
                <w:tcPr>
                  <w:tcW w:w="656" w:type="pct"/>
                  <w:gridSpan w:val="2"/>
                  <w:tcBorders>
                    <w:tl2br w:val="nil"/>
                    <w:tr2bl w:val="nil"/>
                  </w:tcBorders>
                  <w:vAlign w:val="center"/>
                </w:tcPr>
                <w:p w14:paraId="155AE21B">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0.033</w:t>
                  </w:r>
                </w:p>
              </w:tc>
            </w:tr>
            <w:tr w14:paraId="0FEB0F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327" w:type="pct"/>
                  <w:vMerge w:val="continue"/>
                  <w:tcBorders>
                    <w:tl2br w:val="nil"/>
                    <w:tr2bl w:val="nil"/>
                  </w:tcBorders>
                  <w:vAlign w:val="center"/>
                </w:tcPr>
                <w:p w14:paraId="6BCD6EBA">
                  <w:pPr>
                    <w:widowControl/>
                    <w:jc w:val="left"/>
                    <w:rPr>
                      <w:rFonts w:ascii="Times New Roman" w:hAnsi="Times New Roman" w:eastAsia="宋体"/>
                      <w:caps w:val="0"/>
                      <w:color w:val="auto"/>
                      <w:kern w:val="0"/>
                      <w:szCs w:val="21"/>
                      <w:highlight w:val="none"/>
                    </w:rPr>
                  </w:pPr>
                </w:p>
              </w:tc>
              <w:tc>
                <w:tcPr>
                  <w:tcW w:w="1051" w:type="pct"/>
                  <w:tcBorders>
                    <w:tl2br w:val="nil"/>
                    <w:tr2bl w:val="nil"/>
                  </w:tcBorders>
                  <w:vAlign w:val="center"/>
                </w:tcPr>
                <w:p w14:paraId="6505D266">
                  <w:pPr>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污染物平均排放速率</w:t>
                  </w:r>
                  <w:r>
                    <w:rPr>
                      <w:rFonts w:hint="eastAsia"/>
                      <w:caps w:val="0"/>
                      <w:color w:val="auto"/>
                      <w:szCs w:val="21"/>
                      <w:highlight w:val="none"/>
                      <w:lang w:eastAsia="zh-CN"/>
                    </w:rPr>
                    <w:t>（</w:t>
                  </w:r>
                  <w:r>
                    <w:rPr>
                      <w:rFonts w:ascii="Times New Roman" w:hAnsi="Times New Roman" w:eastAsia="宋体"/>
                      <w:caps w:val="0"/>
                      <w:color w:val="auto"/>
                      <w:szCs w:val="21"/>
                      <w:highlight w:val="none"/>
                    </w:rPr>
                    <w:t>kg/h</w:t>
                  </w:r>
                  <w:r>
                    <w:rPr>
                      <w:rFonts w:hint="eastAsia"/>
                      <w:caps w:val="0"/>
                      <w:color w:val="auto"/>
                      <w:szCs w:val="21"/>
                      <w:highlight w:val="none"/>
                      <w:lang w:eastAsia="zh-CN"/>
                    </w:rPr>
                    <w:t>）</w:t>
                  </w:r>
                </w:p>
              </w:tc>
              <w:tc>
                <w:tcPr>
                  <w:tcW w:w="1655" w:type="pct"/>
                  <w:gridSpan w:val="5"/>
                  <w:tcBorders>
                    <w:tl2br w:val="nil"/>
                    <w:tr2bl w:val="nil"/>
                  </w:tcBorders>
                  <w:vAlign w:val="center"/>
                </w:tcPr>
                <w:p w14:paraId="64F2DC92">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0.023</w:t>
                  </w:r>
                </w:p>
              </w:tc>
              <w:tc>
                <w:tcPr>
                  <w:tcW w:w="1966" w:type="pct"/>
                  <w:gridSpan w:val="5"/>
                  <w:tcBorders>
                    <w:tl2br w:val="nil"/>
                    <w:tr2bl w:val="nil"/>
                  </w:tcBorders>
                  <w:vAlign w:val="center"/>
                </w:tcPr>
                <w:p w14:paraId="2AC6DED0">
                  <w:pPr>
                    <w:spacing w:line="276" w:lineRule="auto"/>
                    <w:ind w:right="-34" w:rightChars="-16"/>
                    <w:jc w:val="center"/>
                    <w:rPr>
                      <w:rFonts w:hint="default"/>
                      <w:caps w:val="0"/>
                      <w:color w:val="auto"/>
                      <w:szCs w:val="21"/>
                      <w:highlight w:val="none"/>
                      <w:lang w:val="en-US" w:eastAsia="zh-CN"/>
                    </w:rPr>
                  </w:pPr>
                  <w:r>
                    <w:rPr>
                      <w:rFonts w:hint="eastAsia"/>
                      <w:caps w:val="0"/>
                      <w:color w:val="auto"/>
                      <w:szCs w:val="21"/>
                      <w:highlight w:val="none"/>
                      <w:lang w:val="en-US" w:eastAsia="zh-CN"/>
                    </w:rPr>
                    <w:t>0.031</w:t>
                  </w:r>
                </w:p>
              </w:tc>
            </w:tr>
            <w:tr w14:paraId="5DFC30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5000" w:type="pct"/>
                  <w:gridSpan w:val="12"/>
                  <w:tcBorders>
                    <w:tl2br w:val="nil"/>
                    <w:tr2bl w:val="nil"/>
                  </w:tcBorders>
                  <w:vAlign w:val="center"/>
                </w:tcPr>
                <w:p w14:paraId="132BE03F">
                  <w:pPr>
                    <w:spacing w:line="276" w:lineRule="auto"/>
                    <w:ind w:right="-34" w:rightChars="-16"/>
                    <w:jc w:val="both"/>
                    <w:rPr>
                      <w:rFonts w:hint="default"/>
                      <w:caps w:val="0"/>
                      <w:color w:val="auto"/>
                      <w:szCs w:val="21"/>
                      <w:highlight w:val="none"/>
                      <w:lang w:val="en-US" w:eastAsia="zh-CN"/>
                    </w:rPr>
                  </w:pPr>
                  <w:r>
                    <w:rPr>
                      <w:rFonts w:hint="eastAsia"/>
                      <w:caps w:val="0"/>
                      <w:color w:val="auto"/>
                      <w:szCs w:val="21"/>
                      <w:highlight w:val="none"/>
                      <w:lang w:val="en-US" w:eastAsia="zh-CN"/>
                    </w:rPr>
                    <w:t>备注：ND表示检测结果低于方法检出限</w:t>
                  </w:r>
                </w:p>
              </w:tc>
            </w:tr>
          </w:tbl>
          <w:p w14:paraId="7FE51235">
            <w:pPr>
              <w:spacing w:line="360" w:lineRule="auto"/>
              <w:ind w:firstLine="480" w:firstLineChars="200"/>
              <w:jc w:val="left"/>
              <w:rPr>
                <w:rFonts w:ascii="Times New Roman" w:hAnsi="Times New Roman" w:eastAsia="宋体"/>
                <w:caps w:val="0"/>
                <w:color w:val="auto"/>
                <w:sz w:val="24"/>
                <w:highlight w:val="none"/>
                <w:shd w:val="clear" w:color="auto" w:fill="FFFFFF"/>
              </w:rPr>
            </w:pPr>
            <w:r>
              <w:rPr>
                <w:rFonts w:ascii="Times New Roman" w:hAnsi="Times New Roman" w:eastAsia="宋体"/>
                <w:bCs/>
                <w:caps w:val="0"/>
                <w:color w:val="auto"/>
                <w:kern w:val="0"/>
                <w:sz w:val="24"/>
                <w:highlight w:val="none"/>
              </w:rPr>
              <w:t>由监测结果可知，现有项目</w:t>
            </w:r>
            <w:r>
              <w:rPr>
                <w:rFonts w:hint="eastAsia" w:ascii="Times New Roman" w:hAnsi="Times New Roman" w:eastAsia="宋体"/>
                <w:bCs/>
                <w:caps w:val="0"/>
                <w:color w:val="auto"/>
                <w:kern w:val="0"/>
                <w:sz w:val="24"/>
                <w:highlight w:val="none"/>
              </w:rPr>
              <w:t>废气非甲烷总烃</w:t>
            </w:r>
            <w:r>
              <w:rPr>
                <w:rFonts w:hint="eastAsia"/>
                <w:bCs/>
                <w:caps w:val="0"/>
                <w:color w:val="auto"/>
                <w:kern w:val="0"/>
                <w:sz w:val="24"/>
                <w:highlight w:val="none"/>
                <w:lang w:eastAsia="zh-CN"/>
              </w:rPr>
              <w:t>、</w:t>
            </w:r>
            <w:r>
              <w:rPr>
                <w:rFonts w:hint="eastAsia"/>
                <w:bCs/>
                <w:caps w:val="0"/>
                <w:color w:val="auto"/>
                <w:kern w:val="0"/>
                <w:sz w:val="24"/>
                <w:highlight w:val="none"/>
                <w:lang w:val="en-US" w:eastAsia="zh-CN"/>
              </w:rPr>
              <w:t>苯乙烯、甲苯</w:t>
            </w:r>
            <w:r>
              <w:rPr>
                <w:rFonts w:hint="eastAsia" w:ascii="Times New Roman" w:hAnsi="Times New Roman" w:eastAsia="宋体"/>
                <w:bCs/>
                <w:caps w:val="0"/>
                <w:snapToGrid w:val="0"/>
                <w:color w:val="auto"/>
                <w:kern w:val="0"/>
                <w:sz w:val="24"/>
                <w:highlight w:val="none"/>
              </w:rPr>
              <w:t>有组织</w:t>
            </w:r>
            <w:r>
              <w:rPr>
                <w:rFonts w:ascii="Times New Roman" w:hAnsi="Times New Roman" w:eastAsia="宋体"/>
                <w:bCs/>
                <w:caps w:val="0"/>
                <w:color w:val="auto"/>
                <w:kern w:val="0"/>
                <w:sz w:val="24"/>
                <w:highlight w:val="none"/>
              </w:rPr>
              <w:t>排放满足</w:t>
            </w:r>
            <w:r>
              <w:rPr>
                <w:rFonts w:ascii="Times New Roman" w:hAnsi="Times New Roman" w:eastAsia="宋体"/>
                <w:caps w:val="0"/>
                <w:color w:val="auto"/>
                <w:sz w:val="24"/>
                <w:highlight w:val="none"/>
              </w:rPr>
              <w:t>《</w:t>
            </w:r>
            <w:r>
              <w:rPr>
                <w:rFonts w:hint="eastAsia"/>
                <w:caps w:val="0"/>
                <w:color w:val="auto"/>
                <w:sz w:val="24"/>
                <w:highlight w:val="none"/>
                <w:lang w:val="en-US" w:eastAsia="zh-CN"/>
              </w:rPr>
              <w:t>合成树脂工业污染物排放标准</w:t>
            </w:r>
            <w:r>
              <w:rPr>
                <w:rFonts w:ascii="Times New Roman" w:hAnsi="Times New Roman" w:eastAsia="宋体"/>
                <w:caps w:val="0"/>
                <w:color w:val="auto"/>
                <w:sz w:val="24"/>
                <w:highlight w:val="none"/>
              </w:rPr>
              <w:t>》</w:t>
            </w:r>
            <w:r>
              <w:rPr>
                <w:rFonts w:hint="eastAsia" w:ascii="Times New Roman" w:hAnsi="Times New Roman" w:eastAsia="宋体"/>
                <w:bCs/>
                <w:caps w:val="0"/>
                <w:color w:val="auto"/>
                <w:kern w:val="0"/>
                <w:sz w:val="24"/>
                <w:highlight w:val="none"/>
              </w:rPr>
              <w:t>（</w:t>
            </w:r>
            <w:r>
              <w:rPr>
                <w:rFonts w:ascii="Times New Roman" w:hAnsi="Times New Roman" w:eastAsia="宋体"/>
                <w:bCs/>
                <w:caps w:val="0"/>
                <w:color w:val="auto"/>
                <w:kern w:val="0"/>
                <w:sz w:val="24"/>
                <w:highlight w:val="none"/>
              </w:rPr>
              <w:t>GB</w:t>
            </w:r>
            <w:r>
              <w:rPr>
                <w:rFonts w:hint="eastAsia"/>
                <w:bCs/>
                <w:caps w:val="0"/>
                <w:color w:val="auto"/>
                <w:kern w:val="0"/>
                <w:sz w:val="24"/>
                <w:highlight w:val="none"/>
                <w:lang w:val="en-US" w:eastAsia="zh-CN"/>
              </w:rPr>
              <w:t>31572-2015</w:t>
            </w:r>
            <w:r>
              <w:rPr>
                <w:rFonts w:hint="eastAsia" w:ascii="Times New Roman" w:hAnsi="Times New Roman" w:eastAsia="宋体"/>
                <w:bCs/>
                <w:caps w:val="0"/>
                <w:color w:val="auto"/>
                <w:kern w:val="0"/>
                <w:sz w:val="24"/>
                <w:highlight w:val="none"/>
              </w:rPr>
              <w:t>）</w:t>
            </w:r>
            <w:r>
              <w:rPr>
                <w:rFonts w:ascii="Times New Roman" w:hAnsi="Times New Roman" w:eastAsia="宋体"/>
                <w:bCs/>
                <w:caps w:val="0"/>
                <w:color w:val="auto"/>
                <w:kern w:val="0"/>
                <w:sz w:val="24"/>
                <w:highlight w:val="none"/>
              </w:rPr>
              <w:t>表2中</w:t>
            </w:r>
            <w:r>
              <w:rPr>
                <w:rFonts w:hint="eastAsia" w:ascii="Times New Roman" w:hAnsi="Times New Roman" w:eastAsia="宋体"/>
                <w:bCs/>
                <w:caps w:val="0"/>
                <w:color w:val="auto"/>
                <w:kern w:val="0"/>
                <w:sz w:val="24"/>
                <w:highlight w:val="none"/>
              </w:rPr>
              <w:t>二级标准限值</w:t>
            </w:r>
            <w:r>
              <w:rPr>
                <w:rFonts w:ascii="Times New Roman" w:hAnsi="Times New Roman" w:eastAsia="宋体"/>
                <w:bCs/>
                <w:caps w:val="0"/>
                <w:color w:val="auto"/>
                <w:kern w:val="0"/>
                <w:sz w:val="24"/>
                <w:highlight w:val="none"/>
              </w:rPr>
              <w:t>要求。</w:t>
            </w:r>
          </w:p>
          <w:p w14:paraId="166B3F6C">
            <w:pPr>
              <w:widowControl/>
              <w:spacing w:line="360" w:lineRule="auto"/>
              <w:ind w:firstLine="480" w:firstLineChars="200"/>
              <w:jc w:val="left"/>
              <w:rPr>
                <w:rFonts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②无组织废气</w:t>
            </w:r>
          </w:p>
          <w:p w14:paraId="74871799">
            <w:pPr>
              <w:widowControl/>
              <w:spacing w:line="360" w:lineRule="auto"/>
              <w:ind w:firstLine="456" w:firstLineChars="200"/>
              <w:jc w:val="left"/>
              <w:rPr>
                <w:rFonts w:ascii="Times New Roman" w:hAnsi="Times New Roman" w:eastAsia="宋体"/>
                <w:caps w:val="0"/>
                <w:color w:val="auto"/>
                <w:spacing w:val="-6"/>
                <w:kern w:val="0"/>
                <w:sz w:val="24"/>
                <w:szCs w:val="21"/>
                <w:highlight w:val="none"/>
              </w:rPr>
            </w:pPr>
            <w:r>
              <w:rPr>
                <w:rFonts w:hint="eastAsia" w:ascii="Times New Roman" w:hAnsi="Times New Roman" w:eastAsia="宋体"/>
                <w:caps w:val="0"/>
                <w:color w:val="auto"/>
                <w:spacing w:val="-6"/>
                <w:kern w:val="0"/>
                <w:sz w:val="24"/>
                <w:highlight w:val="none"/>
              </w:rPr>
              <w:t>根据安徽尚德谱检测技术有限责任公司提供的检测报告（报告编号BG-202305238见附件）</w:t>
            </w:r>
            <w:r>
              <w:rPr>
                <w:rFonts w:ascii="Times New Roman" w:hAnsi="Times New Roman" w:eastAsia="宋体"/>
                <w:caps w:val="0"/>
                <w:color w:val="auto"/>
                <w:spacing w:val="-6"/>
                <w:kern w:val="0"/>
                <w:sz w:val="24"/>
                <w:highlight w:val="none"/>
              </w:rPr>
              <w:t>，</w:t>
            </w:r>
            <w:r>
              <w:rPr>
                <w:rFonts w:hint="eastAsia" w:ascii="Times New Roman" w:hAnsi="Times New Roman" w:eastAsia="宋体"/>
                <w:caps w:val="0"/>
                <w:color w:val="auto"/>
                <w:spacing w:val="-6"/>
                <w:kern w:val="0"/>
                <w:sz w:val="24"/>
                <w:highlight w:val="none"/>
              </w:rPr>
              <w:t>无组织废气</w:t>
            </w:r>
            <w:r>
              <w:rPr>
                <w:rFonts w:ascii="Times New Roman" w:hAnsi="Times New Roman" w:eastAsia="宋体"/>
                <w:caps w:val="0"/>
                <w:color w:val="auto"/>
                <w:spacing w:val="-6"/>
                <w:kern w:val="0"/>
                <w:sz w:val="24"/>
                <w:highlight w:val="none"/>
              </w:rPr>
              <w:t>监测结果见下表。</w:t>
            </w:r>
          </w:p>
          <w:p w14:paraId="67D8A69D">
            <w:pPr>
              <w:pStyle w:val="20"/>
              <w:spacing w:after="0"/>
              <w:ind w:left="0" w:leftChars="0" w:firstLine="0" w:firstLineChars="0"/>
              <w:jc w:val="center"/>
              <w:rPr>
                <w:rFonts w:hint="default" w:ascii="Times New Roman" w:hAnsi="Times New Roman" w:eastAsia="宋体" w:cs="宋体"/>
                <w:b/>
                <w:caps w:val="0"/>
                <w:color w:val="auto"/>
                <w:highlight w:val="none"/>
                <w:lang w:val="en-US"/>
              </w:rPr>
            </w:pPr>
            <w:r>
              <w:rPr>
                <w:rFonts w:ascii="Times New Roman" w:hAnsi="Times New Roman" w:eastAsia="宋体"/>
                <w:b/>
                <w:bCs/>
                <w:caps w:val="0"/>
                <w:color w:val="auto"/>
                <w:spacing w:val="-2"/>
                <w:sz w:val="24"/>
                <w:highlight w:val="none"/>
              </w:rPr>
              <w:t>表2-</w:t>
            </w:r>
            <w:r>
              <w:rPr>
                <w:rFonts w:hint="eastAsia" w:ascii="Times New Roman" w:hAnsi="Times New Roman" w:eastAsia="宋体"/>
                <w:b/>
                <w:bCs/>
                <w:caps w:val="0"/>
                <w:color w:val="auto"/>
                <w:spacing w:val="-2"/>
                <w:sz w:val="24"/>
                <w:highlight w:val="none"/>
              </w:rPr>
              <w:t>1</w:t>
            </w:r>
            <w:r>
              <w:rPr>
                <w:rFonts w:hint="eastAsia"/>
                <w:b/>
                <w:bCs/>
                <w:caps w:val="0"/>
                <w:color w:val="auto"/>
                <w:spacing w:val="-2"/>
                <w:sz w:val="24"/>
                <w:highlight w:val="none"/>
                <w:lang w:val="en-US" w:eastAsia="zh-CN"/>
              </w:rPr>
              <w:t>4</w:t>
            </w:r>
            <w:r>
              <w:rPr>
                <w:rFonts w:hint="eastAsia" w:ascii="Times New Roman" w:hAnsi="Times New Roman" w:eastAsia="宋体"/>
                <w:b/>
                <w:bCs/>
                <w:caps w:val="0"/>
                <w:color w:val="auto"/>
                <w:spacing w:val="-2"/>
                <w:sz w:val="24"/>
                <w:highlight w:val="none"/>
              </w:rPr>
              <w:t>无组织废气颗粒物排放</w:t>
            </w:r>
            <w:r>
              <w:rPr>
                <w:rFonts w:ascii="Times New Roman" w:hAnsi="Times New Roman" w:eastAsia="宋体"/>
                <w:b/>
                <w:bCs/>
                <w:caps w:val="0"/>
                <w:color w:val="auto"/>
                <w:spacing w:val="-2"/>
                <w:sz w:val="24"/>
                <w:highlight w:val="none"/>
              </w:rPr>
              <w:t>监</w:t>
            </w:r>
            <w:r>
              <w:rPr>
                <w:rFonts w:hint="eastAsia" w:ascii="Times New Roman" w:hAnsi="Times New Roman" w:eastAsia="宋体"/>
                <w:b/>
                <w:bCs/>
                <w:caps w:val="0"/>
                <w:color w:val="auto"/>
                <w:spacing w:val="-2"/>
                <w:sz w:val="24"/>
                <w:highlight w:val="none"/>
              </w:rPr>
              <w:t>测结果表</w:t>
            </w:r>
            <w:r>
              <w:rPr>
                <w:rFonts w:hint="eastAsia"/>
                <w:b/>
                <w:bCs/>
                <w:caps w:val="0"/>
                <w:color w:val="auto"/>
                <w:spacing w:val="-2"/>
                <w:sz w:val="24"/>
                <w:highlight w:val="none"/>
                <w:lang w:val="en-US" w:eastAsia="zh-CN"/>
              </w:rPr>
              <w:t xml:space="preserve"> 单位：</w:t>
            </w:r>
            <w:r>
              <w:rPr>
                <w:rFonts w:hint="eastAsia"/>
                <w:caps w:val="0"/>
                <w:color w:val="auto"/>
                <w:highlight w:val="none"/>
                <w:lang w:val="en-US" w:eastAsia="zh-CN"/>
              </w:rPr>
              <w:t>mg/m</w:t>
            </w:r>
            <w:r>
              <w:rPr>
                <w:rFonts w:hint="eastAsia"/>
                <w:caps w:val="0"/>
                <w:color w:val="auto"/>
                <w:highlight w:val="none"/>
                <w:vertAlign w:val="superscript"/>
                <w:lang w:val="en-US" w:eastAsia="zh-CN"/>
              </w:rPr>
              <w:t>3</w:t>
            </w:r>
          </w:p>
          <w:tbl>
            <w:tblPr>
              <w:tblStyle w:val="21"/>
              <w:tblW w:w="497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83"/>
              <w:gridCol w:w="1768"/>
              <w:gridCol w:w="1917"/>
              <w:gridCol w:w="1771"/>
            </w:tblGrid>
            <w:tr w14:paraId="23FE10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tblHeader/>
                <w:jc w:val="center"/>
              </w:trPr>
              <w:tc>
                <w:tcPr>
                  <w:tcW w:w="1519" w:type="pct"/>
                  <w:vMerge w:val="restart"/>
                  <w:tcBorders>
                    <w:tl2br w:val="nil"/>
                    <w:tr2bl w:val="nil"/>
                  </w:tcBorders>
                  <w:shd w:val="clear" w:color="auto" w:fill="FFFFFF"/>
                  <w:vAlign w:val="center"/>
                </w:tcPr>
                <w:p w14:paraId="4A2E0E67">
                  <w:pPr>
                    <w:spacing w:line="276" w:lineRule="auto"/>
                    <w:jc w:val="center"/>
                    <w:rPr>
                      <w:rFonts w:ascii="Times New Roman" w:hAnsi="Times New Roman" w:eastAsia="宋体"/>
                      <w:caps w:val="0"/>
                      <w:color w:val="auto"/>
                      <w:highlight w:val="none"/>
                    </w:rPr>
                  </w:pPr>
                  <w:r>
                    <w:rPr>
                      <w:rFonts w:ascii="Times New Roman" w:hAnsi="Times New Roman" w:eastAsia="宋体"/>
                      <w:caps w:val="0"/>
                      <w:color w:val="auto"/>
                      <w:highlight w:val="none"/>
                    </w:rPr>
                    <w:t>检测点位</w:t>
                  </w:r>
                </w:p>
              </w:tc>
              <w:tc>
                <w:tcPr>
                  <w:tcW w:w="3480" w:type="pct"/>
                  <w:gridSpan w:val="3"/>
                  <w:tcBorders>
                    <w:tl2br w:val="nil"/>
                    <w:tr2bl w:val="nil"/>
                  </w:tcBorders>
                  <w:shd w:val="clear" w:color="auto" w:fill="FFFFFF"/>
                  <w:vAlign w:val="center"/>
                </w:tcPr>
                <w:p w14:paraId="6A4DA906">
                  <w:pPr>
                    <w:spacing w:line="276" w:lineRule="auto"/>
                    <w:jc w:val="center"/>
                    <w:rPr>
                      <w:rFonts w:ascii="Times New Roman" w:hAnsi="Times New Roman" w:eastAsia="宋体"/>
                      <w:caps w:val="0"/>
                      <w:color w:val="auto"/>
                      <w:highlight w:val="none"/>
                    </w:rPr>
                  </w:pPr>
                  <w:r>
                    <w:rPr>
                      <w:rFonts w:hint="eastAsia"/>
                      <w:caps w:val="0"/>
                      <w:color w:val="auto"/>
                      <w:highlight w:val="none"/>
                      <w:lang w:val="en-US" w:eastAsia="zh-CN"/>
                    </w:rPr>
                    <w:t>检测项目</w:t>
                  </w:r>
                </w:p>
              </w:tc>
            </w:tr>
            <w:tr w14:paraId="024E8E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9" w:hRule="atLeast"/>
                <w:tblHeader/>
                <w:jc w:val="center"/>
              </w:trPr>
              <w:tc>
                <w:tcPr>
                  <w:tcW w:w="1519" w:type="pct"/>
                  <w:vMerge w:val="continue"/>
                  <w:tcBorders>
                    <w:tl2br w:val="nil"/>
                    <w:tr2bl w:val="nil"/>
                  </w:tcBorders>
                  <w:shd w:val="clear" w:color="auto" w:fill="FFFFFF"/>
                  <w:vAlign w:val="center"/>
                </w:tcPr>
                <w:p w14:paraId="77E35FC9">
                  <w:pPr>
                    <w:spacing w:line="276" w:lineRule="auto"/>
                    <w:jc w:val="center"/>
                    <w:rPr>
                      <w:rFonts w:ascii="Times New Roman" w:hAnsi="Times New Roman" w:eastAsia="宋体"/>
                      <w:caps w:val="0"/>
                      <w:color w:val="auto"/>
                      <w:highlight w:val="none"/>
                    </w:rPr>
                  </w:pPr>
                </w:p>
              </w:tc>
              <w:tc>
                <w:tcPr>
                  <w:tcW w:w="1127" w:type="pct"/>
                  <w:tcBorders>
                    <w:tl2br w:val="nil"/>
                    <w:tr2bl w:val="nil"/>
                  </w:tcBorders>
                  <w:shd w:val="clear" w:color="auto" w:fill="FFFFFF"/>
                  <w:vAlign w:val="center"/>
                </w:tcPr>
                <w:p w14:paraId="0A7A75C3">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甲苯</w:t>
                  </w:r>
                </w:p>
              </w:tc>
              <w:tc>
                <w:tcPr>
                  <w:tcW w:w="1222" w:type="pct"/>
                  <w:tcBorders>
                    <w:tl2br w:val="nil"/>
                    <w:tr2bl w:val="nil"/>
                  </w:tcBorders>
                  <w:shd w:val="clear" w:color="auto" w:fill="FFFFFF"/>
                  <w:vAlign w:val="center"/>
                </w:tcPr>
                <w:p w14:paraId="560B4C43">
                  <w:pPr>
                    <w:spacing w:line="276" w:lineRule="auto"/>
                    <w:jc w:val="center"/>
                    <w:rPr>
                      <w:rFonts w:hint="default" w:ascii="Times New Roman" w:hAnsi="Times New Roman" w:eastAsia="宋体"/>
                      <w:caps w:val="0"/>
                      <w:color w:val="auto"/>
                      <w:highlight w:val="none"/>
                      <w:lang w:val="en-US" w:eastAsia="zh-CN"/>
                    </w:rPr>
                  </w:pPr>
                  <w:r>
                    <w:rPr>
                      <w:rFonts w:hint="eastAsia"/>
                      <w:caps w:val="0"/>
                      <w:color w:val="auto"/>
                      <w:highlight w:val="none"/>
                      <w:lang w:val="en-US" w:eastAsia="zh-CN"/>
                    </w:rPr>
                    <w:t>非甲烷总烃</w:t>
                  </w:r>
                </w:p>
              </w:tc>
              <w:tc>
                <w:tcPr>
                  <w:tcW w:w="1129" w:type="pct"/>
                  <w:tcBorders>
                    <w:tl2br w:val="nil"/>
                    <w:tr2bl w:val="nil"/>
                  </w:tcBorders>
                  <w:shd w:val="clear" w:color="auto" w:fill="FFFFFF"/>
                  <w:vAlign w:val="center"/>
                </w:tcPr>
                <w:p w14:paraId="35079D4F">
                  <w:pPr>
                    <w:spacing w:line="276" w:lineRule="auto"/>
                    <w:jc w:val="center"/>
                    <w:rPr>
                      <w:rFonts w:hint="eastAsia" w:ascii="Times New Roman" w:hAnsi="Times New Roman" w:eastAsia="宋体"/>
                      <w:caps w:val="0"/>
                      <w:color w:val="auto"/>
                      <w:highlight w:val="none"/>
                      <w:lang w:val="en-US" w:eastAsia="zh-CN"/>
                    </w:rPr>
                  </w:pPr>
                  <w:r>
                    <w:rPr>
                      <w:rFonts w:hint="eastAsia"/>
                      <w:caps w:val="0"/>
                      <w:color w:val="auto"/>
                      <w:highlight w:val="none"/>
                      <w:lang w:val="en-US" w:eastAsia="zh-CN"/>
                    </w:rPr>
                    <w:t>苯乙烯</w:t>
                  </w:r>
                </w:p>
              </w:tc>
            </w:tr>
            <w:tr w14:paraId="7508A4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9" w:hRule="atLeast"/>
                <w:tblHeader/>
                <w:jc w:val="center"/>
              </w:trPr>
              <w:tc>
                <w:tcPr>
                  <w:tcW w:w="5000" w:type="pct"/>
                  <w:gridSpan w:val="4"/>
                  <w:tcBorders>
                    <w:tl2br w:val="nil"/>
                    <w:tr2bl w:val="nil"/>
                  </w:tcBorders>
                  <w:shd w:val="clear" w:color="auto" w:fill="FFFFFF"/>
                  <w:vAlign w:val="center"/>
                </w:tcPr>
                <w:p w14:paraId="4F700ED8">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监测时间：2023年6月2日</w:t>
                  </w:r>
                </w:p>
              </w:tc>
            </w:tr>
            <w:tr w14:paraId="431F4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restart"/>
                  <w:tcBorders>
                    <w:tl2br w:val="nil"/>
                    <w:tr2bl w:val="nil"/>
                  </w:tcBorders>
                  <w:shd w:val="clear" w:color="auto" w:fill="FFFFFF"/>
                  <w:vAlign w:val="center"/>
                </w:tcPr>
                <w:p w14:paraId="3C713352">
                  <w:pPr>
                    <w:spacing w:line="276" w:lineRule="auto"/>
                    <w:jc w:val="center"/>
                    <w:rPr>
                      <w:rFonts w:hint="default" w:ascii="Times New Roman" w:hAnsi="Times New Roman" w:eastAsia="宋体"/>
                      <w:caps w:val="0"/>
                      <w:color w:val="auto"/>
                      <w:highlight w:val="none"/>
                      <w:lang w:val="en-US" w:eastAsia="zh-CN"/>
                    </w:rPr>
                  </w:pPr>
                  <w:r>
                    <w:rPr>
                      <w:rFonts w:hint="eastAsia"/>
                      <w:caps w:val="0"/>
                      <w:color w:val="auto"/>
                      <w:highlight w:val="none"/>
                      <w:lang w:val="en-US" w:eastAsia="zh-CN"/>
                    </w:rPr>
                    <w:t>厂界上风向参照点</w:t>
                  </w:r>
                </w:p>
              </w:tc>
              <w:tc>
                <w:tcPr>
                  <w:tcW w:w="1127" w:type="pct"/>
                  <w:tcBorders>
                    <w:tl2br w:val="nil"/>
                    <w:tr2bl w:val="nil"/>
                  </w:tcBorders>
                  <w:shd w:val="clear" w:color="auto" w:fill="FFFFFF"/>
                  <w:vAlign w:val="center"/>
                </w:tcPr>
                <w:p w14:paraId="19241F97">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392F23EF">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0.45</w:t>
                  </w:r>
                </w:p>
              </w:tc>
              <w:tc>
                <w:tcPr>
                  <w:tcW w:w="1129" w:type="pct"/>
                  <w:tcBorders>
                    <w:tl2br w:val="nil"/>
                    <w:tr2bl w:val="nil"/>
                  </w:tcBorders>
                  <w:shd w:val="clear" w:color="auto" w:fill="FFFFFF"/>
                  <w:vAlign w:val="center"/>
                </w:tcPr>
                <w:p w14:paraId="09CC676A">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293823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22E792C4">
                  <w:pPr>
                    <w:spacing w:line="276" w:lineRule="auto"/>
                    <w:jc w:val="center"/>
                    <w:rPr>
                      <w:color w:val="auto"/>
                    </w:rPr>
                  </w:pPr>
                </w:p>
              </w:tc>
              <w:tc>
                <w:tcPr>
                  <w:tcW w:w="1127" w:type="pct"/>
                  <w:tcBorders>
                    <w:tl2br w:val="nil"/>
                    <w:tr2bl w:val="nil"/>
                  </w:tcBorders>
                  <w:shd w:val="clear" w:color="auto" w:fill="FFFFFF"/>
                  <w:vAlign w:val="center"/>
                </w:tcPr>
                <w:p w14:paraId="1021BC89">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28FB9749">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0.50</w:t>
                  </w:r>
                </w:p>
              </w:tc>
              <w:tc>
                <w:tcPr>
                  <w:tcW w:w="1129" w:type="pct"/>
                  <w:tcBorders>
                    <w:tl2br w:val="nil"/>
                    <w:tr2bl w:val="nil"/>
                  </w:tcBorders>
                  <w:shd w:val="clear" w:color="auto" w:fill="FFFFFF"/>
                  <w:vAlign w:val="center"/>
                </w:tcPr>
                <w:p w14:paraId="2D61635F">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5A2AE5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771C6897">
                  <w:pPr>
                    <w:spacing w:line="276" w:lineRule="auto"/>
                    <w:jc w:val="center"/>
                    <w:rPr>
                      <w:rFonts w:hint="eastAsia"/>
                      <w:caps w:val="0"/>
                      <w:color w:val="auto"/>
                      <w:highlight w:val="none"/>
                      <w:lang w:val="en-US" w:eastAsia="zh-CN"/>
                    </w:rPr>
                  </w:pPr>
                </w:p>
              </w:tc>
              <w:tc>
                <w:tcPr>
                  <w:tcW w:w="1127" w:type="pct"/>
                  <w:tcBorders>
                    <w:tl2br w:val="nil"/>
                    <w:tr2bl w:val="nil"/>
                  </w:tcBorders>
                  <w:shd w:val="clear" w:color="auto" w:fill="FFFFFF"/>
                  <w:vAlign w:val="center"/>
                </w:tcPr>
                <w:p w14:paraId="787C0EAA">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3062BC40">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0.49</w:t>
                  </w:r>
                </w:p>
              </w:tc>
              <w:tc>
                <w:tcPr>
                  <w:tcW w:w="1129" w:type="pct"/>
                  <w:tcBorders>
                    <w:tl2br w:val="nil"/>
                    <w:tr2bl w:val="nil"/>
                  </w:tcBorders>
                  <w:shd w:val="clear" w:color="auto" w:fill="FFFFFF"/>
                  <w:vAlign w:val="center"/>
                </w:tcPr>
                <w:p w14:paraId="4B810EF4">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71D9C5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restart"/>
                  <w:tcBorders>
                    <w:tl2br w:val="nil"/>
                    <w:tr2bl w:val="nil"/>
                  </w:tcBorders>
                  <w:shd w:val="clear" w:color="auto" w:fill="FFFFFF"/>
                  <w:vAlign w:val="center"/>
                </w:tcPr>
                <w:p w14:paraId="6D633CB5">
                  <w:pPr>
                    <w:spacing w:line="276" w:lineRule="auto"/>
                    <w:jc w:val="center"/>
                    <w:rPr>
                      <w:rFonts w:hint="default" w:ascii="Times New Roman" w:hAnsi="Times New Roman" w:eastAsia="宋体"/>
                      <w:caps w:val="0"/>
                      <w:color w:val="auto"/>
                      <w:highlight w:val="none"/>
                      <w:lang w:val="en-US" w:eastAsia="zh-CN"/>
                    </w:rPr>
                  </w:pPr>
                  <w:r>
                    <w:rPr>
                      <w:rFonts w:hint="eastAsia"/>
                      <w:caps w:val="0"/>
                      <w:color w:val="auto"/>
                      <w:highlight w:val="none"/>
                      <w:lang w:val="en-US" w:eastAsia="zh-CN"/>
                    </w:rPr>
                    <w:t>厂界下风向监控点1#</w:t>
                  </w:r>
                </w:p>
              </w:tc>
              <w:tc>
                <w:tcPr>
                  <w:tcW w:w="1127" w:type="pct"/>
                  <w:tcBorders>
                    <w:tl2br w:val="nil"/>
                    <w:tr2bl w:val="nil"/>
                  </w:tcBorders>
                  <w:shd w:val="clear" w:color="auto" w:fill="FFFFFF"/>
                  <w:vAlign w:val="center"/>
                </w:tcPr>
                <w:p w14:paraId="00535796">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1A841BF3">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0.99</w:t>
                  </w:r>
                </w:p>
              </w:tc>
              <w:tc>
                <w:tcPr>
                  <w:tcW w:w="1129" w:type="pct"/>
                  <w:tcBorders>
                    <w:tl2br w:val="nil"/>
                    <w:tr2bl w:val="nil"/>
                  </w:tcBorders>
                  <w:shd w:val="clear" w:color="auto" w:fill="FFFFFF"/>
                  <w:vAlign w:val="center"/>
                </w:tcPr>
                <w:p w14:paraId="0B5DE375">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5A714B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71C1ABDC">
                  <w:pPr>
                    <w:spacing w:line="276" w:lineRule="auto"/>
                    <w:jc w:val="center"/>
                    <w:rPr>
                      <w:color w:val="auto"/>
                    </w:rPr>
                  </w:pPr>
                </w:p>
              </w:tc>
              <w:tc>
                <w:tcPr>
                  <w:tcW w:w="1127" w:type="pct"/>
                  <w:tcBorders>
                    <w:tl2br w:val="nil"/>
                    <w:tr2bl w:val="nil"/>
                  </w:tcBorders>
                  <w:shd w:val="clear" w:color="auto" w:fill="FFFFFF"/>
                  <w:vAlign w:val="center"/>
                </w:tcPr>
                <w:p w14:paraId="32CE9395">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335CB2B1">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1.07</w:t>
                  </w:r>
                </w:p>
              </w:tc>
              <w:tc>
                <w:tcPr>
                  <w:tcW w:w="1129" w:type="pct"/>
                  <w:tcBorders>
                    <w:tl2br w:val="nil"/>
                    <w:tr2bl w:val="nil"/>
                  </w:tcBorders>
                  <w:shd w:val="clear" w:color="auto" w:fill="FFFFFF"/>
                  <w:vAlign w:val="center"/>
                </w:tcPr>
                <w:p w14:paraId="7C6C0C13">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1E828D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5F95CB71">
                  <w:pPr>
                    <w:spacing w:line="276" w:lineRule="auto"/>
                    <w:jc w:val="center"/>
                    <w:rPr>
                      <w:rFonts w:hint="eastAsia"/>
                      <w:caps w:val="0"/>
                      <w:color w:val="auto"/>
                      <w:highlight w:val="none"/>
                      <w:lang w:val="en-US" w:eastAsia="zh-CN"/>
                    </w:rPr>
                  </w:pPr>
                </w:p>
              </w:tc>
              <w:tc>
                <w:tcPr>
                  <w:tcW w:w="1127" w:type="pct"/>
                  <w:tcBorders>
                    <w:tl2br w:val="nil"/>
                    <w:tr2bl w:val="nil"/>
                  </w:tcBorders>
                  <w:shd w:val="clear" w:color="auto" w:fill="FFFFFF"/>
                  <w:vAlign w:val="center"/>
                </w:tcPr>
                <w:p w14:paraId="0AC375E3">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38512EA9">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1.01</w:t>
                  </w:r>
                </w:p>
              </w:tc>
              <w:tc>
                <w:tcPr>
                  <w:tcW w:w="1129" w:type="pct"/>
                  <w:tcBorders>
                    <w:tl2br w:val="nil"/>
                    <w:tr2bl w:val="nil"/>
                  </w:tcBorders>
                  <w:shd w:val="clear" w:color="auto" w:fill="FFFFFF"/>
                  <w:vAlign w:val="center"/>
                </w:tcPr>
                <w:p w14:paraId="757AD195">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29AFEB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restart"/>
                  <w:tcBorders>
                    <w:tl2br w:val="nil"/>
                    <w:tr2bl w:val="nil"/>
                  </w:tcBorders>
                  <w:shd w:val="clear" w:color="auto" w:fill="FFFFFF"/>
                  <w:vAlign w:val="center"/>
                </w:tcPr>
                <w:p w14:paraId="5FBC8FCF">
                  <w:pPr>
                    <w:spacing w:line="276" w:lineRule="auto"/>
                    <w:jc w:val="center"/>
                    <w:rPr>
                      <w:rFonts w:ascii="Times New Roman" w:hAnsi="Times New Roman" w:eastAsia="宋体"/>
                      <w:caps w:val="0"/>
                      <w:color w:val="auto"/>
                      <w:highlight w:val="none"/>
                    </w:rPr>
                  </w:pPr>
                  <w:r>
                    <w:rPr>
                      <w:rFonts w:hint="eastAsia"/>
                      <w:caps w:val="0"/>
                      <w:color w:val="auto"/>
                      <w:highlight w:val="none"/>
                      <w:lang w:val="en-US" w:eastAsia="zh-CN"/>
                    </w:rPr>
                    <w:t>厂界下风向监控点2#</w:t>
                  </w:r>
                </w:p>
              </w:tc>
              <w:tc>
                <w:tcPr>
                  <w:tcW w:w="1127" w:type="pct"/>
                  <w:tcBorders>
                    <w:tl2br w:val="nil"/>
                    <w:tr2bl w:val="nil"/>
                  </w:tcBorders>
                  <w:shd w:val="clear" w:color="auto" w:fill="FFFFFF"/>
                  <w:vAlign w:val="center"/>
                </w:tcPr>
                <w:p w14:paraId="26C727B2">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2BE0B3C3">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0.96</w:t>
                  </w:r>
                </w:p>
              </w:tc>
              <w:tc>
                <w:tcPr>
                  <w:tcW w:w="1129" w:type="pct"/>
                  <w:tcBorders>
                    <w:tl2br w:val="nil"/>
                    <w:tr2bl w:val="nil"/>
                  </w:tcBorders>
                  <w:shd w:val="clear" w:color="auto" w:fill="FFFFFF"/>
                  <w:vAlign w:val="center"/>
                </w:tcPr>
                <w:p w14:paraId="3F4A759D">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3D1F07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3BD626B2">
                  <w:pPr>
                    <w:spacing w:line="276" w:lineRule="auto"/>
                    <w:jc w:val="center"/>
                    <w:rPr>
                      <w:color w:val="auto"/>
                    </w:rPr>
                  </w:pPr>
                </w:p>
              </w:tc>
              <w:tc>
                <w:tcPr>
                  <w:tcW w:w="1127" w:type="pct"/>
                  <w:tcBorders>
                    <w:tl2br w:val="nil"/>
                    <w:tr2bl w:val="nil"/>
                  </w:tcBorders>
                  <w:shd w:val="clear" w:color="auto" w:fill="FFFFFF"/>
                  <w:vAlign w:val="center"/>
                </w:tcPr>
                <w:p w14:paraId="582B2EAA">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4E6B2605">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1.05</w:t>
                  </w:r>
                </w:p>
              </w:tc>
              <w:tc>
                <w:tcPr>
                  <w:tcW w:w="1129" w:type="pct"/>
                  <w:tcBorders>
                    <w:tl2br w:val="nil"/>
                    <w:tr2bl w:val="nil"/>
                  </w:tcBorders>
                  <w:shd w:val="clear" w:color="auto" w:fill="FFFFFF"/>
                  <w:vAlign w:val="center"/>
                </w:tcPr>
                <w:p w14:paraId="2E2762DE">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73049A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34DBD7C2">
                  <w:pPr>
                    <w:spacing w:line="276" w:lineRule="auto"/>
                    <w:jc w:val="center"/>
                    <w:rPr>
                      <w:rFonts w:hint="eastAsia"/>
                      <w:caps w:val="0"/>
                      <w:color w:val="auto"/>
                      <w:highlight w:val="none"/>
                      <w:lang w:val="en-US" w:eastAsia="zh-CN"/>
                    </w:rPr>
                  </w:pPr>
                </w:p>
              </w:tc>
              <w:tc>
                <w:tcPr>
                  <w:tcW w:w="1127" w:type="pct"/>
                  <w:tcBorders>
                    <w:tl2br w:val="nil"/>
                    <w:tr2bl w:val="nil"/>
                  </w:tcBorders>
                  <w:shd w:val="clear" w:color="auto" w:fill="FFFFFF"/>
                  <w:vAlign w:val="center"/>
                </w:tcPr>
                <w:p w14:paraId="48DECACA">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6B789EDF">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1.06</w:t>
                  </w:r>
                </w:p>
              </w:tc>
              <w:tc>
                <w:tcPr>
                  <w:tcW w:w="1129" w:type="pct"/>
                  <w:tcBorders>
                    <w:tl2br w:val="nil"/>
                    <w:tr2bl w:val="nil"/>
                  </w:tcBorders>
                  <w:shd w:val="clear" w:color="auto" w:fill="FFFFFF"/>
                  <w:vAlign w:val="center"/>
                </w:tcPr>
                <w:p w14:paraId="13666B3B">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63714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restart"/>
                  <w:tcBorders>
                    <w:tl2br w:val="nil"/>
                    <w:tr2bl w:val="nil"/>
                  </w:tcBorders>
                  <w:shd w:val="clear" w:color="auto" w:fill="FFFFFF"/>
                  <w:vAlign w:val="center"/>
                </w:tcPr>
                <w:p w14:paraId="6C65E252">
                  <w:pPr>
                    <w:spacing w:line="276" w:lineRule="auto"/>
                    <w:jc w:val="center"/>
                    <w:rPr>
                      <w:rFonts w:ascii="Times New Roman" w:hAnsi="Times New Roman" w:eastAsia="宋体"/>
                      <w:caps w:val="0"/>
                      <w:color w:val="auto"/>
                      <w:highlight w:val="none"/>
                    </w:rPr>
                  </w:pPr>
                  <w:r>
                    <w:rPr>
                      <w:rFonts w:hint="eastAsia"/>
                      <w:caps w:val="0"/>
                      <w:color w:val="auto"/>
                      <w:highlight w:val="none"/>
                      <w:lang w:val="en-US" w:eastAsia="zh-CN"/>
                    </w:rPr>
                    <w:t>厂界下风向监控点3#</w:t>
                  </w:r>
                </w:p>
              </w:tc>
              <w:tc>
                <w:tcPr>
                  <w:tcW w:w="1127" w:type="pct"/>
                  <w:tcBorders>
                    <w:tl2br w:val="nil"/>
                    <w:tr2bl w:val="nil"/>
                  </w:tcBorders>
                  <w:shd w:val="clear" w:color="auto" w:fill="FFFFFF"/>
                  <w:vAlign w:val="center"/>
                </w:tcPr>
                <w:p w14:paraId="4797325B">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47501835">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1.06</w:t>
                  </w:r>
                </w:p>
              </w:tc>
              <w:tc>
                <w:tcPr>
                  <w:tcW w:w="1129" w:type="pct"/>
                  <w:tcBorders>
                    <w:tl2br w:val="nil"/>
                    <w:tr2bl w:val="nil"/>
                  </w:tcBorders>
                  <w:shd w:val="clear" w:color="auto" w:fill="FFFFFF"/>
                  <w:vAlign w:val="center"/>
                </w:tcPr>
                <w:p w14:paraId="71CEB430">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1D28EC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2D388E08">
                  <w:pPr>
                    <w:spacing w:line="276" w:lineRule="auto"/>
                    <w:jc w:val="center"/>
                    <w:rPr>
                      <w:color w:val="auto"/>
                    </w:rPr>
                  </w:pPr>
                </w:p>
              </w:tc>
              <w:tc>
                <w:tcPr>
                  <w:tcW w:w="1127" w:type="pct"/>
                  <w:tcBorders>
                    <w:tl2br w:val="nil"/>
                    <w:tr2bl w:val="nil"/>
                  </w:tcBorders>
                  <w:shd w:val="clear" w:color="auto" w:fill="FFFFFF"/>
                  <w:vAlign w:val="center"/>
                </w:tcPr>
                <w:p w14:paraId="3E4F161E">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22A06623">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1.02</w:t>
                  </w:r>
                </w:p>
              </w:tc>
              <w:tc>
                <w:tcPr>
                  <w:tcW w:w="1129" w:type="pct"/>
                  <w:tcBorders>
                    <w:tl2br w:val="nil"/>
                    <w:tr2bl w:val="nil"/>
                  </w:tcBorders>
                  <w:shd w:val="clear" w:color="auto" w:fill="FFFFFF"/>
                  <w:vAlign w:val="center"/>
                </w:tcPr>
                <w:p w14:paraId="32ED1504">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60E48B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blHeader/>
                <w:jc w:val="center"/>
              </w:trPr>
              <w:tc>
                <w:tcPr>
                  <w:tcW w:w="1519" w:type="pct"/>
                  <w:vMerge w:val="continue"/>
                  <w:tcBorders>
                    <w:tl2br w:val="nil"/>
                    <w:tr2bl w:val="nil"/>
                  </w:tcBorders>
                  <w:shd w:val="clear" w:color="auto" w:fill="FFFFFF"/>
                  <w:vAlign w:val="center"/>
                </w:tcPr>
                <w:p w14:paraId="258DBC74">
                  <w:pPr>
                    <w:spacing w:line="276" w:lineRule="auto"/>
                    <w:jc w:val="center"/>
                    <w:rPr>
                      <w:rFonts w:hint="eastAsia"/>
                      <w:caps w:val="0"/>
                      <w:color w:val="auto"/>
                      <w:highlight w:val="none"/>
                      <w:lang w:val="en-US" w:eastAsia="zh-CN"/>
                    </w:rPr>
                  </w:pPr>
                </w:p>
              </w:tc>
              <w:tc>
                <w:tcPr>
                  <w:tcW w:w="1127" w:type="pct"/>
                  <w:tcBorders>
                    <w:tl2br w:val="nil"/>
                    <w:tr2bl w:val="nil"/>
                  </w:tcBorders>
                  <w:shd w:val="clear" w:color="auto" w:fill="FFFFFF"/>
                  <w:vAlign w:val="center"/>
                </w:tcPr>
                <w:p w14:paraId="1D1C74E9">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7ED72F0C">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1.04</w:t>
                  </w:r>
                </w:p>
              </w:tc>
              <w:tc>
                <w:tcPr>
                  <w:tcW w:w="1129" w:type="pct"/>
                  <w:tcBorders>
                    <w:tl2br w:val="nil"/>
                    <w:tr2bl w:val="nil"/>
                  </w:tcBorders>
                  <w:shd w:val="clear" w:color="auto" w:fill="FFFFFF"/>
                  <w:vAlign w:val="center"/>
                </w:tcPr>
                <w:p w14:paraId="367C4891">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221C47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blHeader/>
                <w:jc w:val="center"/>
              </w:trPr>
              <w:tc>
                <w:tcPr>
                  <w:tcW w:w="5000" w:type="pct"/>
                  <w:gridSpan w:val="4"/>
                  <w:tcBorders>
                    <w:tl2br w:val="nil"/>
                    <w:tr2bl w:val="nil"/>
                  </w:tcBorders>
                  <w:shd w:val="clear" w:color="auto" w:fill="FFFFFF"/>
                  <w:vAlign w:val="center"/>
                </w:tcPr>
                <w:p w14:paraId="4B48CDA5">
                  <w:pPr>
                    <w:spacing w:line="276" w:lineRule="auto"/>
                    <w:jc w:val="both"/>
                    <w:rPr>
                      <w:rFonts w:hint="default"/>
                      <w:caps w:val="0"/>
                      <w:color w:val="auto"/>
                      <w:highlight w:val="none"/>
                      <w:lang w:val="en-US" w:eastAsia="zh-CN"/>
                    </w:rPr>
                  </w:pPr>
                  <w:r>
                    <w:rPr>
                      <w:rFonts w:hint="eastAsia"/>
                      <w:caps w:val="0"/>
                      <w:color w:val="auto"/>
                      <w:highlight w:val="none"/>
                      <w:lang w:val="en-US" w:eastAsia="zh-CN"/>
                    </w:rPr>
                    <w:t>备注：ND表示检测结果低于方法检出限</w:t>
                  </w:r>
                </w:p>
              </w:tc>
            </w:tr>
          </w:tbl>
          <w:p w14:paraId="5220BFE0">
            <w:pPr>
              <w:pStyle w:val="20"/>
              <w:spacing w:after="0"/>
              <w:ind w:left="0" w:leftChars="0" w:firstLine="0" w:firstLineChars="0"/>
              <w:jc w:val="center"/>
              <w:rPr>
                <w:rFonts w:hint="default" w:ascii="Times New Roman" w:hAnsi="Times New Roman" w:eastAsia="宋体" w:cs="宋体"/>
                <w:b/>
                <w:caps w:val="0"/>
                <w:color w:val="auto"/>
                <w:highlight w:val="none"/>
                <w:lang w:val="en-US"/>
              </w:rPr>
            </w:pPr>
            <w:r>
              <w:rPr>
                <w:rFonts w:ascii="Times New Roman" w:hAnsi="Times New Roman" w:eastAsia="宋体"/>
                <w:b/>
                <w:bCs/>
                <w:caps w:val="0"/>
                <w:color w:val="auto"/>
                <w:spacing w:val="-2"/>
                <w:sz w:val="24"/>
                <w:highlight w:val="none"/>
              </w:rPr>
              <w:t>表2-</w:t>
            </w:r>
            <w:r>
              <w:rPr>
                <w:rFonts w:hint="eastAsia" w:ascii="Times New Roman" w:hAnsi="Times New Roman" w:eastAsia="宋体"/>
                <w:b/>
                <w:bCs/>
                <w:caps w:val="0"/>
                <w:color w:val="auto"/>
                <w:spacing w:val="-2"/>
                <w:sz w:val="24"/>
                <w:highlight w:val="none"/>
              </w:rPr>
              <w:t>1</w:t>
            </w:r>
            <w:r>
              <w:rPr>
                <w:rFonts w:hint="eastAsia"/>
                <w:b/>
                <w:bCs/>
                <w:caps w:val="0"/>
                <w:color w:val="auto"/>
                <w:spacing w:val="-2"/>
                <w:sz w:val="24"/>
                <w:highlight w:val="none"/>
                <w:lang w:val="en-US" w:eastAsia="zh-CN"/>
              </w:rPr>
              <w:t>5</w:t>
            </w:r>
            <w:r>
              <w:rPr>
                <w:rFonts w:hint="eastAsia" w:ascii="Times New Roman" w:hAnsi="Times New Roman" w:eastAsia="宋体"/>
                <w:b/>
                <w:bCs/>
                <w:caps w:val="0"/>
                <w:color w:val="auto"/>
                <w:spacing w:val="-2"/>
                <w:sz w:val="24"/>
                <w:highlight w:val="none"/>
              </w:rPr>
              <w:t>无组织废气颗粒物排放</w:t>
            </w:r>
            <w:r>
              <w:rPr>
                <w:rFonts w:ascii="Times New Roman" w:hAnsi="Times New Roman" w:eastAsia="宋体"/>
                <w:b/>
                <w:bCs/>
                <w:caps w:val="0"/>
                <w:color w:val="auto"/>
                <w:spacing w:val="-2"/>
                <w:sz w:val="24"/>
                <w:highlight w:val="none"/>
              </w:rPr>
              <w:t>监</w:t>
            </w:r>
            <w:r>
              <w:rPr>
                <w:rFonts w:hint="eastAsia" w:ascii="Times New Roman" w:hAnsi="Times New Roman" w:eastAsia="宋体"/>
                <w:b/>
                <w:bCs/>
                <w:caps w:val="0"/>
                <w:color w:val="auto"/>
                <w:spacing w:val="-2"/>
                <w:sz w:val="24"/>
                <w:highlight w:val="none"/>
              </w:rPr>
              <w:t>测结果表</w:t>
            </w:r>
            <w:r>
              <w:rPr>
                <w:rFonts w:hint="eastAsia"/>
                <w:b/>
                <w:bCs/>
                <w:caps w:val="0"/>
                <w:color w:val="auto"/>
                <w:spacing w:val="-2"/>
                <w:sz w:val="24"/>
                <w:highlight w:val="none"/>
                <w:lang w:val="en-US" w:eastAsia="zh-CN"/>
              </w:rPr>
              <w:t xml:space="preserve"> 单位：</w:t>
            </w:r>
            <w:r>
              <w:rPr>
                <w:rFonts w:hint="eastAsia"/>
                <w:caps w:val="0"/>
                <w:color w:val="auto"/>
                <w:highlight w:val="none"/>
                <w:lang w:val="en-US" w:eastAsia="zh-CN"/>
              </w:rPr>
              <w:t>mg/m</w:t>
            </w:r>
            <w:r>
              <w:rPr>
                <w:rFonts w:hint="eastAsia"/>
                <w:caps w:val="0"/>
                <w:color w:val="auto"/>
                <w:highlight w:val="none"/>
                <w:vertAlign w:val="superscript"/>
                <w:lang w:val="en-US" w:eastAsia="zh-CN"/>
              </w:rPr>
              <w:t>3</w:t>
            </w:r>
          </w:p>
          <w:tbl>
            <w:tblPr>
              <w:tblStyle w:val="21"/>
              <w:tblW w:w="497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83"/>
              <w:gridCol w:w="1768"/>
              <w:gridCol w:w="1917"/>
              <w:gridCol w:w="1771"/>
            </w:tblGrid>
            <w:tr w14:paraId="174A95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tblHeader/>
                <w:jc w:val="center"/>
              </w:trPr>
              <w:tc>
                <w:tcPr>
                  <w:tcW w:w="1519" w:type="pct"/>
                  <w:vMerge w:val="restart"/>
                  <w:tcBorders>
                    <w:tl2br w:val="nil"/>
                    <w:tr2bl w:val="nil"/>
                  </w:tcBorders>
                  <w:shd w:val="clear" w:color="auto" w:fill="FFFFFF"/>
                  <w:vAlign w:val="center"/>
                </w:tcPr>
                <w:p w14:paraId="57F75151">
                  <w:pPr>
                    <w:spacing w:line="276" w:lineRule="auto"/>
                    <w:jc w:val="center"/>
                    <w:rPr>
                      <w:rFonts w:ascii="Times New Roman" w:hAnsi="Times New Roman" w:eastAsia="宋体"/>
                      <w:caps w:val="0"/>
                      <w:color w:val="auto"/>
                      <w:highlight w:val="none"/>
                    </w:rPr>
                  </w:pPr>
                  <w:r>
                    <w:rPr>
                      <w:rFonts w:ascii="Times New Roman" w:hAnsi="Times New Roman" w:eastAsia="宋体"/>
                      <w:caps w:val="0"/>
                      <w:color w:val="auto"/>
                      <w:highlight w:val="none"/>
                    </w:rPr>
                    <w:t>检测点位</w:t>
                  </w:r>
                </w:p>
              </w:tc>
              <w:tc>
                <w:tcPr>
                  <w:tcW w:w="3480" w:type="pct"/>
                  <w:gridSpan w:val="3"/>
                  <w:tcBorders>
                    <w:tl2br w:val="nil"/>
                    <w:tr2bl w:val="nil"/>
                  </w:tcBorders>
                  <w:shd w:val="clear" w:color="auto" w:fill="FFFFFF"/>
                  <w:vAlign w:val="center"/>
                </w:tcPr>
                <w:p w14:paraId="5FA1AC1A">
                  <w:pPr>
                    <w:spacing w:line="276" w:lineRule="auto"/>
                    <w:jc w:val="center"/>
                    <w:rPr>
                      <w:rFonts w:ascii="Times New Roman" w:hAnsi="Times New Roman" w:eastAsia="宋体"/>
                      <w:caps w:val="0"/>
                      <w:color w:val="auto"/>
                      <w:highlight w:val="none"/>
                    </w:rPr>
                  </w:pPr>
                  <w:r>
                    <w:rPr>
                      <w:rFonts w:hint="eastAsia"/>
                      <w:caps w:val="0"/>
                      <w:color w:val="auto"/>
                      <w:highlight w:val="none"/>
                      <w:lang w:val="en-US" w:eastAsia="zh-CN"/>
                    </w:rPr>
                    <w:t>检测项目</w:t>
                  </w:r>
                </w:p>
              </w:tc>
            </w:tr>
            <w:tr w14:paraId="449D96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9" w:hRule="atLeast"/>
                <w:tblHeader/>
                <w:jc w:val="center"/>
              </w:trPr>
              <w:tc>
                <w:tcPr>
                  <w:tcW w:w="1519" w:type="pct"/>
                  <w:vMerge w:val="continue"/>
                  <w:tcBorders>
                    <w:tl2br w:val="nil"/>
                    <w:tr2bl w:val="nil"/>
                  </w:tcBorders>
                  <w:shd w:val="clear" w:color="auto" w:fill="FFFFFF"/>
                  <w:vAlign w:val="center"/>
                </w:tcPr>
                <w:p w14:paraId="0FA538D0">
                  <w:pPr>
                    <w:spacing w:line="276" w:lineRule="auto"/>
                    <w:jc w:val="center"/>
                    <w:rPr>
                      <w:rFonts w:ascii="Times New Roman" w:hAnsi="Times New Roman" w:eastAsia="宋体"/>
                      <w:caps w:val="0"/>
                      <w:color w:val="auto"/>
                      <w:highlight w:val="none"/>
                    </w:rPr>
                  </w:pPr>
                </w:p>
              </w:tc>
              <w:tc>
                <w:tcPr>
                  <w:tcW w:w="1127" w:type="pct"/>
                  <w:tcBorders>
                    <w:tl2br w:val="nil"/>
                    <w:tr2bl w:val="nil"/>
                  </w:tcBorders>
                  <w:shd w:val="clear" w:color="auto" w:fill="FFFFFF"/>
                  <w:vAlign w:val="center"/>
                </w:tcPr>
                <w:p w14:paraId="7F1F6A87">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甲苯</w:t>
                  </w:r>
                </w:p>
              </w:tc>
              <w:tc>
                <w:tcPr>
                  <w:tcW w:w="1222" w:type="pct"/>
                  <w:tcBorders>
                    <w:tl2br w:val="nil"/>
                    <w:tr2bl w:val="nil"/>
                  </w:tcBorders>
                  <w:shd w:val="clear" w:color="auto" w:fill="FFFFFF"/>
                  <w:vAlign w:val="center"/>
                </w:tcPr>
                <w:p w14:paraId="1AC8DC6D">
                  <w:pPr>
                    <w:spacing w:line="276" w:lineRule="auto"/>
                    <w:jc w:val="center"/>
                    <w:rPr>
                      <w:rFonts w:hint="default" w:ascii="Times New Roman" w:hAnsi="Times New Roman" w:eastAsia="宋体"/>
                      <w:caps w:val="0"/>
                      <w:color w:val="auto"/>
                      <w:highlight w:val="none"/>
                      <w:lang w:val="en-US" w:eastAsia="zh-CN"/>
                    </w:rPr>
                  </w:pPr>
                  <w:r>
                    <w:rPr>
                      <w:rFonts w:hint="eastAsia"/>
                      <w:caps w:val="0"/>
                      <w:color w:val="auto"/>
                      <w:highlight w:val="none"/>
                      <w:lang w:val="en-US" w:eastAsia="zh-CN"/>
                    </w:rPr>
                    <w:t>非甲烷总烃</w:t>
                  </w:r>
                </w:p>
              </w:tc>
              <w:tc>
                <w:tcPr>
                  <w:tcW w:w="1129" w:type="pct"/>
                  <w:tcBorders>
                    <w:tl2br w:val="nil"/>
                    <w:tr2bl w:val="nil"/>
                  </w:tcBorders>
                  <w:shd w:val="clear" w:color="auto" w:fill="FFFFFF"/>
                  <w:vAlign w:val="center"/>
                </w:tcPr>
                <w:p w14:paraId="4223A570">
                  <w:pPr>
                    <w:spacing w:line="276" w:lineRule="auto"/>
                    <w:jc w:val="center"/>
                    <w:rPr>
                      <w:rFonts w:hint="eastAsia" w:ascii="Times New Roman" w:hAnsi="Times New Roman" w:eastAsia="宋体"/>
                      <w:caps w:val="0"/>
                      <w:color w:val="auto"/>
                      <w:highlight w:val="none"/>
                      <w:lang w:val="en-US" w:eastAsia="zh-CN"/>
                    </w:rPr>
                  </w:pPr>
                  <w:r>
                    <w:rPr>
                      <w:rFonts w:hint="eastAsia"/>
                      <w:caps w:val="0"/>
                      <w:color w:val="auto"/>
                      <w:highlight w:val="none"/>
                      <w:lang w:val="en-US" w:eastAsia="zh-CN"/>
                    </w:rPr>
                    <w:t>苯乙烯</w:t>
                  </w:r>
                </w:p>
              </w:tc>
            </w:tr>
            <w:tr w14:paraId="48ACBD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9" w:hRule="atLeast"/>
                <w:tblHeader/>
                <w:jc w:val="center"/>
              </w:trPr>
              <w:tc>
                <w:tcPr>
                  <w:tcW w:w="5000" w:type="pct"/>
                  <w:gridSpan w:val="4"/>
                  <w:tcBorders>
                    <w:tl2br w:val="nil"/>
                    <w:tr2bl w:val="nil"/>
                  </w:tcBorders>
                  <w:shd w:val="clear" w:color="auto" w:fill="FFFFFF"/>
                  <w:vAlign w:val="center"/>
                </w:tcPr>
                <w:p w14:paraId="3068A117">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监测时间：2023年6月3日</w:t>
                  </w:r>
                </w:p>
              </w:tc>
            </w:tr>
            <w:tr w14:paraId="4A921F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restart"/>
                  <w:tcBorders>
                    <w:tl2br w:val="nil"/>
                    <w:tr2bl w:val="nil"/>
                  </w:tcBorders>
                  <w:shd w:val="clear" w:color="auto" w:fill="FFFFFF"/>
                  <w:vAlign w:val="center"/>
                </w:tcPr>
                <w:p w14:paraId="3E485EEB">
                  <w:pPr>
                    <w:spacing w:line="276" w:lineRule="auto"/>
                    <w:jc w:val="center"/>
                    <w:rPr>
                      <w:rFonts w:hint="default" w:ascii="Times New Roman" w:hAnsi="Times New Roman" w:eastAsia="宋体"/>
                      <w:caps w:val="0"/>
                      <w:color w:val="auto"/>
                      <w:highlight w:val="none"/>
                      <w:lang w:val="en-US" w:eastAsia="zh-CN"/>
                    </w:rPr>
                  </w:pPr>
                  <w:r>
                    <w:rPr>
                      <w:rFonts w:hint="eastAsia"/>
                      <w:caps w:val="0"/>
                      <w:color w:val="auto"/>
                      <w:highlight w:val="none"/>
                      <w:lang w:val="en-US" w:eastAsia="zh-CN"/>
                    </w:rPr>
                    <w:t>厂界上风向参照点</w:t>
                  </w:r>
                </w:p>
              </w:tc>
              <w:tc>
                <w:tcPr>
                  <w:tcW w:w="1127" w:type="pct"/>
                  <w:tcBorders>
                    <w:tl2br w:val="nil"/>
                    <w:tr2bl w:val="nil"/>
                  </w:tcBorders>
                  <w:shd w:val="clear" w:color="auto" w:fill="FFFFFF"/>
                  <w:vAlign w:val="center"/>
                </w:tcPr>
                <w:p w14:paraId="074F999F">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31FC3B2A">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0.44</w:t>
                  </w:r>
                </w:p>
              </w:tc>
              <w:tc>
                <w:tcPr>
                  <w:tcW w:w="1129" w:type="pct"/>
                  <w:tcBorders>
                    <w:tl2br w:val="nil"/>
                    <w:tr2bl w:val="nil"/>
                  </w:tcBorders>
                  <w:shd w:val="clear" w:color="auto" w:fill="FFFFFF"/>
                  <w:vAlign w:val="center"/>
                </w:tcPr>
                <w:p w14:paraId="3139417B">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1A7DED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2A0241E3">
                  <w:pPr>
                    <w:spacing w:line="276" w:lineRule="auto"/>
                    <w:jc w:val="center"/>
                    <w:rPr>
                      <w:color w:val="auto"/>
                    </w:rPr>
                  </w:pPr>
                </w:p>
              </w:tc>
              <w:tc>
                <w:tcPr>
                  <w:tcW w:w="1127" w:type="pct"/>
                  <w:tcBorders>
                    <w:tl2br w:val="nil"/>
                    <w:tr2bl w:val="nil"/>
                  </w:tcBorders>
                  <w:shd w:val="clear" w:color="auto" w:fill="FFFFFF"/>
                  <w:vAlign w:val="center"/>
                </w:tcPr>
                <w:p w14:paraId="48AD7B93">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5ECB3B3D">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0.46</w:t>
                  </w:r>
                </w:p>
              </w:tc>
              <w:tc>
                <w:tcPr>
                  <w:tcW w:w="1129" w:type="pct"/>
                  <w:tcBorders>
                    <w:tl2br w:val="nil"/>
                    <w:tr2bl w:val="nil"/>
                  </w:tcBorders>
                  <w:shd w:val="clear" w:color="auto" w:fill="FFFFFF"/>
                  <w:vAlign w:val="center"/>
                </w:tcPr>
                <w:p w14:paraId="193474A4">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31B1A4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09A1DCDC">
                  <w:pPr>
                    <w:spacing w:line="276" w:lineRule="auto"/>
                    <w:jc w:val="center"/>
                    <w:rPr>
                      <w:rFonts w:hint="eastAsia"/>
                      <w:caps w:val="0"/>
                      <w:color w:val="auto"/>
                      <w:highlight w:val="none"/>
                      <w:lang w:val="en-US" w:eastAsia="zh-CN"/>
                    </w:rPr>
                  </w:pPr>
                </w:p>
              </w:tc>
              <w:tc>
                <w:tcPr>
                  <w:tcW w:w="1127" w:type="pct"/>
                  <w:tcBorders>
                    <w:tl2br w:val="nil"/>
                    <w:tr2bl w:val="nil"/>
                  </w:tcBorders>
                  <w:shd w:val="clear" w:color="auto" w:fill="FFFFFF"/>
                  <w:vAlign w:val="center"/>
                </w:tcPr>
                <w:p w14:paraId="0B1B13FE">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54E0B93B">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0.49</w:t>
                  </w:r>
                </w:p>
              </w:tc>
              <w:tc>
                <w:tcPr>
                  <w:tcW w:w="1129" w:type="pct"/>
                  <w:tcBorders>
                    <w:tl2br w:val="nil"/>
                    <w:tr2bl w:val="nil"/>
                  </w:tcBorders>
                  <w:shd w:val="clear" w:color="auto" w:fill="FFFFFF"/>
                  <w:vAlign w:val="center"/>
                </w:tcPr>
                <w:p w14:paraId="63330CAB">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5AD1C0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restart"/>
                  <w:tcBorders>
                    <w:tl2br w:val="nil"/>
                    <w:tr2bl w:val="nil"/>
                  </w:tcBorders>
                  <w:shd w:val="clear" w:color="auto" w:fill="FFFFFF"/>
                  <w:vAlign w:val="center"/>
                </w:tcPr>
                <w:p w14:paraId="23F07AB2">
                  <w:pPr>
                    <w:spacing w:line="276" w:lineRule="auto"/>
                    <w:jc w:val="center"/>
                    <w:rPr>
                      <w:rFonts w:hint="default" w:ascii="Times New Roman" w:hAnsi="Times New Roman" w:eastAsia="宋体"/>
                      <w:caps w:val="0"/>
                      <w:color w:val="auto"/>
                      <w:highlight w:val="none"/>
                      <w:lang w:val="en-US" w:eastAsia="zh-CN"/>
                    </w:rPr>
                  </w:pPr>
                  <w:r>
                    <w:rPr>
                      <w:rFonts w:hint="eastAsia"/>
                      <w:caps w:val="0"/>
                      <w:color w:val="auto"/>
                      <w:highlight w:val="none"/>
                      <w:lang w:val="en-US" w:eastAsia="zh-CN"/>
                    </w:rPr>
                    <w:t>厂界下风向监控点1#</w:t>
                  </w:r>
                </w:p>
              </w:tc>
              <w:tc>
                <w:tcPr>
                  <w:tcW w:w="1127" w:type="pct"/>
                  <w:tcBorders>
                    <w:tl2br w:val="nil"/>
                    <w:tr2bl w:val="nil"/>
                  </w:tcBorders>
                  <w:shd w:val="clear" w:color="auto" w:fill="FFFFFF"/>
                  <w:vAlign w:val="center"/>
                </w:tcPr>
                <w:p w14:paraId="3C312600">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7643999B">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0.94</w:t>
                  </w:r>
                </w:p>
              </w:tc>
              <w:tc>
                <w:tcPr>
                  <w:tcW w:w="1129" w:type="pct"/>
                  <w:tcBorders>
                    <w:tl2br w:val="nil"/>
                    <w:tr2bl w:val="nil"/>
                  </w:tcBorders>
                  <w:shd w:val="clear" w:color="auto" w:fill="FFFFFF"/>
                  <w:vAlign w:val="center"/>
                </w:tcPr>
                <w:p w14:paraId="2BB93E0E">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6FE30D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70494846">
                  <w:pPr>
                    <w:spacing w:line="276" w:lineRule="auto"/>
                    <w:jc w:val="center"/>
                    <w:rPr>
                      <w:color w:val="auto"/>
                    </w:rPr>
                  </w:pPr>
                </w:p>
              </w:tc>
              <w:tc>
                <w:tcPr>
                  <w:tcW w:w="1127" w:type="pct"/>
                  <w:tcBorders>
                    <w:tl2br w:val="nil"/>
                    <w:tr2bl w:val="nil"/>
                  </w:tcBorders>
                  <w:shd w:val="clear" w:color="auto" w:fill="FFFFFF"/>
                  <w:vAlign w:val="center"/>
                </w:tcPr>
                <w:p w14:paraId="6373E59D">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4DF09B2A">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0.96</w:t>
                  </w:r>
                </w:p>
              </w:tc>
              <w:tc>
                <w:tcPr>
                  <w:tcW w:w="1129" w:type="pct"/>
                  <w:tcBorders>
                    <w:tl2br w:val="nil"/>
                    <w:tr2bl w:val="nil"/>
                  </w:tcBorders>
                  <w:shd w:val="clear" w:color="auto" w:fill="FFFFFF"/>
                  <w:vAlign w:val="center"/>
                </w:tcPr>
                <w:p w14:paraId="11D761CC">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45168D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54238D9E">
                  <w:pPr>
                    <w:spacing w:line="276" w:lineRule="auto"/>
                    <w:jc w:val="center"/>
                    <w:rPr>
                      <w:rFonts w:hint="eastAsia"/>
                      <w:caps w:val="0"/>
                      <w:color w:val="auto"/>
                      <w:highlight w:val="none"/>
                      <w:lang w:val="en-US" w:eastAsia="zh-CN"/>
                    </w:rPr>
                  </w:pPr>
                </w:p>
              </w:tc>
              <w:tc>
                <w:tcPr>
                  <w:tcW w:w="1127" w:type="pct"/>
                  <w:tcBorders>
                    <w:tl2br w:val="nil"/>
                    <w:tr2bl w:val="nil"/>
                  </w:tcBorders>
                  <w:shd w:val="clear" w:color="auto" w:fill="FFFFFF"/>
                  <w:vAlign w:val="center"/>
                </w:tcPr>
                <w:p w14:paraId="42A9295F">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527DBA9B">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1.00</w:t>
                  </w:r>
                </w:p>
              </w:tc>
              <w:tc>
                <w:tcPr>
                  <w:tcW w:w="1129" w:type="pct"/>
                  <w:tcBorders>
                    <w:tl2br w:val="nil"/>
                    <w:tr2bl w:val="nil"/>
                  </w:tcBorders>
                  <w:shd w:val="clear" w:color="auto" w:fill="FFFFFF"/>
                  <w:vAlign w:val="center"/>
                </w:tcPr>
                <w:p w14:paraId="0AE25002">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25CF4E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restart"/>
                  <w:tcBorders>
                    <w:tl2br w:val="nil"/>
                    <w:tr2bl w:val="nil"/>
                  </w:tcBorders>
                  <w:shd w:val="clear" w:color="auto" w:fill="FFFFFF"/>
                  <w:vAlign w:val="center"/>
                </w:tcPr>
                <w:p w14:paraId="5E0836C9">
                  <w:pPr>
                    <w:spacing w:line="276" w:lineRule="auto"/>
                    <w:jc w:val="center"/>
                    <w:rPr>
                      <w:rFonts w:ascii="Times New Roman" w:hAnsi="Times New Roman" w:eastAsia="宋体"/>
                      <w:caps w:val="0"/>
                      <w:color w:val="auto"/>
                      <w:highlight w:val="none"/>
                    </w:rPr>
                  </w:pPr>
                  <w:r>
                    <w:rPr>
                      <w:rFonts w:hint="eastAsia"/>
                      <w:caps w:val="0"/>
                      <w:color w:val="auto"/>
                      <w:highlight w:val="none"/>
                      <w:lang w:val="en-US" w:eastAsia="zh-CN"/>
                    </w:rPr>
                    <w:t>厂界下风向监控点2#</w:t>
                  </w:r>
                </w:p>
              </w:tc>
              <w:tc>
                <w:tcPr>
                  <w:tcW w:w="1127" w:type="pct"/>
                  <w:tcBorders>
                    <w:tl2br w:val="nil"/>
                    <w:tr2bl w:val="nil"/>
                  </w:tcBorders>
                  <w:shd w:val="clear" w:color="auto" w:fill="FFFFFF"/>
                  <w:vAlign w:val="center"/>
                </w:tcPr>
                <w:p w14:paraId="390CE60E">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56A0A727">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1.02</w:t>
                  </w:r>
                </w:p>
              </w:tc>
              <w:tc>
                <w:tcPr>
                  <w:tcW w:w="1129" w:type="pct"/>
                  <w:tcBorders>
                    <w:tl2br w:val="nil"/>
                    <w:tr2bl w:val="nil"/>
                  </w:tcBorders>
                  <w:shd w:val="clear" w:color="auto" w:fill="FFFFFF"/>
                  <w:vAlign w:val="center"/>
                </w:tcPr>
                <w:p w14:paraId="201A09CC">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6C79DE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59C8004D">
                  <w:pPr>
                    <w:spacing w:line="276" w:lineRule="auto"/>
                    <w:jc w:val="center"/>
                    <w:rPr>
                      <w:color w:val="auto"/>
                    </w:rPr>
                  </w:pPr>
                </w:p>
              </w:tc>
              <w:tc>
                <w:tcPr>
                  <w:tcW w:w="1127" w:type="pct"/>
                  <w:tcBorders>
                    <w:tl2br w:val="nil"/>
                    <w:tr2bl w:val="nil"/>
                  </w:tcBorders>
                  <w:shd w:val="clear" w:color="auto" w:fill="FFFFFF"/>
                  <w:vAlign w:val="center"/>
                </w:tcPr>
                <w:p w14:paraId="48894A49">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222" w:type="pct"/>
                  <w:tcBorders>
                    <w:tl2br w:val="nil"/>
                    <w:tr2bl w:val="nil"/>
                  </w:tcBorders>
                  <w:shd w:val="clear" w:color="auto" w:fill="FFFFFF"/>
                  <w:vAlign w:val="center"/>
                </w:tcPr>
                <w:p w14:paraId="609E3583">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1.02</w:t>
                  </w:r>
                </w:p>
              </w:tc>
              <w:tc>
                <w:tcPr>
                  <w:tcW w:w="1129" w:type="pct"/>
                  <w:tcBorders>
                    <w:tl2br w:val="nil"/>
                    <w:tr2bl w:val="nil"/>
                  </w:tcBorders>
                  <w:shd w:val="clear" w:color="auto" w:fill="FFFFFF"/>
                  <w:vAlign w:val="center"/>
                </w:tcPr>
                <w:p w14:paraId="5FA3B7F2">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76A4E3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42E64386">
                  <w:pPr>
                    <w:spacing w:line="276" w:lineRule="auto"/>
                    <w:jc w:val="center"/>
                    <w:rPr>
                      <w:rFonts w:hint="eastAsia"/>
                      <w:caps w:val="0"/>
                      <w:color w:val="auto"/>
                      <w:highlight w:val="none"/>
                      <w:lang w:val="en-US" w:eastAsia="zh-CN"/>
                    </w:rPr>
                  </w:pPr>
                </w:p>
              </w:tc>
              <w:tc>
                <w:tcPr>
                  <w:tcW w:w="1127" w:type="pct"/>
                  <w:tcBorders>
                    <w:tl2br w:val="nil"/>
                    <w:tr2bl w:val="nil"/>
                  </w:tcBorders>
                  <w:shd w:val="clear" w:color="auto" w:fill="FFFFFF"/>
                  <w:vAlign w:val="center"/>
                </w:tcPr>
                <w:p w14:paraId="5DE2EC3E">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917" w:type="dxa"/>
                  <w:tcBorders>
                    <w:tl2br w:val="nil"/>
                    <w:tr2bl w:val="nil"/>
                  </w:tcBorders>
                  <w:shd w:val="clear" w:color="auto" w:fill="FFFFFF"/>
                  <w:vAlign w:val="center"/>
                </w:tcPr>
                <w:p w14:paraId="30D24CF2">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1.00</w:t>
                  </w:r>
                </w:p>
              </w:tc>
              <w:tc>
                <w:tcPr>
                  <w:tcW w:w="1129" w:type="pct"/>
                  <w:tcBorders>
                    <w:tl2br w:val="nil"/>
                    <w:tr2bl w:val="nil"/>
                  </w:tcBorders>
                  <w:shd w:val="clear" w:color="auto" w:fill="FFFFFF"/>
                  <w:vAlign w:val="center"/>
                </w:tcPr>
                <w:p w14:paraId="70DC02B1">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17EF37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restart"/>
                  <w:tcBorders>
                    <w:tl2br w:val="nil"/>
                    <w:tr2bl w:val="nil"/>
                  </w:tcBorders>
                  <w:shd w:val="clear" w:color="auto" w:fill="FFFFFF"/>
                  <w:vAlign w:val="center"/>
                </w:tcPr>
                <w:p w14:paraId="77D9ABB2">
                  <w:pPr>
                    <w:spacing w:line="276" w:lineRule="auto"/>
                    <w:jc w:val="center"/>
                    <w:rPr>
                      <w:rFonts w:ascii="Times New Roman" w:hAnsi="Times New Roman" w:eastAsia="宋体"/>
                      <w:caps w:val="0"/>
                      <w:color w:val="auto"/>
                      <w:highlight w:val="none"/>
                    </w:rPr>
                  </w:pPr>
                  <w:r>
                    <w:rPr>
                      <w:rFonts w:hint="eastAsia"/>
                      <w:caps w:val="0"/>
                      <w:color w:val="auto"/>
                      <w:highlight w:val="none"/>
                      <w:lang w:val="en-US" w:eastAsia="zh-CN"/>
                    </w:rPr>
                    <w:t>厂界下风向监控点3#</w:t>
                  </w:r>
                </w:p>
              </w:tc>
              <w:tc>
                <w:tcPr>
                  <w:tcW w:w="1127" w:type="pct"/>
                  <w:tcBorders>
                    <w:tl2br w:val="nil"/>
                    <w:tr2bl w:val="nil"/>
                  </w:tcBorders>
                  <w:shd w:val="clear" w:color="auto" w:fill="FFFFFF"/>
                  <w:vAlign w:val="center"/>
                </w:tcPr>
                <w:p w14:paraId="5B0771B4">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917" w:type="dxa"/>
                  <w:tcBorders>
                    <w:tl2br w:val="nil"/>
                    <w:tr2bl w:val="nil"/>
                  </w:tcBorders>
                  <w:shd w:val="clear" w:color="auto" w:fill="FFFFFF"/>
                  <w:vAlign w:val="center"/>
                </w:tcPr>
                <w:p w14:paraId="5629CA8A">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0.91</w:t>
                  </w:r>
                </w:p>
              </w:tc>
              <w:tc>
                <w:tcPr>
                  <w:tcW w:w="1129" w:type="pct"/>
                  <w:tcBorders>
                    <w:tl2br w:val="nil"/>
                    <w:tr2bl w:val="nil"/>
                  </w:tcBorders>
                  <w:shd w:val="clear" w:color="auto" w:fill="FFFFFF"/>
                  <w:vAlign w:val="center"/>
                </w:tcPr>
                <w:p w14:paraId="64820AB5">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47BB8F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519" w:type="pct"/>
                  <w:vMerge w:val="continue"/>
                  <w:tcBorders>
                    <w:tl2br w:val="nil"/>
                    <w:tr2bl w:val="nil"/>
                  </w:tcBorders>
                  <w:shd w:val="clear" w:color="auto" w:fill="FFFFFF"/>
                  <w:vAlign w:val="center"/>
                </w:tcPr>
                <w:p w14:paraId="18412743">
                  <w:pPr>
                    <w:spacing w:line="276" w:lineRule="auto"/>
                    <w:jc w:val="center"/>
                    <w:rPr>
                      <w:color w:val="auto"/>
                    </w:rPr>
                  </w:pPr>
                </w:p>
              </w:tc>
              <w:tc>
                <w:tcPr>
                  <w:tcW w:w="1127" w:type="pct"/>
                  <w:tcBorders>
                    <w:tl2br w:val="nil"/>
                    <w:tr2bl w:val="nil"/>
                  </w:tcBorders>
                  <w:shd w:val="clear" w:color="auto" w:fill="FFFFFF"/>
                  <w:vAlign w:val="center"/>
                </w:tcPr>
                <w:p w14:paraId="1FB0B142">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917" w:type="dxa"/>
                  <w:tcBorders>
                    <w:tl2br w:val="nil"/>
                    <w:tr2bl w:val="nil"/>
                  </w:tcBorders>
                  <w:shd w:val="clear" w:color="auto" w:fill="FFFFFF"/>
                  <w:vAlign w:val="center"/>
                </w:tcPr>
                <w:p w14:paraId="64080CC3">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0.98</w:t>
                  </w:r>
                </w:p>
              </w:tc>
              <w:tc>
                <w:tcPr>
                  <w:tcW w:w="1129" w:type="pct"/>
                  <w:tcBorders>
                    <w:tl2br w:val="nil"/>
                    <w:tr2bl w:val="nil"/>
                  </w:tcBorders>
                  <w:shd w:val="clear" w:color="auto" w:fill="FFFFFF"/>
                  <w:vAlign w:val="center"/>
                </w:tcPr>
                <w:p w14:paraId="7F5BB5BF">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66DEB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blHeader/>
                <w:jc w:val="center"/>
              </w:trPr>
              <w:tc>
                <w:tcPr>
                  <w:tcW w:w="1519" w:type="pct"/>
                  <w:vMerge w:val="continue"/>
                  <w:tcBorders>
                    <w:tl2br w:val="nil"/>
                    <w:tr2bl w:val="nil"/>
                  </w:tcBorders>
                  <w:shd w:val="clear" w:color="auto" w:fill="FFFFFF"/>
                  <w:vAlign w:val="center"/>
                </w:tcPr>
                <w:p w14:paraId="539616C1">
                  <w:pPr>
                    <w:spacing w:line="276" w:lineRule="auto"/>
                    <w:jc w:val="center"/>
                    <w:rPr>
                      <w:rFonts w:hint="eastAsia"/>
                      <w:caps w:val="0"/>
                      <w:color w:val="auto"/>
                      <w:highlight w:val="none"/>
                      <w:lang w:val="en-US" w:eastAsia="zh-CN"/>
                    </w:rPr>
                  </w:pPr>
                </w:p>
              </w:tc>
              <w:tc>
                <w:tcPr>
                  <w:tcW w:w="1127" w:type="pct"/>
                  <w:tcBorders>
                    <w:tl2br w:val="nil"/>
                    <w:tr2bl w:val="nil"/>
                  </w:tcBorders>
                  <w:shd w:val="clear" w:color="auto" w:fill="FFFFFF"/>
                  <w:vAlign w:val="center"/>
                </w:tcPr>
                <w:p w14:paraId="014BD40A">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c>
                <w:tcPr>
                  <w:tcW w:w="1917" w:type="dxa"/>
                  <w:tcBorders>
                    <w:tl2br w:val="nil"/>
                    <w:tr2bl w:val="nil"/>
                  </w:tcBorders>
                  <w:shd w:val="clear" w:color="auto" w:fill="FFFFFF"/>
                  <w:vAlign w:val="center"/>
                </w:tcPr>
                <w:p w14:paraId="16858F83">
                  <w:pPr>
                    <w:spacing w:line="276" w:lineRule="auto"/>
                    <w:jc w:val="center"/>
                    <w:rPr>
                      <w:rFonts w:hint="default"/>
                      <w:caps w:val="0"/>
                      <w:color w:val="auto"/>
                      <w:highlight w:val="none"/>
                      <w:lang w:val="en-US" w:eastAsia="zh-CN"/>
                    </w:rPr>
                  </w:pPr>
                  <w:r>
                    <w:rPr>
                      <w:rFonts w:hint="eastAsia"/>
                      <w:caps w:val="0"/>
                      <w:color w:val="auto"/>
                      <w:highlight w:val="none"/>
                      <w:lang w:val="en-US" w:eastAsia="zh-CN"/>
                    </w:rPr>
                    <w:t>0.91</w:t>
                  </w:r>
                </w:p>
              </w:tc>
              <w:tc>
                <w:tcPr>
                  <w:tcW w:w="1129" w:type="pct"/>
                  <w:tcBorders>
                    <w:tl2br w:val="nil"/>
                    <w:tr2bl w:val="nil"/>
                  </w:tcBorders>
                  <w:shd w:val="clear" w:color="auto" w:fill="FFFFFF"/>
                  <w:vAlign w:val="center"/>
                </w:tcPr>
                <w:p w14:paraId="573E7924">
                  <w:pPr>
                    <w:spacing w:line="276" w:lineRule="auto"/>
                    <w:jc w:val="center"/>
                    <w:rPr>
                      <w:rFonts w:hint="eastAsia"/>
                      <w:caps w:val="0"/>
                      <w:color w:val="auto"/>
                      <w:highlight w:val="none"/>
                      <w:lang w:val="en-US" w:eastAsia="zh-CN"/>
                    </w:rPr>
                  </w:pPr>
                  <w:r>
                    <w:rPr>
                      <w:rFonts w:hint="eastAsia"/>
                      <w:caps w:val="0"/>
                      <w:color w:val="auto"/>
                      <w:highlight w:val="none"/>
                      <w:lang w:val="en-US" w:eastAsia="zh-CN"/>
                    </w:rPr>
                    <w:t>ND</w:t>
                  </w:r>
                </w:p>
              </w:tc>
            </w:tr>
            <w:tr w14:paraId="52E6E8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blHeader/>
                <w:jc w:val="center"/>
              </w:trPr>
              <w:tc>
                <w:tcPr>
                  <w:tcW w:w="5000" w:type="pct"/>
                  <w:gridSpan w:val="4"/>
                  <w:tcBorders>
                    <w:tl2br w:val="nil"/>
                    <w:tr2bl w:val="nil"/>
                  </w:tcBorders>
                  <w:shd w:val="clear" w:color="auto" w:fill="FFFFFF"/>
                  <w:vAlign w:val="center"/>
                </w:tcPr>
                <w:p w14:paraId="09D350F2">
                  <w:pPr>
                    <w:spacing w:line="276" w:lineRule="auto"/>
                    <w:jc w:val="both"/>
                    <w:rPr>
                      <w:rFonts w:hint="default"/>
                      <w:caps w:val="0"/>
                      <w:color w:val="auto"/>
                      <w:highlight w:val="none"/>
                      <w:lang w:val="en-US" w:eastAsia="zh-CN"/>
                    </w:rPr>
                  </w:pPr>
                  <w:r>
                    <w:rPr>
                      <w:rFonts w:hint="eastAsia"/>
                      <w:caps w:val="0"/>
                      <w:color w:val="auto"/>
                      <w:highlight w:val="none"/>
                      <w:lang w:val="en-US" w:eastAsia="zh-CN"/>
                    </w:rPr>
                    <w:t>备注：ND表示检测结果低于方法检出限</w:t>
                  </w:r>
                </w:p>
              </w:tc>
            </w:tr>
          </w:tbl>
          <w:p w14:paraId="5273C5F4">
            <w:pPr>
              <w:spacing w:line="360" w:lineRule="auto"/>
              <w:ind w:firstLine="480" w:firstLineChars="200"/>
              <w:jc w:val="left"/>
              <w:rPr>
                <w:rFonts w:ascii="Times New Roman" w:hAnsi="Times New Roman" w:eastAsia="宋体"/>
                <w:caps w:val="0"/>
                <w:color w:val="auto"/>
                <w:sz w:val="24"/>
                <w:highlight w:val="none"/>
                <w:shd w:val="clear" w:color="auto" w:fill="FFFFFF"/>
              </w:rPr>
            </w:pPr>
            <w:r>
              <w:rPr>
                <w:rFonts w:ascii="Times New Roman" w:hAnsi="Times New Roman" w:eastAsia="宋体"/>
                <w:bCs/>
                <w:caps w:val="0"/>
                <w:color w:val="auto"/>
                <w:kern w:val="0"/>
                <w:sz w:val="24"/>
                <w:highlight w:val="none"/>
              </w:rPr>
              <w:t>由监测结果可知，</w:t>
            </w:r>
            <w:r>
              <w:rPr>
                <w:rFonts w:hint="eastAsia"/>
                <w:bCs/>
                <w:caps w:val="0"/>
                <w:color w:val="auto"/>
                <w:kern w:val="0"/>
                <w:sz w:val="24"/>
                <w:highlight w:val="none"/>
                <w:lang w:val="en-US" w:eastAsia="zh-CN"/>
              </w:rPr>
              <w:t>厂界非甲烷总烃、甲苯满足《合成树脂工业污染物排放标准》（GB31572-2015）表9企业边界大气污染物浓度限值标准要求；苯乙烯满足《恶臭污染物排放标准标准》（GB14554-93）表1新改建无组织厂界二级标准限值要求</w:t>
            </w:r>
            <w:r>
              <w:rPr>
                <w:rFonts w:ascii="Times New Roman" w:hAnsi="Times New Roman" w:eastAsia="宋体"/>
                <w:bCs/>
                <w:caps w:val="0"/>
                <w:color w:val="auto"/>
                <w:kern w:val="0"/>
                <w:sz w:val="24"/>
                <w:highlight w:val="none"/>
              </w:rPr>
              <w:t>。</w:t>
            </w:r>
          </w:p>
          <w:p w14:paraId="147D7538">
            <w:pPr>
              <w:adjustRightInd w:val="0"/>
              <w:spacing w:line="360" w:lineRule="auto"/>
              <w:ind w:firstLine="482" w:firstLineChars="200"/>
              <w:textAlignment w:val="baseline"/>
              <w:rPr>
                <w:rFonts w:ascii="Times New Roman" w:hAnsi="Times New Roman" w:eastAsia="宋体"/>
                <w:b/>
                <w:caps w:val="0"/>
                <w:color w:val="auto"/>
                <w:sz w:val="24"/>
                <w:highlight w:val="none"/>
              </w:rPr>
            </w:pPr>
            <w:r>
              <w:rPr>
                <w:rFonts w:ascii="Times New Roman" w:hAnsi="Times New Roman" w:eastAsia="宋体"/>
                <w:b/>
                <w:caps w:val="0"/>
                <w:color w:val="auto"/>
                <w:sz w:val="24"/>
                <w:highlight w:val="none"/>
              </w:rPr>
              <w:t>（2）废水</w:t>
            </w:r>
          </w:p>
          <w:p w14:paraId="01A75C1C">
            <w:pPr>
              <w:spacing w:line="360" w:lineRule="auto"/>
              <w:ind w:firstLine="456" w:firstLineChars="200"/>
              <w:jc w:val="left"/>
              <w:rPr>
                <w:rFonts w:ascii="Times New Roman" w:hAnsi="Times New Roman" w:eastAsia="宋体"/>
                <w:caps w:val="0"/>
                <w:color w:val="auto"/>
                <w:spacing w:val="-6"/>
                <w:kern w:val="0"/>
                <w:sz w:val="24"/>
                <w:szCs w:val="21"/>
                <w:highlight w:val="none"/>
              </w:rPr>
            </w:pPr>
            <w:r>
              <w:rPr>
                <w:rFonts w:hint="eastAsia" w:ascii="Times New Roman" w:hAnsi="Times New Roman" w:eastAsia="宋体"/>
                <w:caps w:val="0"/>
                <w:color w:val="auto"/>
                <w:spacing w:val="-6"/>
                <w:kern w:val="0"/>
                <w:sz w:val="24"/>
                <w:highlight w:val="none"/>
              </w:rPr>
              <w:t>根据安徽尚德谱检测技术有限责任公司提供的检测报告（报告编号BG-202305238见附件）</w:t>
            </w:r>
            <w:r>
              <w:rPr>
                <w:rFonts w:ascii="Times New Roman" w:hAnsi="Times New Roman" w:eastAsia="宋体"/>
                <w:caps w:val="0"/>
                <w:color w:val="auto"/>
                <w:spacing w:val="-6"/>
                <w:kern w:val="0"/>
                <w:sz w:val="24"/>
                <w:szCs w:val="21"/>
                <w:highlight w:val="none"/>
              </w:rPr>
              <w:t>，废水监测结果见下表。</w:t>
            </w:r>
          </w:p>
          <w:p w14:paraId="0A6EA181">
            <w:pPr>
              <w:widowControl/>
              <w:jc w:val="center"/>
              <w:rPr>
                <w:rFonts w:ascii="Times New Roman" w:hAnsi="Times New Roman" w:eastAsia="宋体" w:cs="宋体"/>
                <w:b/>
                <w:caps w:val="0"/>
                <w:color w:val="auto"/>
                <w:highlight w:val="none"/>
              </w:rPr>
            </w:pPr>
            <w:r>
              <w:rPr>
                <w:rFonts w:ascii="Times New Roman" w:hAnsi="Times New Roman" w:eastAsia="宋体"/>
                <w:b/>
                <w:bCs/>
                <w:caps w:val="0"/>
                <w:color w:val="auto"/>
                <w:spacing w:val="-2"/>
                <w:sz w:val="24"/>
                <w:highlight w:val="none"/>
              </w:rPr>
              <w:t>表2-1</w:t>
            </w:r>
            <w:r>
              <w:rPr>
                <w:rFonts w:hint="eastAsia"/>
                <w:b/>
                <w:bCs/>
                <w:caps w:val="0"/>
                <w:color w:val="auto"/>
                <w:spacing w:val="-2"/>
                <w:sz w:val="24"/>
                <w:highlight w:val="none"/>
                <w:lang w:val="en-US" w:eastAsia="zh-CN"/>
              </w:rPr>
              <w:t>6</w:t>
            </w:r>
            <w:r>
              <w:rPr>
                <w:rFonts w:ascii="Times New Roman" w:hAnsi="Times New Roman" w:eastAsia="宋体"/>
                <w:b/>
                <w:bCs/>
                <w:caps w:val="0"/>
                <w:color w:val="auto"/>
                <w:spacing w:val="-2"/>
                <w:sz w:val="24"/>
                <w:highlight w:val="none"/>
              </w:rPr>
              <w:t xml:space="preserve"> </w:t>
            </w:r>
            <w:r>
              <w:rPr>
                <w:rFonts w:ascii="Times New Roman" w:hAnsi="Times New Roman" w:eastAsia="宋体"/>
                <w:b/>
                <w:caps w:val="0"/>
                <w:color w:val="auto"/>
                <w:kern w:val="0"/>
                <w:sz w:val="24"/>
                <w:highlight w:val="none"/>
              </w:rPr>
              <w:t>现有项目</w:t>
            </w:r>
            <w:r>
              <w:rPr>
                <w:rFonts w:hint="eastAsia" w:ascii="Times New Roman" w:hAnsi="Times New Roman" w:eastAsia="宋体"/>
                <w:b/>
                <w:bCs/>
                <w:caps w:val="0"/>
                <w:color w:val="auto"/>
                <w:spacing w:val="-2"/>
                <w:sz w:val="24"/>
                <w:highlight w:val="none"/>
              </w:rPr>
              <w:t>废水</w:t>
            </w:r>
            <w:r>
              <w:rPr>
                <w:rFonts w:ascii="Times New Roman" w:hAnsi="Times New Roman" w:eastAsia="宋体"/>
                <w:b/>
                <w:bCs/>
                <w:caps w:val="0"/>
                <w:color w:val="auto"/>
                <w:spacing w:val="-2"/>
                <w:sz w:val="24"/>
                <w:highlight w:val="none"/>
              </w:rPr>
              <w:t>监测结果一览表</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575"/>
              <w:gridCol w:w="1576"/>
              <w:gridCol w:w="1576"/>
              <w:gridCol w:w="1582"/>
            </w:tblGrid>
            <w:tr w14:paraId="37A192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998" w:type="pct"/>
                  <w:tcBorders>
                    <w:tl2br w:val="nil"/>
                    <w:tr2bl w:val="nil"/>
                  </w:tcBorders>
                  <w:vAlign w:val="center"/>
                </w:tcPr>
                <w:p w14:paraId="54A22343">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监测点位</w:t>
                  </w:r>
                </w:p>
              </w:tc>
              <w:tc>
                <w:tcPr>
                  <w:tcW w:w="4001" w:type="pct"/>
                  <w:gridSpan w:val="4"/>
                  <w:tcBorders>
                    <w:tl2br w:val="nil"/>
                    <w:tr2bl w:val="nil"/>
                  </w:tcBorders>
                  <w:vAlign w:val="center"/>
                </w:tcPr>
                <w:p w14:paraId="311907CA">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废水总排口</w:t>
                  </w:r>
                </w:p>
              </w:tc>
            </w:tr>
            <w:tr w14:paraId="57D914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998" w:type="pct"/>
                  <w:tcBorders>
                    <w:tl2br w:val="nil"/>
                    <w:tr2bl w:val="nil"/>
                  </w:tcBorders>
                  <w:vAlign w:val="center"/>
                </w:tcPr>
                <w:p w14:paraId="474559F4">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样品序号</w:t>
                  </w:r>
                </w:p>
              </w:tc>
              <w:tc>
                <w:tcPr>
                  <w:tcW w:w="998" w:type="pct"/>
                  <w:tcBorders>
                    <w:tl2br w:val="nil"/>
                    <w:tr2bl w:val="nil"/>
                  </w:tcBorders>
                  <w:vAlign w:val="center"/>
                </w:tcPr>
                <w:p w14:paraId="7217EAD8">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w:t>
                  </w:r>
                </w:p>
              </w:tc>
              <w:tc>
                <w:tcPr>
                  <w:tcW w:w="999" w:type="pct"/>
                  <w:tcBorders>
                    <w:tl2br w:val="nil"/>
                    <w:tr2bl w:val="nil"/>
                  </w:tcBorders>
                  <w:vAlign w:val="center"/>
                </w:tcPr>
                <w:p w14:paraId="2FC32BED">
                  <w:pPr>
                    <w:spacing w:line="276" w:lineRule="auto"/>
                    <w:jc w:val="center"/>
                    <w:rPr>
                      <w:rFonts w:hint="eastAsia" w:ascii="Times New Roman" w:hAnsi="Times New Roman" w:eastAsia="宋体"/>
                      <w:caps w:val="0"/>
                      <w:color w:val="auto"/>
                      <w:szCs w:val="21"/>
                      <w:highlight w:val="none"/>
                      <w:lang w:eastAsia="zh-CN"/>
                    </w:rPr>
                  </w:pPr>
                  <w:r>
                    <w:rPr>
                      <w:rFonts w:hint="eastAsia"/>
                      <w:caps w:val="0"/>
                      <w:color w:val="auto"/>
                      <w:szCs w:val="21"/>
                      <w:highlight w:val="none"/>
                      <w:lang w:val="en-US" w:eastAsia="zh-CN"/>
                    </w:rPr>
                    <w:t>2</w:t>
                  </w:r>
                </w:p>
              </w:tc>
              <w:tc>
                <w:tcPr>
                  <w:tcW w:w="999" w:type="pct"/>
                  <w:tcBorders>
                    <w:tl2br w:val="nil"/>
                    <w:tr2bl w:val="nil"/>
                  </w:tcBorders>
                  <w:vAlign w:val="center"/>
                </w:tcPr>
                <w:p w14:paraId="034F4BD5">
                  <w:pPr>
                    <w:spacing w:line="276" w:lineRule="auto"/>
                    <w:jc w:val="center"/>
                    <w:rPr>
                      <w:rFonts w:hint="eastAsia" w:ascii="Times New Roman" w:hAnsi="Times New Roman" w:eastAsia="宋体"/>
                      <w:caps w:val="0"/>
                      <w:color w:val="auto"/>
                      <w:szCs w:val="21"/>
                      <w:highlight w:val="none"/>
                      <w:lang w:eastAsia="zh-CN"/>
                    </w:rPr>
                  </w:pPr>
                  <w:r>
                    <w:rPr>
                      <w:rFonts w:hint="eastAsia"/>
                      <w:caps w:val="0"/>
                      <w:color w:val="auto"/>
                      <w:szCs w:val="21"/>
                      <w:highlight w:val="none"/>
                      <w:lang w:val="en-US" w:eastAsia="zh-CN"/>
                    </w:rPr>
                    <w:t>3</w:t>
                  </w:r>
                </w:p>
              </w:tc>
              <w:tc>
                <w:tcPr>
                  <w:tcW w:w="1003" w:type="pct"/>
                  <w:tcBorders>
                    <w:tl2br w:val="nil"/>
                    <w:tr2bl w:val="nil"/>
                  </w:tcBorders>
                  <w:vAlign w:val="center"/>
                </w:tcPr>
                <w:p w14:paraId="5A298FFB">
                  <w:pPr>
                    <w:spacing w:line="276" w:lineRule="auto"/>
                    <w:jc w:val="center"/>
                    <w:rPr>
                      <w:rFonts w:hint="eastAsia" w:ascii="Times New Roman" w:hAnsi="Times New Roman" w:eastAsia="宋体"/>
                      <w:caps w:val="0"/>
                      <w:color w:val="auto"/>
                      <w:szCs w:val="21"/>
                      <w:highlight w:val="none"/>
                      <w:lang w:eastAsia="zh-CN"/>
                    </w:rPr>
                  </w:pPr>
                  <w:r>
                    <w:rPr>
                      <w:rFonts w:hint="eastAsia"/>
                      <w:caps w:val="0"/>
                      <w:color w:val="auto"/>
                      <w:szCs w:val="21"/>
                      <w:highlight w:val="none"/>
                      <w:lang w:val="en-US" w:eastAsia="zh-CN"/>
                    </w:rPr>
                    <w:t>4</w:t>
                  </w:r>
                </w:p>
              </w:tc>
            </w:tr>
            <w:tr w14:paraId="104E4D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5000" w:type="pct"/>
                  <w:gridSpan w:val="5"/>
                  <w:tcBorders>
                    <w:tl2br w:val="nil"/>
                    <w:tr2bl w:val="nil"/>
                  </w:tcBorders>
                  <w:vAlign w:val="center"/>
                </w:tcPr>
                <w:p w14:paraId="11B063E1">
                  <w:pPr>
                    <w:spacing w:line="276" w:lineRule="auto"/>
                    <w:jc w:val="both"/>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监测日期：2023年6月2日</w:t>
                  </w:r>
                </w:p>
              </w:tc>
            </w:tr>
            <w:tr w14:paraId="0BC71C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77807ACF">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pH值</w:t>
                  </w:r>
                  <w:r>
                    <w:rPr>
                      <w:rFonts w:ascii="Times New Roman" w:hAnsi="Times New Roman" w:eastAsia="宋体"/>
                      <w:caps w:val="0"/>
                      <w:color w:val="auto"/>
                      <w:szCs w:val="21"/>
                      <w:highlight w:val="none"/>
                      <w:vertAlign w:val="superscript"/>
                    </w:rPr>
                    <w:t>*</w:t>
                  </w:r>
                  <w:r>
                    <w:rPr>
                      <w:rFonts w:ascii="Times New Roman" w:hAnsi="Times New Roman" w:eastAsia="宋体"/>
                      <w:caps w:val="0"/>
                      <w:color w:val="auto"/>
                      <w:szCs w:val="21"/>
                      <w:highlight w:val="none"/>
                    </w:rPr>
                    <w:t>（无量纲）</w:t>
                  </w:r>
                </w:p>
              </w:tc>
              <w:tc>
                <w:tcPr>
                  <w:tcW w:w="998" w:type="pct"/>
                  <w:tcBorders>
                    <w:tl2br w:val="nil"/>
                    <w:tr2bl w:val="nil"/>
                  </w:tcBorders>
                  <w:vAlign w:val="center"/>
                </w:tcPr>
                <w:p w14:paraId="2CD0E9B5">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7.2</w:t>
                  </w:r>
                </w:p>
              </w:tc>
              <w:tc>
                <w:tcPr>
                  <w:tcW w:w="999" w:type="pct"/>
                  <w:tcBorders>
                    <w:tl2br w:val="nil"/>
                    <w:tr2bl w:val="nil"/>
                  </w:tcBorders>
                  <w:vAlign w:val="center"/>
                </w:tcPr>
                <w:p w14:paraId="36F176E5">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7.3</w:t>
                  </w:r>
                </w:p>
              </w:tc>
              <w:tc>
                <w:tcPr>
                  <w:tcW w:w="999" w:type="pct"/>
                  <w:tcBorders>
                    <w:tl2br w:val="nil"/>
                    <w:tr2bl w:val="nil"/>
                  </w:tcBorders>
                  <w:vAlign w:val="center"/>
                </w:tcPr>
                <w:p w14:paraId="0994F972">
                  <w:pPr>
                    <w:spacing w:line="276" w:lineRule="auto"/>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7.</w:t>
                  </w:r>
                  <w:r>
                    <w:rPr>
                      <w:rFonts w:hint="eastAsia"/>
                      <w:caps w:val="0"/>
                      <w:color w:val="auto"/>
                      <w:szCs w:val="21"/>
                      <w:highlight w:val="none"/>
                      <w:lang w:val="en-US" w:eastAsia="zh-CN"/>
                    </w:rPr>
                    <w:t>1</w:t>
                  </w:r>
                </w:p>
              </w:tc>
              <w:tc>
                <w:tcPr>
                  <w:tcW w:w="1003" w:type="pct"/>
                  <w:tcBorders>
                    <w:tl2br w:val="nil"/>
                    <w:tr2bl w:val="nil"/>
                  </w:tcBorders>
                  <w:vAlign w:val="center"/>
                </w:tcPr>
                <w:p w14:paraId="23F55048">
                  <w:pPr>
                    <w:spacing w:line="276" w:lineRule="auto"/>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7.</w:t>
                  </w:r>
                  <w:r>
                    <w:rPr>
                      <w:rFonts w:hint="eastAsia"/>
                      <w:caps w:val="0"/>
                      <w:color w:val="auto"/>
                      <w:szCs w:val="21"/>
                      <w:highlight w:val="none"/>
                      <w:lang w:val="en-US" w:eastAsia="zh-CN"/>
                    </w:rPr>
                    <w:t>2</w:t>
                  </w:r>
                </w:p>
              </w:tc>
            </w:tr>
            <w:tr w14:paraId="497F4B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612D10FD">
                  <w:pPr>
                    <w:spacing w:line="276" w:lineRule="auto"/>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化学需氧量</w:t>
                  </w:r>
                  <w:r>
                    <w:rPr>
                      <w:rFonts w:hint="eastAsia"/>
                      <w:caps w:val="0"/>
                      <w:color w:val="auto"/>
                      <w:szCs w:val="21"/>
                      <w:highlight w:val="none"/>
                      <w:lang w:eastAsia="zh-CN"/>
                    </w:rPr>
                    <w:t>（</w:t>
                  </w:r>
                  <w:r>
                    <w:rPr>
                      <w:rFonts w:ascii="Times New Roman" w:hAnsi="Times New Roman" w:eastAsia="宋体"/>
                      <w:caps w:val="0"/>
                      <w:color w:val="auto"/>
                      <w:szCs w:val="21"/>
                      <w:highlight w:val="none"/>
                    </w:rPr>
                    <w:t>mg/L</w:t>
                  </w:r>
                  <w:r>
                    <w:rPr>
                      <w:rFonts w:hint="eastAsia"/>
                      <w:caps w:val="0"/>
                      <w:color w:val="auto"/>
                      <w:szCs w:val="21"/>
                      <w:highlight w:val="none"/>
                      <w:lang w:eastAsia="zh-CN"/>
                    </w:rPr>
                    <w:t>）</w:t>
                  </w:r>
                </w:p>
              </w:tc>
              <w:tc>
                <w:tcPr>
                  <w:tcW w:w="998" w:type="pct"/>
                  <w:tcBorders>
                    <w:tl2br w:val="nil"/>
                    <w:tr2bl w:val="nil"/>
                  </w:tcBorders>
                  <w:vAlign w:val="center"/>
                </w:tcPr>
                <w:p w14:paraId="3DF967BE">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88</w:t>
                  </w:r>
                </w:p>
              </w:tc>
              <w:tc>
                <w:tcPr>
                  <w:tcW w:w="999" w:type="pct"/>
                  <w:tcBorders>
                    <w:tl2br w:val="nil"/>
                    <w:tr2bl w:val="nil"/>
                  </w:tcBorders>
                  <w:vAlign w:val="center"/>
                </w:tcPr>
                <w:p w14:paraId="27EF7A28">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96</w:t>
                  </w:r>
                </w:p>
              </w:tc>
              <w:tc>
                <w:tcPr>
                  <w:tcW w:w="999" w:type="pct"/>
                  <w:tcBorders>
                    <w:tl2br w:val="nil"/>
                    <w:tr2bl w:val="nil"/>
                  </w:tcBorders>
                  <w:vAlign w:val="center"/>
                </w:tcPr>
                <w:p w14:paraId="3F52A634">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91</w:t>
                  </w:r>
                </w:p>
              </w:tc>
              <w:tc>
                <w:tcPr>
                  <w:tcW w:w="1003" w:type="pct"/>
                  <w:tcBorders>
                    <w:tl2br w:val="nil"/>
                    <w:tr2bl w:val="nil"/>
                  </w:tcBorders>
                  <w:vAlign w:val="center"/>
                </w:tcPr>
                <w:p w14:paraId="53A007B0">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83</w:t>
                  </w:r>
                </w:p>
              </w:tc>
            </w:tr>
            <w:tr w14:paraId="4088DE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5D5C024C">
                  <w:pPr>
                    <w:spacing w:line="276" w:lineRule="auto"/>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悬浮物</w:t>
                  </w:r>
                  <w:r>
                    <w:rPr>
                      <w:rFonts w:hint="eastAsia"/>
                      <w:caps w:val="0"/>
                      <w:color w:val="auto"/>
                      <w:szCs w:val="21"/>
                      <w:highlight w:val="none"/>
                      <w:lang w:eastAsia="zh-CN"/>
                    </w:rPr>
                    <w:t>（</w:t>
                  </w:r>
                  <w:r>
                    <w:rPr>
                      <w:rFonts w:ascii="Times New Roman" w:hAnsi="Times New Roman" w:eastAsia="宋体"/>
                      <w:caps w:val="0"/>
                      <w:color w:val="auto"/>
                      <w:szCs w:val="21"/>
                      <w:highlight w:val="none"/>
                    </w:rPr>
                    <w:t>mg/L</w:t>
                  </w:r>
                  <w:r>
                    <w:rPr>
                      <w:rFonts w:hint="eastAsia"/>
                      <w:caps w:val="0"/>
                      <w:color w:val="auto"/>
                      <w:szCs w:val="21"/>
                      <w:highlight w:val="none"/>
                      <w:lang w:eastAsia="zh-CN"/>
                    </w:rPr>
                    <w:t>）</w:t>
                  </w:r>
                </w:p>
              </w:tc>
              <w:tc>
                <w:tcPr>
                  <w:tcW w:w="998" w:type="pct"/>
                  <w:tcBorders>
                    <w:tl2br w:val="nil"/>
                    <w:tr2bl w:val="nil"/>
                  </w:tcBorders>
                  <w:vAlign w:val="center"/>
                </w:tcPr>
                <w:p w14:paraId="29F55228">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33</w:t>
                  </w:r>
                </w:p>
              </w:tc>
              <w:tc>
                <w:tcPr>
                  <w:tcW w:w="999" w:type="pct"/>
                  <w:tcBorders>
                    <w:tl2br w:val="nil"/>
                    <w:tr2bl w:val="nil"/>
                  </w:tcBorders>
                  <w:vAlign w:val="center"/>
                </w:tcPr>
                <w:p w14:paraId="45EE371A">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36</w:t>
                  </w:r>
                </w:p>
              </w:tc>
              <w:tc>
                <w:tcPr>
                  <w:tcW w:w="999" w:type="pct"/>
                  <w:tcBorders>
                    <w:tl2br w:val="nil"/>
                    <w:tr2bl w:val="nil"/>
                  </w:tcBorders>
                  <w:vAlign w:val="center"/>
                </w:tcPr>
                <w:p w14:paraId="2A6FC26A">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34</w:t>
                  </w:r>
                </w:p>
              </w:tc>
              <w:tc>
                <w:tcPr>
                  <w:tcW w:w="1003" w:type="pct"/>
                  <w:tcBorders>
                    <w:tl2br w:val="nil"/>
                    <w:tr2bl w:val="nil"/>
                  </w:tcBorders>
                  <w:vAlign w:val="center"/>
                </w:tcPr>
                <w:p w14:paraId="596A49CD">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37</w:t>
                  </w:r>
                </w:p>
              </w:tc>
            </w:tr>
            <w:tr w14:paraId="07C144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11965011">
                  <w:pPr>
                    <w:spacing w:line="276" w:lineRule="auto"/>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氨氮</w:t>
                  </w:r>
                  <w:r>
                    <w:rPr>
                      <w:rFonts w:hint="eastAsia"/>
                      <w:caps w:val="0"/>
                      <w:color w:val="auto"/>
                      <w:szCs w:val="21"/>
                      <w:highlight w:val="none"/>
                      <w:lang w:eastAsia="zh-CN"/>
                    </w:rPr>
                    <w:t>（</w:t>
                  </w:r>
                  <w:r>
                    <w:rPr>
                      <w:rFonts w:ascii="Times New Roman" w:hAnsi="Times New Roman" w:eastAsia="宋体"/>
                      <w:caps w:val="0"/>
                      <w:color w:val="auto"/>
                      <w:szCs w:val="21"/>
                      <w:highlight w:val="none"/>
                    </w:rPr>
                    <w:t>mg/L</w:t>
                  </w:r>
                  <w:r>
                    <w:rPr>
                      <w:rFonts w:hint="eastAsia"/>
                      <w:caps w:val="0"/>
                      <w:color w:val="auto"/>
                      <w:szCs w:val="21"/>
                      <w:highlight w:val="none"/>
                      <w:lang w:eastAsia="zh-CN"/>
                    </w:rPr>
                    <w:t>）</w:t>
                  </w:r>
                </w:p>
              </w:tc>
              <w:tc>
                <w:tcPr>
                  <w:tcW w:w="998" w:type="pct"/>
                  <w:tcBorders>
                    <w:tl2br w:val="nil"/>
                    <w:tr2bl w:val="nil"/>
                  </w:tcBorders>
                  <w:vAlign w:val="center"/>
                </w:tcPr>
                <w:p w14:paraId="0E698A1D">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8.28</w:t>
                  </w:r>
                </w:p>
              </w:tc>
              <w:tc>
                <w:tcPr>
                  <w:tcW w:w="999" w:type="pct"/>
                  <w:tcBorders>
                    <w:tl2br w:val="nil"/>
                    <w:tr2bl w:val="nil"/>
                  </w:tcBorders>
                  <w:vAlign w:val="center"/>
                </w:tcPr>
                <w:p w14:paraId="5EC110EA">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7.97</w:t>
                  </w:r>
                </w:p>
              </w:tc>
              <w:tc>
                <w:tcPr>
                  <w:tcW w:w="999" w:type="pct"/>
                  <w:tcBorders>
                    <w:tl2br w:val="nil"/>
                    <w:tr2bl w:val="nil"/>
                  </w:tcBorders>
                  <w:vAlign w:val="center"/>
                </w:tcPr>
                <w:p w14:paraId="6A8FDCDD">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8.69</w:t>
                  </w:r>
                </w:p>
              </w:tc>
              <w:tc>
                <w:tcPr>
                  <w:tcW w:w="1003" w:type="pct"/>
                  <w:tcBorders>
                    <w:tl2br w:val="nil"/>
                    <w:tr2bl w:val="nil"/>
                  </w:tcBorders>
                  <w:vAlign w:val="center"/>
                </w:tcPr>
                <w:p w14:paraId="0B3C1B40">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8.27</w:t>
                  </w:r>
                </w:p>
              </w:tc>
            </w:tr>
            <w:tr w14:paraId="188486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6AD00648">
                  <w:pPr>
                    <w:spacing w:line="276" w:lineRule="auto"/>
                    <w:jc w:val="center"/>
                    <w:rPr>
                      <w:rFonts w:hint="eastAsia" w:ascii="Times New Roman" w:hAnsi="Times New Roman" w:eastAsia="宋体"/>
                      <w:caps w:val="0"/>
                      <w:color w:val="auto"/>
                      <w:szCs w:val="21"/>
                      <w:highlight w:val="none"/>
                      <w:lang w:eastAsia="zh-CN"/>
                    </w:rPr>
                  </w:pPr>
                  <w:r>
                    <w:rPr>
                      <w:rFonts w:hint="eastAsia"/>
                      <w:caps w:val="0"/>
                      <w:color w:val="auto"/>
                      <w:szCs w:val="21"/>
                      <w:highlight w:val="none"/>
                      <w:lang w:val="en-US" w:eastAsia="zh-CN"/>
                    </w:rPr>
                    <w:t>五日</w:t>
                  </w:r>
                  <w:r>
                    <w:rPr>
                      <w:rFonts w:ascii="Times New Roman" w:hAnsi="Times New Roman" w:eastAsia="宋体"/>
                      <w:caps w:val="0"/>
                      <w:color w:val="auto"/>
                      <w:szCs w:val="21"/>
                      <w:highlight w:val="none"/>
                    </w:rPr>
                    <w:t>生化需氧量</w:t>
                  </w:r>
                  <w:r>
                    <w:rPr>
                      <w:rFonts w:hint="eastAsia"/>
                      <w:caps w:val="0"/>
                      <w:color w:val="auto"/>
                      <w:szCs w:val="21"/>
                      <w:highlight w:val="none"/>
                      <w:lang w:eastAsia="zh-CN"/>
                    </w:rPr>
                    <w:t>（</w:t>
                  </w:r>
                  <w:r>
                    <w:rPr>
                      <w:rFonts w:ascii="Times New Roman" w:hAnsi="Times New Roman" w:eastAsia="宋体"/>
                      <w:caps w:val="0"/>
                      <w:color w:val="auto"/>
                      <w:szCs w:val="21"/>
                      <w:highlight w:val="none"/>
                    </w:rPr>
                    <w:t>mg/L</w:t>
                  </w:r>
                  <w:r>
                    <w:rPr>
                      <w:rFonts w:hint="eastAsia"/>
                      <w:caps w:val="0"/>
                      <w:color w:val="auto"/>
                      <w:szCs w:val="21"/>
                      <w:highlight w:val="none"/>
                      <w:lang w:eastAsia="zh-CN"/>
                    </w:rPr>
                    <w:t>）</w:t>
                  </w:r>
                </w:p>
              </w:tc>
              <w:tc>
                <w:tcPr>
                  <w:tcW w:w="998" w:type="pct"/>
                  <w:tcBorders>
                    <w:tl2br w:val="nil"/>
                    <w:tr2bl w:val="nil"/>
                  </w:tcBorders>
                  <w:vAlign w:val="center"/>
                </w:tcPr>
                <w:p w14:paraId="5CFC63DF">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34</w:t>
                  </w:r>
                </w:p>
              </w:tc>
              <w:tc>
                <w:tcPr>
                  <w:tcW w:w="999" w:type="pct"/>
                  <w:tcBorders>
                    <w:tl2br w:val="nil"/>
                    <w:tr2bl w:val="nil"/>
                  </w:tcBorders>
                  <w:vAlign w:val="center"/>
                </w:tcPr>
                <w:p w14:paraId="46BA74E7">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37.2</w:t>
                  </w:r>
                </w:p>
              </w:tc>
              <w:tc>
                <w:tcPr>
                  <w:tcW w:w="999" w:type="pct"/>
                  <w:tcBorders>
                    <w:tl2br w:val="nil"/>
                    <w:tr2bl w:val="nil"/>
                  </w:tcBorders>
                  <w:vAlign w:val="center"/>
                </w:tcPr>
                <w:p w14:paraId="0CEE1879">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34.3</w:t>
                  </w:r>
                </w:p>
              </w:tc>
              <w:tc>
                <w:tcPr>
                  <w:tcW w:w="1003" w:type="pct"/>
                  <w:tcBorders>
                    <w:tl2br w:val="nil"/>
                    <w:tr2bl w:val="nil"/>
                  </w:tcBorders>
                  <w:vAlign w:val="center"/>
                </w:tcPr>
                <w:p w14:paraId="73D473D9">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32.4</w:t>
                  </w:r>
                </w:p>
              </w:tc>
            </w:tr>
            <w:tr w14:paraId="087FB2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0A12AAC5">
                  <w:pPr>
                    <w:spacing w:line="276" w:lineRule="auto"/>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动植物油</w:t>
                  </w:r>
                  <w:r>
                    <w:rPr>
                      <w:rFonts w:hint="eastAsia"/>
                      <w:caps w:val="0"/>
                      <w:color w:val="auto"/>
                      <w:szCs w:val="21"/>
                      <w:highlight w:val="none"/>
                      <w:lang w:eastAsia="zh-CN"/>
                    </w:rPr>
                    <w:t>（</w:t>
                  </w:r>
                  <w:r>
                    <w:rPr>
                      <w:rFonts w:ascii="Times New Roman" w:hAnsi="Times New Roman" w:eastAsia="宋体"/>
                      <w:caps w:val="0"/>
                      <w:color w:val="auto"/>
                      <w:szCs w:val="21"/>
                      <w:highlight w:val="none"/>
                    </w:rPr>
                    <w:t>mg/L</w:t>
                  </w:r>
                  <w:r>
                    <w:rPr>
                      <w:rFonts w:hint="eastAsia"/>
                      <w:caps w:val="0"/>
                      <w:color w:val="auto"/>
                      <w:szCs w:val="21"/>
                      <w:highlight w:val="none"/>
                      <w:lang w:eastAsia="zh-CN"/>
                    </w:rPr>
                    <w:t>）</w:t>
                  </w:r>
                </w:p>
              </w:tc>
              <w:tc>
                <w:tcPr>
                  <w:tcW w:w="998" w:type="pct"/>
                  <w:tcBorders>
                    <w:tl2br w:val="nil"/>
                    <w:tr2bl w:val="nil"/>
                  </w:tcBorders>
                  <w:vAlign w:val="center"/>
                </w:tcPr>
                <w:p w14:paraId="60526385">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4.32</w:t>
                  </w:r>
                </w:p>
              </w:tc>
              <w:tc>
                <w:tcPr>
                  <w:tcW w:w="999" w:type="pct"/>
                  <w:tcBorders>
                    <w:tl2br w:val="nil"/>
                    <w:tr2bl w:val="nil"/>
                  </w:tcBorders>
                  <w:vAlign w:val="center"/>
                </w:tcPr>
                <w:p w14:paraId="612936C1">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4.34</w:t>
                  </w:r>
                </w:p>
              </w:tc>
              <w:tc>
                <w:tcPr>
                  <w:tcW w:w="999" w:type="pct"/>
                  <w:tcBorders>
                    <w:tl2br w:val="nil"/>
                    <w:tr2bl w:val="nil"/>
                  </w:tcBorders>
                  <w:vAlign w:val="center"/>
                </w:tcPr>
                <w:p w14:paraId="7CCA425B">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4.21</w:t>
                  </w:r>
                </w:p>
              </w:tc>
              <w:tc>
                <w:tcPr>
                  <w:tcW w:w="1003" w:type="pct"/>
                  <w:tcBorders>
                    <w:tl2br w:val="nil"/>
                    <w:tr2bl w:val="nil"/>
                  </w:tcBorders>
                  <w:vAlign w:val="center"/>
                </w:tcPr>
                <w:p w14:paraId="16634A86">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4.25</w:t>
                  </w:r>
                </w:p>
              </w:tc>
            </w:tr>
          </w:tbl>
          <w:p w14:paraId="63FD897A">
            <w:pPr>
              <w:widowControl/>
              <w:jc w:val="center"/>
              <w:rPr>
                <w:rFonts w:ascii="Times New Roman" w:hAnsi="Times New Roman" w:eastAsia="宋体" w:cs="宋体"/>
                <w:b/>
                <w:caps w:val="0"/>
                <w:color w:val="auto"/>
                <w:highlight w:val="none"/>
              </w:rPr>
            </w:pPr>
            <w:r>
              <w:rPr>
                <w:rFonts w:ascii="Times New Roman" w:hAnsi="Times New Roman" w:eastAsia="宋体"/>
                <w:b/>
                <w:bCs/>
                <w:caps w:val="0"/>
                <w:color w:val="auto"/>
                <w:spacing w:val="-2"/>
                <w:sz w:val="24"/>
                <w:highlight w:val="none"/>
              </w:rPr>
              <w:t>表2-</w:t>
            </w:r>
            <w:r>
              <w:rPr>
                <w:rFonts w:hint="eastAsia"/>
                <w:b/>
                <w:bCs/>
                <w:caps w:val="0"/>
                <w:color w:val="auto"/>
                <w:spacing w:val="-2"/>
                <w:sz w:val="24"/>
                <w:highlight w:val="none"/>
                <w:lang w:val="en-US" w:eastAsia="zh-CN"/>
              </w:rPr>
              <w:t>17</w:t>
            </w:r>
            <w:r>
              <w:rPr>
                <w:rFonts w:ascii="Times New Roman" w:hAnsi="Times New Roman" w:eastAsia="宋体"/>
                <w:b/>
                <w:bCs/>
                <w:caps w:val="0"/>
                <w:color w:val="auto"/>
                <w:spacing w:val="-2"/>
                <w:sz w:val="24"/>
                <w:highlight w:val="none"/>
              </w:rPr>
              <w:t xml:space="preserve"> </w:t>
            </w:r>
            <w:r>
              <w:rPr>
                <w:rFonts w:ascii="Times New Roman" w:hAnsi="Times New Roman" w:eastAsia="宋体"/>
                <w:b/>
                <w:caps w:val="0"/>
                <w:color w:val="auto"/>
                <w:kern w:val="0"/>
                <w:sz w:val="24"/>
                <w:highlight w:val="none"/>
              </w:rPr>
              <w:t>现有项目</w:t>
            </w:r>
            <w:r>
              <w:rPr>
                <w:rFonts w:hint="eastAsia" w:ascii="Times New Roman" w:hAnsi="Times New Roman" w:eastAsia="宋体"/>
                <w:b/>
                <w:bCs/>
                <w:caps w:val="0"/>
                <w:color w:val="auto"/>
                <w:spacing w:val="-2"/>
                <w:sz w:val="24"/>
                <w:highlight w:val="none"/>
              </w:rPr>
              <w:t>废水</w:t>
            </w:r>
            <w:r>
              <w:rPr>
                <w:rFonts w:ascii="Times New Roman" w:hAnsi="Times New Roman" w:eastAsia="宋体"/>
                <w:b/>
                <w:bCs/>
                <w:caps w:val="0"/>
                <w:color w:val="auto"/>
                <w:spacing w:val="-2"/>
                <w:sz w:val="24"/>
                <w:highlight w:val="none"/>
              </w:rPr>
              <w:t>监测结果一览表</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575"/>
              <w:gridCol w:w="1576"/>
              <w:gridCol w:w="1576"/>
              <w:gridCol w:w="1582"/>
            </w:tblGrid>
            <w:tr w14:paraId="17489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998" w:type="pct"/>
                  <w:tcBorders>
                    <w:tl2br w:val="nil"/>
                    <w:tr2bl w:val="nil"/>
                  </w:tcBorders>
                  <w:vAlign w:val="center"/>
                </w:tcPr>
                <w:p w14:paraId="5047F2FD">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监测点位</w:t>
                  </w:r>
                </w:p>
              </w:tc>
              <w:tc>
                <w:tcPr>
                  <w:tcW w:w="4001" w:type="pct"/>
                  <w:gridSpan w:val="4"/>
                  <w:tcBorders>
                    <w:tl2br w:val="nil"/>
                    <w:tr2bl w:val="nil"/>
                  </w:tcBorders>
                  <w:vAlign w:val="center"/>
                </w:tcPr>
                <w:p w14:paraId="67F87C66">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废水总排口</w:t>
                  </w:r>
                </w:p>
              </w:tc>
            </w:tr>
            <w:tr w14:paraId="5081BF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998" w:type="pct"/>
                  <w:tcBorders>
                    <w:tl2br w:val="nil"/>
                    <w:tr2bl w:val="nil"/>
                  </w:tcBorders>
                  <w:vAlign w:val="center"/>
                </w:tcPr>
                <w:p w14:paraId="7EFF8C9C">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样品序号</w:t>
                  </w:r>
                </w:p>
              </w:tc>
              <w:tc>
                <w:tcPr>
                  <w:tcW w:w="998" w:type="pct"/>
                  <w:tcBorders>
                    <w:tl2br w:val="nil"/>
                    <w:tr2bl w:val="nil"/>
                  </w:tcBorders>
                  <w:vAlign w:val="center"/>
                </w:tcPr>
                <w:p w14:paraId="03C754F6">
                  <w:pPr>
                    <w:spacing w:line="276" w:lineRule="auto"/>
                    <w:jc w:val="center"/>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1</w:t>
                  </w:r>
                </w:p>
              </w:tc>
              <w:tc>
                <w:tcPr>
                  <w:tcW w:w="999" w:type="pct"/>
                  <w:tcBorders>
                    <w:tl2br w:val="nil"/>
                    <w:tr2bl w:val="nil"/>
                  </w:tcBorders>
                  <w:vAlign w:val="center"/>
                </w:tcPr>
                <w:p w14:paraId="1854CE06">
                  <w:pPr>
                    <w:spacing w:line="276" w:lineRule="auto"/>
                    <w:jc w:val="center"/>
                    <w:rPr>
                      <w:rFonts w:hint="eastAsia" w:ascii="Times New Roman" w:hAnsi="Times New Roman" w:eastAsia="宋体"/>
                      <w:caps w:val="0"/>
                      <w:color w:val="auto"/>
                      <w:szCs w:val="21"/>
                      <w:highlight w:val="none"/>
                      <w:lang w:eastAsia="zh-CN"/>
                    </w:rPr>
                  </w:pPr>
                  <w:r>
                    <w:rPr>
                      <w:rFonts w:hint="eastAsia"/>
                      <w:caps w:val="0"/>
                      <w:color w:val="auto"/>
                      <w:szCs w:val="21"/>
                      <w:highlight w:val="none"/>
                      <w:lang w:val="en-US" w:eastAsia="zh-CN"/>
                    </w:rPr>
                    <w:t>2</w:t>
                  </w:r>
                </w:p>
              </w:tc>
              <w:tc>
                <w:tcPr>
                  <w:tcW w:w="999" w:type="pct"/>
                  <w:tcBorders>
                    <w:tl2br w:val="nil"/>
                    <w:tr2bl w:val="nil"/>
                  </w:tcBorders>
                  <w:vAlign w:val="center"/>
                </w:tcPr>
                <w:p w14:paraId="790A2B1C">
                  <w:pPr>
                    <w:spacing w:line="276" w:lineRule="auto"/>
                    <w:jc w:val="center"/>
                    <w:rPr>
                      <w:rFonts w:hint="eastAsia" w:ascii="Times New Roman" w:hAnsi="Times New Roman" w:eastAsia="宋体"/>
                      <w:caps w:val="0"/>
                      <w:color w:val="auto"/>
                      <w:szCs w:val="21"/>
                      <w:highlight w:val="none"/>
                      <w:lang w:eastAsia="zh-CN"/>
                    </w:rPr>
                  </w:pPr>
                  <w:r>
                    <w:rPr>
                      <w:rFonts w:hint="eastAsia"/>
                      <w:caps w:val="0"/>
                      <w:color w:val="auto"/>
                      <w:szCs w:val="21"/>
                      <w:highlight w:val="none"/>
                      <w:lang w:val="en-US" w:eastAsia="zh-CN"/>
                    </w:rPr>
                    <w:t>3</w:t>
                  </w:r>
                </w:p>
              </w:tc>
              <w:tc>
                <w:tcPr>
                  <w:tcW w:w="1003" w:type="pct"/>
                  <w:tcBorders>
                    <w:tl2br w:val="nil"/>
                    <w:tr2bl w:val="nil"/>
                  </w:tcBorders>
                  <w:vAlign w:val="center"/>
                </w:tcPr>
                <w:p w14:paraId="5FF65DED">
                  <w:pPr>
                    <w:spacing w:line="276" w:lineRule="auto"/>
                    <w:jc w:val="center"/>
                    <w:rPr>
                      <w:rFonts w:hint="eastAsia" w:ascii="Times New Roman" w:hAnsi="Times New Roman" w:eastAsia="宋体"/>
                      <w:caps w:val="0"/>
                      <w:color w:val="auto"/>
                      <w:szCs w:val="21"/>
                      <w:highlight w:val="none"/>
                      <w:lang w:eastAsia="zh-CN"/>
                    </w:rPr>
                  </w:pPr>
                  <w:r>
                    <w:rPr>
                      <w:rFonts w:hint="eastAsia"/>
                      <w:caps w:val="0"/>
                      <w:color w:val="auto"/>
                      <w:szCs w:val="21"/>
                      <w:highlight w:val="none"/>
                      <w:lang w:val="en-US" w:eastAsia="zh-CN"/>
                    </w:rPr>
                    <w:t>4</w:t>
                  </w:r>
                </w:p>
              </w:tc>
            </w:tr>
            <w:tr w14:paraId="3AF733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5000" w:type="pct"/>
                  <w:gridSpan w:val="5"/>
                  <w:tcBorders>
                    <w:tl2br w:val="nil"/>
                    <w:tr2bl w:val="nil"/>
                  </w:tcBorders>
                  <w:vAlign w:val="center"/>
                </w:tcPr>
                <w:p w14:paraId="24988D9E">
                  <w:pPr>
                    <w:spacing w:line="276" w:lineRule="auto"/>
                    <w:jc w:val="both"/>
                    <w:rPr>
                      <w:rFonts w:hint="default" w:ascii="Times New Roman" w:hAnsi="Times New Roman" w:eastAsia="宋体"/>
                      <w:caps w:val="0"/>
                      <w:color w:val="auto"/>
                      <w:szCs w:val="21"/>
                      <w:highlight w:val="none"/>
                      <w:lang w:val="en-US" w:eastAsia="zh-CN"/>
                    </w:rPr>
                  </w:pPr>
                  <w:r>
                    <w:rPr>
                      <w:rFonts w:hint="eastAsia"/>
                      <w:caps w:val="0"/>
                      <w:color w:val="auto"/>
                      <w:szCs w:val="21"/>
                      <w:highlight w:val="none"/>
                      <w:lang w:val="en-US" w:eastAsia="zh-CN"/>
                    </w:rPr>
                    <w:t>监测日期：2023年6月3日</w:t>
                  </w:r>
                </w:p>
              </w:tc>
            </w:tr>
            <w:tr w14:paraId="210757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3A5B1AB9">
                  <w:pPr>
                    <w:spacing w:line="276" w:lineRule="auto"/>
                    <w:jc w:val="center"/>
                    <w:rPr>
                      <w:rFonts w:ascii="Times New Roman" w:hAnsi="Times New Roman" w:eastAsia="宋体"/>
                      <w:caps w:val="0"/>
                      <w:color w:val="auto"/>
                      <w:szCs w:val="21"/>
                      <w:highlight w:val="none"/>
                    </w:rPr>
                  </w:pPr>
                  <w:r>
                    <w:rPr>
                      <w:rFonts w:ascii="Times New Roman" w:hAnsi="Times New Roman" w:eastAsia="宋体"/>
                      <w:caps w:val="0"/>
                      <w:color w:val="auto"/>
                      <w:szCs w:val="21"/>
                      <w:highlight w:val="none"/>
                    </w:rPr>
                    <w:t>pH值</w:t>
                  </w:r>
                  <w:r>
                    <w:rPr>
                      <w:rFonts w:ascii="Times New Roman" w:hAnsi="Times New Roman" w:eastAsia="宋体"/>
                      <w:caps w:val="0"/>
                      <w:color w:val="auto"/>
                      <w:szCs w:val="21"/>
                      <w:highlight w:val="none"/>
                      <w:vertAlign w:val="superscript"/>
                    </w:rPr>
                    <w:t>*</w:t>
                  </w:r>
                  <w:r>
                    <w:rPr>
                      <w:rFonts w:ascii="Times New Roman" w:hAnsi="Times New Roman" w:eastAsia="宋体"/>
                      <w:caps w:val="0"/>
                      <w:color w:val="auto"/>
                      <w:szCs w:val="21"/>
                      <w:highlight w:val="none"/>
                    </w:rPr>
                    <w:t>（无量纲）</w:t>
                  </w:r>
                </w:p>
              </w:tc>
              <w:tc>
                <w:tcPr>
                  <w:tcW w:w="998" w:type="pct"/>
                  <w:tcBorders>
                    <w:tl2br w:val="nil"/>
                    <w:tr2bl w:val="nil"/>
                  </w:tcBorders>
                  <w:vAlign w:val="center"/>
                </w:tcPr>
                <w:p w14:paraId="4A2E60F0">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7.1</w:t>
                  </w:r>
                </w:p>
              </w:tc>
              <w:tc>
                <w:tcPr>
                  <w:tcW w:w="999" w:type="pct"/>
                  <w:tcBorders>
                    <w:tl2br w:val="nil"/>
                    <w:tr2bl w:val="nil"/>
                  </w:tcBorders>
                  <w:vAlign w:val="center"/>
                </w:tcPr>
                <w:p w14:paraId="34A0C454">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6.9</w:t>
                  </w:r>
                </w:p>
              </w:tc>
              <w:tc>
                <w:tcPr>
                  <w:tcW w:w="999" w:type="pct"/>
                  <w:tcBorders>
                    <w:tl2br w:val="nil"/>
                    <w:tr2bl w:val="nil"/>
                  </w:tcBorders>
                  <w:vAlign w:val="center"/>
                </w:tcPr>
                <w:p w14:paraId="141C9DDD">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7.1</w:t>
                  </w:r>
                </w:p>
              </w:tc>
              <w:tc>
                <w:tcPr>
                  <w:tcW w:w="1003" w:type="pct"/>
                  <w:tcBorders>
                    <w:tl2br w:val="nil"/>
                    <w:tr2bl w:val="nil"/>
                  </w:tcBorders>
                  <w:vAlign w:val="center"/>
                </w:tcPr>
                <w:p w14:paraId="2AFE0FBF">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7.0</w:t>
                  </w:r>
                </w:p>
              </w:tc>
            </w:tr>
            <w:tr w14:paraId="5C408E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61004324">
                  <w:pPr>
                    <w:spacing w:line="276" w:lineRule="auto"/>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化学需氧量</w:t>
                  </w:r>
                  <w:r>
                    <w:rPr>
                      <w:rFonts w:hint="eastAsia"/>
                      <w:caps w:val="0"/>
                      <w:color w:val="auto"/>
                      <w:szCs w:val="21"/>
                      <w:highlight w:val="none"/>
                      <w:lang w:eastAsia="zh-CN"/>
                    </w:rPr>
                    <w:t>（</w:t>
                  </w:r>
                  <w:r>
                    <w:rPr>
                      <w:rFonts w:ascii="Times New Roman" w:hAnsi="Times New Roman" w:eastAsia="宋体"/>
                      <w:caps w:val="0"/>
                      <w:color w:val="auto"/>
                      <w:szCs w:val="21"/>
                      <w:highlight w:val="none"/>
                    </w:rPr>
                    <w:t>mg/L</w:t>
                  </w:r>
                  <w:r>
                    <w:rPr>
                      <w:rFonts w:hint="eastAsia"/>
                      <w:caps w:val="0"/>
                      <w:color w:val="auto"/>
                      <w:szCs w:val="21"/>
                      <w:highlight w:val="none"/>
                      <w:lang w:eastAsia="zh-CN"/>
                    </w:rPr>
                    <w:t>）</w:t>
                  </w:r>
                </w:p>
              </w:tc>
              <w:tc>
                <w:tcPr>
                  <w:tcW w:w="998" w:type="pct"/>
                  <w:tcBorders>
                    <w:tl2br w:val="nil"/>
                    <w:tr2bl w:val="nil"/>
                  </w:tcBorders>
                  <w:vAlign w:val="center"/>
                </w:tcPr>
                <w:p w14:paraId="20101A48">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99</w:t>
                  </w:r>
                </w:p>
              </w:tc>
              <w:tc>
                <w:tcPr>
                  <w:tcW w:w="999" w:type="pct"/>
                  <w:tcBorders>
                    <w:tl2br w:val="nil"/>
                    <w:tr2bl w:val="nil"/>
                  </w:tcBorders>
                  <w:vAlign w:val="center"/>
                </w:tcPr>
                <w:p w14:paraId="3AE5DE74">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82</w:t>
                  </w:r>
                </w:p>
              </w:tc>
              <w:tc>
                <w:tcPr>
                  <w:tcW w:w="999" w:type="pct"/>
                  <w:tcBorders>
                    <w:tl2br w:val="nil"/>
                    <w:tr2bl w:val="nil"/>
                  </w:tcBorders>
                  <w:vAlign w:val="center"/>
                </w:tcPr>
                <w:p w14:paraId="420F9235">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85</w:t>
                  </w:r>
                </w:p>
              </w:tc>
              <w:tc>
                <w:tcPr>
                  <w:tcW w:w="1003" w:type="pct"/>
                  <w:tcBorders>
                    <w:tl2br w:val="nil"/>
                    <w:tr2bl w:val="nil"/>
                  </w:tcBorders>
                  <w:vAlign w:val="center"/>
                </w:tcPr>
                <w:p w14:paraId="36839A3C">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95</w:t>
                  </w:r>
                </w:p>
              </w:tc>
            </w:tr>
            <w:tr w14:paraId="55EA5C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5741DF45">
                  <w:pPr>
                    <w:spacing w:line="276" w:lineRule="auto"/>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悬浮物</w:t>
                  </w:r>
                  <w:r>
                    <w:rPr>
                      <w:rFonts w:hint="eastAsia"/>
                      <w:caps w:val="0"/>
                      <w:color w:val="auto"/>
                      <w:szCs w:val="21"/>
                      <w:highlight w:val="none"/>
                      <w:lang w:eastAsia="zh-CN"/>
                    </w:rPr>
                    <w:t>（</w:t>
                  </w:r>
                  <w:r>
                    <w:rPr>
                      <w:rFonts w:ascii="Times New Roman" w:hAnsi="Times New Roman" w:eastAsia="宋体"/>
                      <w:caps w:val="0"/>
                      <w:color w:val="auto"/>
                      <w:szCs w:val="21"/>
                      <w:highlight w:val="none"/>
                    </w:rPr>
                    <w:t>mg/L</w:t>
                  </w:r>
                  <w:r>
                    <w:rPr>
                      <w:rFonts w:hint="eastAsia"/>
                      <w:caps w:val="0"/>
                      <w:color w:val="auto"/>
                      <w:szCs w:val="21"/>
                      <w:highlight w:val="none"/>
                      <w:lang w:eastAsia="zh-CN"/>
                    </w:rPr>
                    <w:t>）</w:t>
                  </w:r>
                </w:p>
              </w:tc>
              <w:tc>
                <w:tcPr>
                  <w:tcW w:w="998" w:type="pct"/>
                  <w:tcBorders>
                    <w:tl2br w:val="nil"/>
                    <w:tr2bl w:val="nil"/>
                  </w:tcBorders>
                  <w:vAlign w:val="center"/>
                </w:tcPr>
                <w:p w14:paraId="0A25C842">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38</w:t>
                  </w:r>
                </w:p>
              </w:tc>
              <w:tc>
                <w:tcPr>
                  <w:tcW w:w="999" w:type="pct"/>
                  <w:tcBorders>
                    <w:tl2br w:val="nil"/>
                    <w:tr2bl w:val="nil"/>
                  </w:tcBorders>
                  <w:vAlign w:val="center"/>
                </w:tcPr>
                <w:p w14:paraId="7FE0EEED">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35</w:t>
                  </w:r>
                </w:p>
              </w:tc>
              <w:tc>
                <w:tcPr>
                  <w:tcW w:w="999" w:type="pct"/>
                  <w:tcBorders>
                    <w:tl2br w:val="nil"/>
                    <w:tr2bl w:val="nil"/>
                  </w:tcBorders>
                  <w:vAlign w:val="center"/>
                </w:tcPr>
                <w:p w14:paraId="5B5EE8D7">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32</w:t>
                  </w:r>
                </w:p>
              </w:tc>
              <w:tc>
                <w:tcPr>
                  <w:tcW w:w="1003" w:type="pct"/>
                  <w:tcBorders>
                    <w:tl2br w:val="nil"/>
                    <w:tr2bl w:val="nil"/>
                  </w:tcBorders>
                  <w:vAlign w:val="center"/>
                </w:tcPr>
                <w:p w14:paraId="17D2459E">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34</w:t>
                  </w:r>
                </w:p>
              </w:tc>
            </w:tr>
            <w:tr w14:paraId="21AC3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5B52948E">
                  <w:pPr>
                    <w:spacing w:line="276" w:lineRule="auto"/>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氨氮</w:t>
                  </w:r>
                  <w:r>
                    <w:rPr>
                      <w:rFonts w:hint="eastAsia"/>
                      <w:caps w:val="0"/>
                      <w:color w:val="auto"/>
                      <w:szCs w:val="21"/>
                      <w:highlight w:val="none"/>
                      <w:lang w:eastAsia="zh-CN"/>
                    </w:rPr>
                    <w:t>（</w:t>
                  </w:r>
                  <w:r>
                    <w:rPr>
                      <w:rFonts w:ascii="Times New Roman" w:hAnsi="Times New Roman" w:eastAsia="宋体"/>
                      <w:caps w:val="0"/>
                      <w:color w:val="auto"/>
                      <w:szCs w:val="21"/>
                      <w:highlight w:val="none"/>
                    </w:rPr>
                    <w:t>mg/L</w:t>
                  </w:r>
                  <w:r>
                    <w:rPr>
                      <w:rFonts w:hint="eastAsia"/>
                      <w:caps w:val="0"/>
                      <w:color w:val="auto"/>
                      <w:szCs w:val="21"/>
                      <w:highlight w:val="none"/>
                      <w:lang w:eastAsia="zh-CN"/>
                    </w:rPr>
                    <w:t>）</w:t>
                  </w:r>
                </w:p>
              </w:tc>
              <w:tc>
                <w:tcPr>
                  <w:tcW w:w="998" w:type="pct"/>
                  <w:tcBorders>
                    <w:tl2br w:val="nil"/>
                    <w:tr2bl w:val="nil"/>
                  </w:tcBorders>
                  <w:vAlign w:val="center"/>
                </w:tcPr>
                <w:p w14:paraId="1A79A2AE">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8.11</w:t>
                  </w:r>
                </w:p>
              </w:tc>
              <w:tc>
                <w:tcPr>
                  <w:tcW w:w="999" w:type="pct"/>
                  <w:tcBorders>
                    <w:tl2br w:val="nil"/>
                    <w:tr2bl w:val="nil"/>
                  </w:tcBorders>
                  <w:vAlign w:val="center"/>
                </w:tcPr>
                <w:p w14:paraId="16A4B961">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8.88</w:t>
                  </w:r>
                </w:p>
              </w:tc>
              <w:tc>
                <w:tcPr>
                  <w:tcW w:w="999" w:type="pct"/>
                  <w:tcBorders>
                    <w:tl2br w:val="nil"/>
                    <w:tr2bl w:val="nil"/>
                  </w:tcBorders>
                  <w:vAlign w:val="center"/>
                </w:tcPr>
                <w:p w14:paraId="2D465093">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8.69</w:t>
                  </w:r>
                </w:p>
              </w:tc>
              <w:tc>
                <w:tcPr>
                  <w:tcW w:w="1003" w:type="pct"/>
                  <w:tcBorders>
                    <w:tl2br w:val="nil"/>
                    <w:tr2bl w:val="nil"/>
                  </w:tcBorders>
                  <w:vAlign w:val="center"/>
                </w:tcPr>
                <w:p w14:paraId="3637939C">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8.47</w:t>
                  </w:r>
                </w:p>
              </w:tc>
            </w:tr>
            <w:tr w14:paraId="22B01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5871EDA2">
                  <w:pPr>
                    <w:spacing w:line="276" w:lineRule="auto"/>
                    <w:jc w:val="center"/>
                    <w:rPr>
                      <w:rFonts w:hint="eastAsia" w:ascii="Times New Roman" w:hAnsi="Times New Roman" w:eastAsia="宋体"/>
                      <w:caps w:val="0"/>
                      <w:color w:val="auto"/>
                      <w:szCs w:val="21"/>
                      <w:highlight w:val="none"/>
                      <w:lang w:eastAsia="zh-CN"/>
                    </w:rPr>
                  </w:pPr>
                  <w:r>
                    <w:rPr>
                      <w:rFonts w:hint="eastAsia"/>
                      <w:caps w:val="0"/>
                      <w:color w:val="auto"/>
                      <w:szCs w:val="21"/>
                      <w:highlight w:val="none"/>
                      <w:lang w:val="en-US" w:eastAsia="zh-CN"/>
                    </w:rPr>
                    <w:t>五日</w:t>
                  </w:r>
                  <w:r>
                    <w:rPr>
                      <w:rFonts w:ascii="Times New Roman" w:hAnsi="Times New Roman" w:eastAsia="宋体"/>
                      <w:caps w:val="0"/>
                      <w:color w:val="auto"/>
                      <w:szCs w:val="21"/>
                      <w:highlight w:val="none"/>
                    </w:rPr>
                    <w:t>生化需氧量</w:t>
                  </w:r>
                  <w:r>
                    <w:rPr>
                      <w:rFonts w:hint="eastAsia"/>
                      <w:caps w:val="0"/>
                      <w:color w:val="auto"/>
                      <w:szCs w:val="21"/>
                      <w:highlight w:val="none"/>
                      <w:lang w:eastAsia="zh-CN"/>
                    </w:rPr>
                    <w:t>（</w:t>
                  </w:r>
                  <w:r>
                    <w:rPr>
                      <w:rFonts w:ascii="Times New Roman" w:hAnsi="Times New Roman" w:eastAsia="宋体"/>
                      <w:caps w:val="0"/>
                      <w:color w:val="auto"/>
                      <w:szCs w:val="21"/>
                      <w:highlight w:val="none"/>
                    </w:rPr>
                    <w:t>mg/L</w:t>
                  </w:r>
                  <w:r>
                    <w:rPr>
                      <w:rFonts w:hint="eastAsia"/>
                      <w:caps w:val="0"/>
                      <w:color w:val="auto"/>
                      <w:szCs w:val="21"/>
                      <w:highlight w:val="none"/>
                      <w:lang w:eastAsia="zh-CN"/>
                    </w:rPr>
                    <w:t>）</w:t>
                  </w:r>
                </w:p>
              </w:tc>
              <w:tc>
                <w:tcPr>
                  <w:tcW w:w="998" w:type="pct"/>
                  <w:tcBorders>
                    <w:tl2br w:val="nil"/>
                    <w:tr2bl w:val="nil"/>
                  </w:tcBorders>
                  <w:vAlign w:val="center"/>
                </w:tcPr>
                <w:p w14:paraId="1CE99954">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38.1</w:t>
                  </w:r>
                </w:p>
              </w:tc>
              <w:tc>
                <w:tcPr>
                  <w:tcW w:w="999" w:type="pct"/>
                  <w:tcBorders>
                    <w:tl2br w:val="nil"/>
                    <w:tr2bl w:val="nil"/>
                  </w:tcBorders>
                  <w:vAlign w:val="center"/>
                </w:tcPr>
                <w:p w14:paraId="0FF24870">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31.5</w:t>
                  </w:r>
                </w:p>
              </w:tc>
              <w:tc>
                <w:tcPr>
                  <w:tcW w:w="999" w:type="pct"/>
                  <w:tcBorders>
                    <w:tl2br w:val="nil"/>
                    <w:tr2bl w:val="nil"/>
                  </w:tcBorders>
                  <w:vAlign w:val="center"/>
                </w:tcPr>
                <w:p w14:paraId="24932392">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32.7</w:t>
                  </w:r>
                </w:p>
              </w:tc>
              <w:tc>
                <w:tcPr>
                  <w:tcW w:w="1003" w:type="pct"/>
                  <w:tcBorders>
                    <w:tl2br w:val="nil"/>
                    <w:tr2bl w:val="nil"/>
                  </w:tcBorders>
                  <w:vAlign w:val="center"/>
                </w:tcPr>
                <w:p w14:paraId="53FB0700">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36.1</w:t>
                  </w:r>
                </w:p>
              </w:tc>
            </w:tr>
            <w:tr w14:paraId="61939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98" w:type="pct"/>
                  <w:tcBorders>
                    <w:tl2br w:val="nil"/>
                    <w:tr2bl w:val="nil"/>
                  </w:tcBorders>
                  <w:vAlign w:val="center"/>
                </w:tcPr>
                <w:p w14:paraId="209A08B6">
                  <w:pPr>
                    <w:spacing w:line="276" w:lineRule="auto"/>
                    <w:jc w:val="center"/>
                    <w:rPr>
                      <w:rFonts w:hint="eastAsia" w:ascii="Times New Roman" w:hAnsi="Times New Roman" w:eastAsia="宋体"/>
                      <w:caps w:val="0"/>
                      <w:color w:val="auto"/>
                      <w:szCs w:val="21"/>
                      <w:highlight w:val="none"/>
                      <w:lang w:eastAsia="zh-CN"/>
                    </w:rPr>
                  </w:pPr>
                  <w:r>
                    <w:rPr>
                      <w:rFonts w:ascii="Times New Roman" w:hAnsi="Times New Roman" w:eastAsia="宋体"/>
                      <w:caps w:val="0"/>
                      <w:color w:val="auto"/>
                      <w:szCs w:val="21"/>
                      <w:highlight w:val="none"/>
                    </w:rPr>
                    <w:t>动植物油</w:t>
                  </w:r>
                  <w:r>
                    <w:rPr>
                      <w:rFonts w:hint="eastAsia"/>
                      <w:caps w:val="0"/>
                      <w:color w:val="auto"/>
                      <w:szCs w:val="21"/>
                      <w:highlight w:val="none"/>
                      <w:lang w:eastAsia="zh-CN"/>
                    </w:rPr>
                    <w:t>（</w:t>
                  </w:r>
                  <w:r>
                    <w:rPr>
                      <w:rFonts w:ascii="Times New Roman" w:hAnsi="Times New Roman" w:eastAsia="宋体"/>
                      <w:caps w:val="0"/>
                      <w:color w:val="auto"/>
                      <w:szCs w:val="21"/>
                      <w:highlight w:val="none"/>
                    </w:rPr>
                    <w:t>mg/L</w:t>
                  </w:r>
                  <w:r>
                    <w:rPr>
                      <w:rFonts w:hint="eastAsia"/>
                      <w:caps w:val="0"/>
                      <w:color w:val="auto"/>
                      <w:szCs w:val="21"/>
                      <w:highlight w:val="none"/>
                      <w:lang w:eastAsia="zh-CN"/>
                    </w:rPr>
                    <w:t>）</w:t>
                  </w:r>
                </w:p>
              </w:tc>
              <w:tc>
                <w:tcPr>
                  <w:tcW w:w="998" w:type="pct"/>
                  <w:tcBorders>
                    <w:tl2br w:val="nil"/>
                    <w:tr2bl w:val="nil"/>
                  </w:tcBorders>
                  <w:vAlign w:val="center"/>
                </w:tcPr>
                <w:p w14:paraId="56498F27">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4.11</w:t>
                  </w:r>
                </w:p>
              </w:tc>
              <w:tc>
                <w:tcPr>
                  <w:tcW w:w="999" w:type="pct"/>
                  <w:tcBorders>
                    <w:tl2br w:val="nil"/>
                    <w:tr2bl w:val="nil"/>
                  </w:tcBorders>
                  <w:vAlign w:val="center"/>
                </w:tcPr>
                <w:p w14:paraId="11CFCBED">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4.07</w:t>
                  </w:r>
                </w:p>
              </w:tc>
              <w:tc>
                <w:tcPr>
                  <w:tcW w:w="999" w:type="pct"/>
                  <w:tcBorders>
                    <w:tl2br w:val="nil"/>
                    <w:tr2bl w:val="nil"/>
                  </w:tcBorders>
                  <w:vAlign w:val="center"/>
                </w:tcPr>
                <w:p w14:paraId="627D4D48">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4.22</w:t>
                  </w:r>
                </w:p>
              </w:tc>
              <w:tc>
                <w:tcPr>
                  <w:tcW w:w="1003" w:type="pct"/>
                  <w:tcBorders>
                    <w:tl2br w:val="nil"/>
                    <w:tr2bl w:val="nil"/>
                  </w:tcBorders>
                  <w:vAlign w:val="center"/>
                </w:tcPr>
                <w:p w14:paraId="79B7E759">
                  <w:pPr>
                    <w:spacing w:line="276" w:lineRule="auto"/>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4.14</w:t>
                  </w:r>
                </w:p>
              </w:tc>
            </w:tr>
          </w:tbl>
          <w:p w14:paraId="567246E7">
            <w:pPr>
              <w:autoSpaceDE w:val="0"/>
              <w:autoSpaceDN w:val="0"/>
              <w:spacing w:line="360" w:lineRule="auto"/>
              <w:ind w:firstLine="480" w:firstLineChars="200"/>
              <w:rPr>
                <w:rFonts w:ascii="Times New Roman" w:hAnsi="Times New Roman" w:eastAsia="宋体"/>
                <w:caps w:val="0"/>
                <w:color w:val="auto"/>
                <w:kern w:val="0"/>
                <w:sz w:val="24"/>
                <w:highlight w:val="none"/>
              </w:rPr>
            </w:pPr>
            <w:r>
              <w:rPr>
                <w:rFonts w:ascii="Times New Roman" w:hAnsi="Times New Roman" w:eastAsia="宋体"/>
                <w:bCs/>
                <w:caps w:val="0"/>
                <w:color w:val="auto"/>
                <w:kern w:val="0"/>
                <w:sz w:val="24"/>
                <w:highlight w:val="none"/>
              </w:rPr>
              <w:t>由监测结果可知，现有项目</w:t>
            </w:r>
            <w:r>
              <w:rPr>
                <w:rFonts w:ascii="Times New Roman" w:hAnsi="Times New Roman" w:eastAsia="宋体"/>
                <w:bCs/>
                <w:caps w:val="0"/>
                <w:snapToGrid w:val="0"/>
                <w:color w:val="auto"/>
                <w:kern w:val="0"/>
                <w:sz w:val="24"/>
                <w:highlight w:val="none"/>
              </w:rPr>
              <w:t>废水排放口</w:t>
            </w:r>
            <w:r>
              <w:rPr>
                <w:rFonts w:hint="eastAsia" w:ascii="Times New Roman" w:hAnsi="Times New Roman" w:eastAsia="宋体"/>
                <w:bCs/>
                <w:caps w:val="0"/>
                <w:snapToGrid w:val="0"/>
                <w:color w:val="auto"/>
                <w:kern w:val="0"/>
                <w:sz w:val="24"/>
                <w:highlight w:val="none"/>
              </w:rPr>
              <w:t>各污染物</w:t>
            </w:r>
            <w:r>
              <w:rPr>
                <w:rFonts w:ascii="Times New Roman" w:hAnsi="Times New Roman" w:eastAsia="宋体"/>
                <w:bCs/>
                <w:caps w:val="0"/>
                <w:snapToGrid w:val="0"/>
                <w:color w:val="auto"/>
                <w:kern w:val="0"/>
                <w:sz w:val="24"/>
                <w:highlight w:val="none"/>
              </w:rPr>
              <w:t>排放浓度满足</w:t>
            </w:r>
            <w:r>
              <w:rPr>
                <w:rFonts w:ascii="Times New Roman" w:hAnsi="Times New Roman" w:eastAsia="宋体"/>
                <w:caps w:val="0"/>
                <w:color w:val="auto"/>
                <w:sz w:val="24"/>
                <w:highlight w:val="none"/>
              </w:rPr>
              <w:t>《污水综合排放标准》（GB8978-1996）表4中三级标准</w:t>
            </w:r>
            <w:r>
              <w:rPr>
                <w:rFonts w:ascii="Times New Roman" w:hAnsi="Times New Roman" w:eastAsia="宋体"/>
                <w:caps w:val="0"/>
                <w:color w:val="auto"/>
                <w:kern w:val="0"/>
                <w:sz w:val="24"/>
                <w:highlight w:val="none"/>
              </w:rPr>
              <w:t>。</w:t>
            </w:r>
          </w:p>
          <w:p w14:paraId="668A4049">
            <w:pPr>
              <w:adjustRightInd w:val="0"/>
              <w:spacing w:line="360" w:lineRule="auto"/>
              <w:ind w:firstLine="482" w:firstLineChars="200"/>
              <w:textAlignment w:val="baseline"/>
              <w:rPr>
                <w:rFonts w:ascii="Times New Roman" w:hAnsi="Times New Roman" w:eastAsia="宋体"/>
                <w:b/>
                <w:caps w:val="0"/>
                <w:color w:val="auto"/>
                <w:sz w:val="24"/>
                <w:highlight w:val="none"/>
              </w:rPr>
            </w:pPr>
            <w:r>
              <w:rPr>
                <w:rFonts w:ascii="Times New Roman" w:hAnsi="Times New Roman" w:eastAsia="宋体"/>
                <w:b/>
                <w:caps w:val="0"/>
                <w:color w:val="auto"/>
                <w:sz w:val="24"/>
                <w:highlight w:val="none"/>
              </w:rPr>
              <w:t>（3）噪声</w:t>
            </w:r>
          </w:p>
          <w:p w14:paraId="3D5558FF">
            <w:pPr>
              <w:adjustRightInd w:val="0"/>
              <w:spacing w:line="360" w:lineRule="auto"/>
              <w:ind w:firstLine="456" w:firstLineChars="200"/>
              <w:textAlignment w:val="baseline"/>
              <w:rPr>
                <w:rFonts w:ascii="Times New Roman" w:hAnsi="Times New Roman" w:eastAsia="宋体"/>
                <w:caps w:val="0"/>
                <w:color w:val="auto"/>
                <w:sz w:val="24"/>
                <w:highlight w:val="none"/>
              </w:rPr>
            </w:pPr>
            <w:r>
              <w:rPr>
                <w:rFonts w:hint="eastAsia" w:ascii="Times New Roman" w:hAnsi="Times New Roman" w:eastAsia="宋体"/>
                <w:caps w:val="0"/>
                <w:color w:val="auto"/>
                <w:spacing w:val="-6"/>
                <w:kern w:val="0"/>
                <w:sz w:val="24"/>
                <w:highlight w:val="none"/>
              </w:rPr>
              <w:t>根据安徽尚德谱检测技术有限责任公司提供的检测报告（报告编号BG-202305238见附件），厂界噪声检测结果见下表。</w:t>
            </w:r>
          </w:p>
          <w:p w14:paraId="44934547">
            <w:pPr>
              <w:widowControl/>
              <w:jc w:val="center"/>
              <w:rPr>
                <w:rFonts w:ascii="Times New Roman" w:hAnsi="Times New Roman" w:eastAsia="宋体" w:cs="宋体"/>
                <w:b/>
                <w:caps w:val="0"/>
                <w:color w:val="auto"/>
                <w:highlight w:val="none"/>
              </w:rPr>
            </w:pPr>
            <w:r>
              <w:rPr>
                <w:rFonts w:ascii="Times New Roman" w:hAnsi="Times New Roman" w:eastAsia="宋体"/>
                <w:b/>
                <w:bCs/>
                <w:caps w:val="0"/>
                <w:color w:val="auto"/>
                <w:spacing w:val="-2"/>
                <w:sz w:val="24"/>
                <w:highlight w:val="none"/>
              </w:rPr>
              <w:t>表2-</w:t>
            </w:r>
            <w:r>
              <w:rPr>
                <w:rFonts w:hint="eastAsia"/>
                <w:b/>
                <w:bCs/>
                <w:caps w:val="0"/>
                <w:color w:val="auto"/>
                <w:spacing w:val="-2"/>
                <w:sz w:val="24"/>
                <w:highlight w:val="none"/>
                <w:lang w:val="en-US" w:eastAsia="zh-CN"/>
              </w:rPr>
              <w:t>18</w:t>
            </w:r>
            <w:r>
              <w:rPr>
                <w:rFonts w:ascii="Times New Roman" w:hAnsi="Times New Roman" w:eastAsia="宋体"/>
                <w:b/>
                <w:bCs/>
                <w:caps w:val="0"/>
                <w:color w:val="auto"/>
                <w:spacing w:val="-2"/>
                <w:sz w:val="24"/>
                <w:highlight w:val="none"/>
              </w:rPr>
              <w:t xml:space="preserve"> 现有项目厂界噪声监测结果</w:t>
            </w:r>
          </w:p>
          <w:tbl>
            <w:tblPr>
              <w:tblStyle w:val="22"/>
              <w:tblW w:w="490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1450"/>
              <w:gridCol w:w="2517"/>
              <w:gridCol w:w="1467"/>
              <w:gridCol w:w="1004"/>
            </w:tblGrid>
            <w:tr w14:paraId="48218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840" w:type="pct"/>
                  <w:vMerge w:val="restart"/>
                  <w:tcBorders>
                    <w:tl2br w:val="nil"/>
                    <w:tr2bl w:val="nil"/>
                  </w:tcBorders>
                  <w:vAlign w:val="center"/>
                </w:tcPr>
                <w:p w14:paraId="1FC89C1A">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检测点位</w:t>
                  </w:r>
                </w:p>
              </w:tc>
              <w:tc>
                <w:tcPr>
                  <w:tcW w:w="936" w:type="pct"/>
                  <w:vMerge w:val="restart"/>
                  <w:tcBorders>
                    <w:tl2br w:val="nil"/>
                    <w:tr2bl w:val="nil"/>
                  </w:tcBorders>
                  <w:vAlign w:val="center"/>
                </w:tcPr>
                <w:p w14:paraId="47340C41">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对应位置</w:t>
                  </w:r>
                </w:p>
              </w:tc>
              <w:tc>
                <w:tcPr>
                  <w:tcW w:w="1626" w:type="pct"/>
                  <w:vMerge w:val="restart"/>
                  <w:tcBorders>
                    <w:tl2br w:val="nil"/>
                    <w:tr2bl w:val="nil"/>
                  </w:tcBorders>
                  <w:vAlign w:val="center"/>
                </w:tcPr>
                <w:p w14:paraId="4AA424E9">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检测项目</w:t>
                  </w:r>
                </w:p>
              </w:tc>
              <w:tc>
                <w:tcPr>
                  <w:tcW w:w="1596" w:type="pct"/>
                  <w:gridSpan w:val="2"/>
                  <w:tcBorders>
                    <w:tl2br w:val="nil"/>
                    <w:tr2bl w:val="nil"/>
                  </w:tcBorders>
                  <w:vAlign w:val="center"/>
                </w:tcPr>
                <w:p w14:paraId="37450DD5">
                  <w:pPr>
                    <w:ind w:left="-4" w:leftChars="-2" w:right="-34" w:rightChars="-16" w:firstLine="2" w:firstLineChars="1"/>
                    <w:jc w:val="center"/>
                    <w:rPr>
                      <w:rFonts w:hint="eastAsia" w:ascii="Times New Roman" w:hAnsi="Times New Roman" w:eastAsia="宋体"/>
                      <w:bCs/>
                      <w:caps w:val="0"/>
                      <w:color w:val="auto"/>
                      <w:kern w:val="0"/>
                      <w:szCs w:val="21"/>
                      <w:highlight w:val="none"/>
                      <w:lang w:eastAsia="zh-CN"/>
                    </w:rPr>
                  </w:pPr>
                  <w:r>
                    <w:rPr>
                      <w:rFonts w:ascii="Times New Roman" w:hAnsi="Times New Roman" w:eastAsia="宋体"/>
                      <w:bCs/>
                      <w:caps w:val="0"/>
                      <w:color w:val="auto"/>
                      <w:kern w:val="0"/>
                      <w:szCs w:val="21"/>
                      <w:highlight w:val="none"/>
                    </w:rPr>
                    <w:t>噪声检测结果dB</w:t>
                  </w:r>
                  <w:r>
                    <w:rPr>
                      <w:rFonts w:hint="eastAsia"/>
                      <w:bCs/>
                      <w:caps w:val="0"/>
                      <w:color w:val="auto"/>
                      <w:kern w:val="0"/>
                      <w:szCs w:val="21"/>
                      <w:highlight w:val="none"/>
                      <w:lang w:eastAsia="zh-CN"/>
                    </w:rPr>
                    <w:t>（</w:t>
                  </w:r>
                  <w:r>
                    <w:rPr>
                      <w:rFonts w:ascii="Times New Roman" w:hAnsi="Times New Roman" w:eastAsia="宋体"/>
                      <w:bCs/>
                      <w:caps w:val="0"/>
                      <w:color w:val="auto"/>
                      <w:kern w:val="0"/>
                      <w:szCs w:val="21"/>
                      <w:highlight w:val="none"/>
                    </w:rPr>
                    <w:t>A</w:t>
                  </w:r>
                  <w:r>
                    <w:rPr>
                      <w:rFonts w:hint="eastAsia"/>
                      <w:bCs/>
                      <w:caps w:val="0"/>
                      <w:color w:val="auto"/>
                      <w:kern w:val="0"/>
                      <w:szCs w:val="21"/>
                      <w:highlight w:val="none"/>
                      <w:lang w:eastAsia="zh-CN"/>
                    </w:rPr>
                    <w:t>）</w:t>
                  </w:r>
                </w:p>
              </w:tc>
            </w:tr>
            <w:tr w14:paraId="2E97D3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0" w:type="pct"/>
                  <w:vMerge w:val="continue"/>
                  <w:tcBorders>
                    <w:tl2br w:val="nil"/>
                    <w:tr2bl w:val="nil"/>
                  </w:tcBorders>
                  <w:vAlign w:val="center"/>
                </w:tcPr>
                <w:p w14:paraId="6A80EEB2">
                  <w:pPr>
                    <w:ind w:left="-4" w:leftChars="-2" w:right="-34" w:rightChars="-16" w:firstLine="2" w:firstLineChars="1"/>
                    <w:jc w:val="both"/>
                    <w:rPr>
                      <w:rFonts w:hint="eastAsia"/>
                      <w:bCs/>
                      <w:caps w:val="0"/>
                      <w:color w:val="auto"/>
                      <w:kern w:val="0"/>
                      <w:szCs w:val="21"/>
                      <w:highlight w:val="none"/>
                      <w:lang w:val="en-US" w:eastAsia="zh-CN"/>
                    </w:rPr>
                  </w:pPr>
                </w:p>
              </w:tc>
              <w:tc>
                <w:tcPr>
                  <w:tcW w:w="936" w:type="pct"/>
                  <w:vMerge w:val="continue"/>
                  <w:tcBorders>
                    <w:tl2br w:val="nil"/>
                    <w:tr2bl w:val="nil"/>
                  </w:tcBorders>
                  <w:vAlign w:val="center"/>
                </w:tcPr>
                <w:p w14:paraId="6E46C0F5">
                  <w:pPr>
                    <w:ind w:left="-4" w:leftChars="-2" w:right="-34" w:rightChars="-16" w:firstLine="2" w:firstLineChars="1"/>
                    <w:jc w:val="both"/>
                    <w:rPr>
                      <w:rFonts w:hint="eastAsia"/>
                      <w:bCs/>
                      <w:caps w:val="0"/>
                      <w:color w:val="auto"/>
                      <w:kern w:val="0"/>
                      <w:szCs w:val="21"/>
                      <w:highlight w:val="none"/>
                      <w:lang w:val="en-US" w:eastAsia="zh-CN"/>
                    </w:rPr>
                  </w:pPr>
                </w:p>
              </w:tc>
              <w:tc>
                <w:tcPr>
                  <w:tcW w:w="1626" w:type="pct"/>
                  <w:vMerge w:val="continue"/>
                  <w:tcBorders>
                    <w:tl2br w:val="nil"/>
                    <w:tr2bl w:val="nil"/>
                  </w:tcBorders>
                  <w:vAlign w:val="center"/>
                </w:tcPr>
                <w:p w14:paraId="4EF532F9">
                  <w:pPr>
                    <w:ind w:left="-4" w:leftChars="-2" w:right="-34" w:rightChars="-16" w:firstLine="2" w:firstLineChars="1"/>
                    <w:jc w:val="both"/>
                    <w:rPr>
                      <w:rFonts w:hint="eastAsia"/>
                      <w:bCs/>
                      <w:caps w:val="0"/>
                      <w:color w:val="auto"/>
                      <w:kern w:val="0"/>
                      <w:szCs w:val="21"/>
                      <w:highlight w:val="none"/>
                      <w:lang w:val="en-US" w:eastAsia="zh-CN"/>
                    </w:rPr>
                  </w:pPr>
                </w:p>
              </w:tc>
              <w:tc>
                <w:tcPr>
                  <w:tcW w:w="947" w:type="pct"/>
                  <w:tcBorders>
                    <w:tl2br w:val="nil"/>
                    <w:tr2bl w:val="nil"/>
                  </w:tcBorders>
                  <w:vAlign w:val="center"/>
                </w:tcPr>
                <w:p w14:paraId="5BAC77ED">
                  <w:pPr>
                    <w:ind w:left="-4" w:leftChars="-2" w:right="-34" w:rightChars="-16" w:firstLine="2" w:firstLineChars="1"/>
                    <w:jc w:val="center"/>
                    <w:rPr>
                      <w:rFonts w:hint="default"/>
                      <w:bCs/>
                      <w:caps w:val="0"/>
                      <w:color w:val="auto"/>
                      <w:kern w:val="0"/>
                      <w:szCs w:val="21"/>
                      <w:highlight w:val="none"/>
                      <w:lang w:val="en-US" w:eastAsia="zh-CN"/>
                    </w:rPr>
                  </w:pPr>
                  <w:r>
                    <w:rPr>
                      <w:rFonts w:hint="eastAsia"/>
                      <w:bCs/>
                      <w:caps w:val="0"/>
                      <w:color w:val="auto"/>
                      <w:kern w:val="0"/>
                      <w:szCs w:val="21"/>
                      <w:highlight w:val="none"/>
                      <w:lang w:val="en-US" w:eastAsia="zh-CN"/>
                    </w:rPr>
                    <w:t>昼间</w:t>
                  </w:r>
                </w:p>
              </w:tc>
              <w:tc>
                <w:tcPr>
                  <w:tcW w:w="648" w:type="pct"/>
                  <w:tcBorders>
                    <w:tl2br w:val="nil"/>
                    <w:tr2bl w:val="nil"/>
                  </w:tcBorders>
                  <w:vAlign w:val="center"/>
                </w:tcPr>
                <w:p w14:paraId="35752345">
                  <w:pPr>
                    <w:ind w:left="-4" w:leftChars="-2" w:right="-34" w:rightChars="-16" w:firstLine="2" w:firstLineChars="1"/>
                    <w:jc w:val="center"/>
                    <w:rPr>
                      <w:rFonts w:hint="default"/>
                      <w:bCs/>
                      <w:caps w:val="0"/>
                      <w:color w:val="auto"/>
                      <w:kern w:val="0"/>
                      <w:szCs w:val="21"/>
                      <w:highlight w:val="none"/>
                      <w:lang w:val="en-US" w:eastAsia="zh-CN"/>
                    </w:rPr>
                  </w:pPr>
                  <w:r>
                    <w:rPr>
                      <w:rFonts w:hint="eastAsia"/>
                      <w:bCs/>
                      <w:caps w:val="0"/>
                      <w:color w:val="auto"/>
                      <w:kern w:val="0"/>
                      <w:szCs w:val="21"/>
                      <w:highlight w:val="none"/>
                      <w:lang w:val="en-US" w:eastAsia="zh-CN"/>
                    </w:rPr>
                    <w:t>夜间</w:t>
                  </w:r>
                </w:p>
              </w:tc>
            </w:tr>
            <w:tr w14:paraId="4E5283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000" w:type="pct"/>
                  <w:gridSpan w:val="5"/>
                  <w:tcBorders>
                    <w:tl2br w:val="nil"/>
                    <w:tr2bl w:val="nil"/>
                  </w:tcBorders>
                  <w:vAlign w:val="center"/>
                </w:tcPr>
                <w:p w14:paraId="65573F18">
                  <w:pPr>
                    <w:ind w:left="-4" w:leftChars="-2" w:right="-34" w:rightChars="-16" w:firstLine="2" w:firstLineChars="1"/>
                    <w:jc w:val="center"/>
                    <w:rPr>
                      <w:rFonts w:hint="eastAsia"/>
                      <w:bCs/>
                      <w:caps w:val="0"/>
                      <w:color w:val="auto"/>
                      <w:kern w:val="0"/>
                      <w:szCs w:val="21"/>
                      <w:highlight w:val="none"/>
                      <w:lang w:val="en-US" w:eastAsia="zh-CN"/>
                    </w:rPr>
                  </w:pPr>
                  <w:r>
                    <w:rPr>
                      <w:rFonts w:hint="eastAsia"/>
                      <w:bCs/>
                      <w:caps w:val="0"/>
                      <w:color w:val="auto"/>
                      <w:kern w:val="0"/>
                      <w:szCs w:val="21"/>
                      <w:highlight w:val="none"/>
                      <w:lang w:val="en-US" w:eastAsia="zh-CN"/>
                    </w:rPr>
                    <w:t>监测时间：2023年6月2日</w:t>
                  </w:r>
                </w:p>
              </w:tc>
            </w:tr>
            <w:tr w14:paraId="66D921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40" w:type="pct"/>
                  <w:tcBorders>
                    <w:tl2br w:val="nil"/>
                    <w:tr2bl w:val="nil"/>
                  </w:tcBorders>
                  <w:vAlign w:val="center"/>
                </w:tcPr>
                <w:p w14:paraId="71BDC2F1">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1#</w:t>
                  </w:r>
                </w:p>
              </w:tc>
              <w:tc>
                <w:tcPr>
                  <w:tcW w:w="936" w:type="pct"/>
                  <w:tcBorders>
                    <w:tl2br w:val="nil"/>
                    <w:tr2bl w:val="nil"/>
                  </w:tcBorders>
                  <w:vAlign w:val="center"/>
                </w:tcPr>
                <w:p w14:paraId="0952BB7F">
                  <w:pPr>
                    <w:widowControl/>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厂界东</w:t>
                  </w:r>
                </w:p>
              </w:tc>
              <w:tc>
                <w:tcPr>
                  <w:tcW w:w="1626" w:type="pct"/>
                  <w:tcBorders>
                    <w:tl2br w:val="nil"/>
                    <w:tr2bl w:val="nil"/>
                  </w:tcBorders>
                  <w:vAlign w:val="center"/>
                </w:tcPr>
                <w:p w14:paraId="754AB536">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caps w:val="0"/>
                      <w:color w:val="auto"/>
                      <w:kern w:val="0"/>
                      <w:szCs w:val="21"/>
                      <w:highlight w:val="none"/>
                    </w:rPr>
                    <w:t>工业企业厂界环境噪声</w:t>
                  </w:r>
                </w:p>
              </w:tc>
              <w:tc>
                <w:tcPr>
                  <w:tcW w:w="947" w:type="pct"/>
                  <w:tcBorders>
                    <w:tl2br w:val="nil"/>
                    <w:tr2bl w:val="nil"/>
                  </w:tcBorders>
                  <w:vAlign w:val="center"/>
                </w:tcPr>
                <w:p w14:paraId="34B40DCA">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57</w:t>
                  </w:r>
                </w:p>
              </w:tc>
              <w:tc>
                <w:tcPr>
                  <w:tcW w:w="648" w:type="pct"/>
                  <w:tcBorders>
                    <w:tl2br w:val="nil"/>
                    <w:tr2bl w:val="nil"/>
                  </w:tcBorders>
                  <w:vAlign w:val="center"/>
                </w:tcPr>
                <w:p w14:paraId="5FF24C90">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46</w:t>
                  </w:r>
                </w:p>
              </w:tc>
            </w:tr>
            <w:tr w14:paraId="11D34A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840" w:type="pct"/>
                  <w:tcBorders>
                    <w:tl2br w:val="nil"/>
                    <w:tr2bl w:val="nil"/>
                  </w:tcBorders>
                  <w:vAlign w:val="center"/>
                </w:tcPr>
                <w:p w14:paraId="2FA3400D">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2#</w:t>
                  </w:r>
                </w:p>
              </w:tc>
              <w:tc>
                <w:tcPr>
                  <w:tcW w:w="936" w:type="pct"/>
                  <w:tcBorders>
                    <w:tl2br w:val="nil"/>
                    <w:tr2bl w:val="nil"/>
                  </w:tcBorders>
                  <w:vAlign w:val="center"/>
                </w:tcPr>
                <w:p w14:paraId="13F10FF7">
                  <w:pPr>
                    <w:widowControl/>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厂界南</w:t>
                  </w:r>
                </w:p>
              </w:tc>
              <w:tc>
                <w:tcPr>
                  <w:tcW w:w="1626" w:type="pct"/>
                  <w:tcBorders>
                    <w:tl2br w:val="nil"/>
                    <w:tr2bl w:val="nil"/>
                  </w:tcBorders>
                  <w:vAlign w:val="center"/>
                </w:tcPr>
                <w:p w14:paraId="1047C691">
                  <w:pPr>
                    <w:ind w:left="-4" w:leftChars="-2" w:right="-34" w:rightChars="-16" w:firstLine="2" w:firstLineChars="1"/>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工业企业厂界环境噪声</w:t>
                  </w:r>
                </w:p>
              </w:tc>
              <w:tc>
                <w:tcPr>
                  <w:tcW w:w="947" w:type="pct"/>
                  <w:tcBorders>
                    <w:tl2br w:val="nil"/>
                    <w:tr2bl w:val="nil"/>
                  </w:tcBorders>
                  <w:vAlign w:val="center"/>
                </w:tcPr>
                <w:p w14:paraId="38D5CD01">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56</w:t>
                  </w:r>
                </w:p>
              </w:tc>
              <w:tc>
                <w:tcPr>
                  <w:tcW w:w="648" w:type="pct"/>
                  <w:tcBorders>
                    <w:tl2br w:val="nil"/>
                    <w:tr2bl w:val="nil"/>
                  </w:tcBorders>
                  <w:vAlign w:val="center"/>
                </w:tcPr>
                <w:p w14:paraId="5D1BD5D0">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45</w:t>
                  </w:r>
                </w:p>
              </w:tc>
            </w:tr>
            <w:tr w14:paraId="4173BF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840" w:type="pct"/>
                  <w:tcBorders>
                    <w:tl2br w:val="nil"/>
                    <w:tr2bl w:val="nil"/>
                  </w:tcBorders>
                  <w:vAlign w:val="center"/>
                </w:tcPr>
                <w:p w14:paraId="5D28542B">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3#</w:t>
                  </w:r>
                </w:p>
              </w:tc>
              <w:tc>
                <w:tcPr>
                  <w:tcW w:w="936" w:type="pct"/>
                  <w:tcBorders>
                    <w:tl2br w:val="nil"/>
                    <w:tr2bl w:val="nil"/>
                  </w:tcBorders>
                  <w:vAlign w:val="center"/>
                </w:tcPr>
                <w:p w14:paraId="79CC8DB9">
                  <w:pPr>
                    <w:widowControl/>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厂界西</w:t>
                  </w:r>
                </w:p>
              </w:tc>
              <w:tc>
                <w:tcPr>
                  <w:tcW w:w="1626" w:type="pct"/>
                  <w:tcBorders>
                    <w:tl2br w:val="nil"/>
                    <w:tr2bl w:val="nil"/>
                  </w:tcBorders>
                  <w:vAlign w:val="center"/>
                </w:tcPr>
                <w:p w14:paraId="4124DC58">
                  <w:pPr>
                    <w:ind w:left="-4" w:leftChars="-2" w:right="-34" w:rightChars="-16" w:firstLine="2" w:firstLineChars="1"/>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工业企业厂界环境噪声</w:t>
                  </w:r>
                </w:p>
              </w:tc>
              <w:tc>
                <w:tcPr>
                  <w:tcW w:w="947" w:type="pct"/>
                  <w:tcBorders>
                    <w:tl2br w:val="nil"/>
                    <w:tr2bl w:val="nil"/>
                  </w:tcBorders>
                  <w:vAlign w:val="center"/>
                </w:tcPr>
                <w:p w14:paraId="62713B1A">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55</w:t>
                  </w:r>
                </w:p>
              </w:tc>
              <w:tc>
                <w:tcPr>
                  <w:tcW w:w="648" w:type="pct"/>
                  <w:tcBorders>
                    <w:tl2br w:val="nil"/>
                    <w:tr2bl w:val="nil"/>
                  </w:tcBorders>
                  <w:vAlign w:val="center"/>
                </w:tcPr>
                <w:p w14:paraId="31ACDBBD">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45</w:t>
                  </w:r>
                </w:p>
              </w:tc>
            </w:tr>
            <w:tr w14:paraId="6DCBFF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840" w:type="pct"/>
                  <w:tcBorders>
                    <w:tl2br w:val="nil"/>
                    <w:tr2bl w:val="nil"/>
                  </w:tcBorders>
                  <w:vAlign w:val="center"/>
                </w:tcPr>
                <w:p w14:paraId="32553697">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4#</w:t>
                  </w:r>
                </w:p>
              </w:tc>
              <w:tc>
                <w:tcPr>
                  <w:tcW w:w="936" w:type="pct"/>
                  <w:tcBorders>
                    <w:tl2br w:val="nil"/>
                    <w:tr2bl w:val="nil"/>
                  </w:tcBorders>
                  <w:vAlign w:val="center"/>
                </w:tcPr>
                <w:p w14:paraId="7B7E816F">
                  <w:pPr>
                    <w:widowControl/>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厂界北</w:t>
                  </w:r>
                </w:p>
              </w:tc>
              <w:tc>
                <w:tcPr>
                  <w:tcW w:w="1626" w:type="pct"/>
                  <w:tcBorders>
                    <w:tl2br w:val="nil"/>
                    <w:tr2bl w:val="nil"/>
                  </w:tcBorders>
                  <w:vAlign w:val="center"/>
                </w:tcPr>
                <w:p w14:paraId="748DFDB3">
                  <w:pPr>
                    <w:ind w:left="-4" w:leftChars="-2" w:right="-34" w:rightChars="-16" w:firstLine="2" w:firstLineChars="1"/>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工业企业厂界环境噪声</w:t>
                  </w:r>
                </w:p>
              </w:tc>
              <w:tc>
                <w:tcPr>
                  <w:tcW w:w="947" w:type="pct"/>
                  <w:tcBorders>
                    <w:tl2br w:val="nil"/>
                    <w:tr2bl w:val="nil"/>
                  </w:tcBorders>
                  <w:vAlign w:val="center"/>
                </w:tcPr>
                <w:p w14:paraId="235376C6">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54</w:t>
                  </w:r>
                </w:p>
              </w:tc>
              <w:tc>
                <w:tcPr>
                  <w:tcW w:w="648" w:type="pct"/>
                  <w:tcBorders>
                    <w:tl2br w:val="nil"/>
                    <w:tr2bl w:val="nil"/>
                  </w:tcBorders>
                  <w:vAlign w:val="center"/>
                </w:tcPr>
                <w:p w14:paraId="18165C2F">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44</w:t>
                  </w:r>
                </w:p>
              </w:tc>
            </w:tr>
          </w:tbl>
          <w:p w14:paraId="2CD0A764">
            <w:pPr>
              <w:widowControl/>
              <w:jc w:val="center"/>
              <w:rPr>
                <w:rFonts w:ascii="Times New Roman" w:hAnsi="Times New Roman" w:eastAsia="宋体" w:cs="宋体"/>
                <w:b/>
                <w:caps w:val="0"/>
                <w:color w:val="auto"/>
                <w:highlight w:val="none"/>
              </w:rPr>
            </w:pPr>
            <w:r>
              <w:rPr>
                <w:rFonts w:ascii="Times New Roman" w:hAnsi="Times New Roman" w:eastAsia="宋体"/>
                <w:b/>
                <w:bCs/>
                <w:caps w:val="0"/>
                <w:color w:val="auto"/>
                <w:spacing w:val="-2"/>
                <w:sz w:val="24"/>
                <w:highlight w:val="none"/>
              </w:rPr>
              <w:t>表2-</w:t>
            </w:r>
            <w:r>
              <w:rPr>
                <w:rFonts w:hint="eastAsia"/>
                <w:b/>
                <w:bCs/>
                <w:caps w:val="0"/>
                <w:color w:val="auto"/>
                <w:spacing w:val="-2"/>
                <w:sz w:val="24"/>
                <w:highlight w:val="none"/>
                <w:lang w:val="en-US" w:eastAsia="zh-CN"/>
              </w:rPr>
              <w:t>19</w:t>
            </w:r>
            <w:r>
              <w:rPr>
                <w:rFonts w:ascii="Times New Roman" w:hAnsi="Times New Roman" w:eastAsia="宋体"/>
                <w:b/>
                <w:bCs/>
                <w:caps w:val="0"/>
                <w:color w:val="auto"/>
                <w:spacing w:val="-2"/>
                <w:sz w:val="24"/>
                <w:highlight w:val="none"/>
              </w:rPr>
              <w:t xml:space="preserve"> 现有项目厂界噪声监测结果</w:t>
            </w:r>
          </w:p>
          <w:tbl>
            <w:tblPr>
              <w:tblStyle w:val="22"/>
              <w:tblW w:w="490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1450"/>
              <w:gridCol w:w="2517"/>
              <w:gridCol w:w="1467"/>
              <w:gridCol w:w="1004"/>
            </w:tblGrid>
            <w:tr w14:paraId="1076E0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840" w:type="pct"/>
                  <w:vMerge w:val="restart"/>
                  <w:tcBorders>
                    <w:tl2br w:val="nil"/>
                    <w:tr2bl w:val="nil"/>
                  </w:tcBorders>
                  <w:vAlign w:val="center"/>
                </w:tcPr>
                <w:p w14:paraId="02350802">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检测点位</w:t>
                  </w:r>
                </w:p>
              </w:tc>
              <w:tc>
                <w:tcPr>
                  <w:tcW w:w="936" w:type="pct"/>
                  <w:vMerge w:val="restart"/>
                  <w:tcBorders>
                    <w:tl2br w:val="nil"/>
                    <w:tr2bl w:val="nil"/>
                  </w:tcBorders>
                  <w:vAlign w:val="center"/>
                </w:tcPr>
                <w:p w14:paraId="59B56DCD">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对应位置</w:t>
                  </w:r>
                </w:p>
              </w:tc>
              <w:tc>
                <w:tcPr>
                  <w:tcW w:w="1626" w:type="pct"/>
                  <w:vMerge w:val="restart"/>
                  <w:tcBorders>
                    <w:tl2br w:val="nil"/>
                    <w:tr2bl w:val="nil"/>
                  </w:tcBorders>
                  <w:vAlign w:val="center"/>
                </w:tcPr>
                <w:p w14:paraId="2764B780">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检测项目</w:t>
                  </w:r>
                </w:p>
              </w:tc>
              <w:tc>
                <w:tcPr>
                  <w:tcW w:w="1596" w:type="pct"/>
                  <w:gridSpan w:val="2"/>
                  <w:tcBorders>
                    <w:tl2br w:val="nil"/>
                    <w:tr2bl w:val="nil"/>
                  </w:tcBorders>
                  <w:vAlign w:val="center"/>
                </w:tcPr>
                <w:p w14:paraId="7D158E37">
                  <w:pPr>
                    <w:ind w:left="-4" w:leftChars="-2" w:right="-34" w:rightChars="-16" w:firstLine="2" w:firstLineChars="1"/>
                    <w:jc w:val="center"/>
                    <w:rPr>
                      <w:rFonts w:hint="eastAsia" w:ascii="Times New Roman" w:hAnsi="Times New Roman" w:eastAsia="宋体"/>
                      <w:bCs/>
                      <w:caps w:val="0"/>
                      <w:color w:val="auto"/>
                      <w:kern w:val="0"/>
                      <w:szCs w:val="21"/>
                      <w:highlight w:val="none"/>
                      <w:lang w:eastAsia="zh-CN"/>
                    </w:rPr>
                  </w:pPr>
                  <w:r>
                    <w:rPr>
                      <w:rFonts w:ascii="Times New Roman" w:hAnsi="Times New Roman" w:eastAsia="宋体"/>
                      <w:bCs/>
                      <w:caps w:val="0"/>
                      <w:color w:val="auto"/>
                      <w:kern w:val="0"/>
                      <w:szCs w:val="21"/>
                      <w:highlight w:val="none"/>
                    </w:rPr>
                    <w:t>噪声检测结果dB</w:t>
                  </w:r>
                  <w:r>
                    <w:rPr>
                      <w:rFonts w:hint="eastAsia"/>
                      <w:bCs/>
                      <w:caps w:val="0"/>
                      <w:color w:val="auto"/>
                      <w:kern w:val="0"/>
                      <w:szCs w:val="21"/>
                      <w:highlight w:val="none"/>
                      <w:lang w:eastAsia="zh-CN"/>
                    </w:rPr>
                    <w:t>（</w:t>
                  </w:r>
                  <w:r>
                    <w:rPr>
                      <w:rFonts w:ascii="Times New Roman" w:hAnsi="Times New Roman" w:eastAsia="宋体"/>
                      <w:bCs/>
                      <w:caps w:val="0"/>
                      <w:color w:val="auto"/>
                      <w:kern w:val="0"/>
                      <w:szCs w:val="21"/>
                      <w:highlight w:val="none"/>
                    </w:rPr>
                    <w:t>A</w:t>
                  </w:r>
                  <w:r>
                    <w:rPr>
                      <w:rFonts w:hint="eastAsia"/>
                      <w:bCs/>
                      <w:caps w:val="0"/>
                      <w:color w:val="auto"/>
                      <w:kern w:val="0"/>
                      <w:szCs w:val="21"/>
                      <w:highlight w:val="none"/>
                      <w:lang w:eastAsia="zh-CN"/>
                    </w:rPr>
                    <w:t>）</w:t>
                  </w:r>
                </w:p>
              </w:tc>
            </w:tr>
            <w:tr w14:paraId="4892A8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0" w:type="pct"/>
                  <w:vMerge w:val="continue"/>
                  <w:tcBorders>
                    <w:tl2br w:val="nil"/>
                    <w:tr2bl w:val="nil"/>
                  </w:tcBorders>
                  <w:vAlign w:val="center"/>
                </w:tcPr>
                <w:p w14:paraId="600B0003">
                  <w:pPr>
                    <w:ind w:left="-4" w:leftChars="-2" w:right="-34" w:rightChars="-16" w:firstLine="2" w:firstLineChars="1"/>
                    <w:jc w:val="both"/>
                    <w:rPr>
                      <w:rFonts w:hint="eastAsia"/>
                      <w:bCs/>
                      <w:caps w:val="0"/>
                      <w:color w:val="auto"/>
                      <w:kern w:val="0"/>
                      <w:szCs w:val="21"/>
                      <w:highlight w:val="none"/>
                      <w:lang w:val="en-US" w:eastAsia="zh-CN"/>
                    </w:rPr>
                  </w:pPr>
                </w:p>
              </w:tc>
              <w:tc>
                <w:tcPr>
                  <w:tcW w:w="936" w:type="pct"/>
                  <w:vMerge w:val="continue"/>
                  <w:tcBorders>
                    <w:tl2br w:val="nil"/>
                    <w:tr2bl w:val="nil"/>
                  </w:tcBorders>
                  <w:vAlign w:val="center"/>
                </w:tcPr>
                <w:p w14:paraId="2C1B7010">
                  <w:pPr>
                    <w:ind w:left="-4" w:leftChars="-2" w:right="-34" w:rightChars="-16" w:firstLine="2" w:firstLineChars="1"/>
                    <w:jc w:val="both"/>
                    <w:rPr>
                      <w:rFonts w:hint="eastAsia"/>
                      <w:bCs/>
                      <w:caps w:val="0"/>
                      <w:color w:val="auto"/>
                      <w:kern w:val="0"/>
                      <w:szCs w:val="21"/>
                      <w:highlight w:val="none"/>
                      <w:lang w:val="en-US" w:eastAsia="zh-CN"/>
                    </w:rPr>
                  </w:pPr>
                </w:p>
              </w:tc>
              <w:tc>
                <w:tcPr>
                  <w:tcW w:w="1626" w:type="pct"/>
                  <w:vMerge w:val="continue"/>
                  <w:tcBorders>
                    <w:tl2br w:val="nil"/>
                    <w:tr2bl w:val="nil"/>
                  </w:tcBorders>
                  <w:vAlign w:val="center"/>
                </w:tcPr>
                <w:p w14:paraId="37862C03">
                  <w:pPr>
                    <w:ind w:left="-4" w:leftChars="-2" w:right="-34" w:rightChars="-16" w:firstLine="2" w:firstLineChars="1"/>
                    <w:jc w:val="both"/>
                    <w:rPr>
                      <w:rFonts w:hint="eastAsia"/>
                      <w:bCs/>
                      <w:caps w:val="0"/>
                      <w:color w:val="auto"/>
                      <w:kern w:val="0"/>
                      <w:szCs w:val="21"/>
                      <w:highlight w:val="none"/>
                      <w:lang w:val="en-US" w:eastAsia="zh-CN"/>
                    </w:rPr>
                  </w:pPr>
                </w:p>
              </w:tc>
              <w:tc>
                <w:tcPr>
                  <w:tcW w:w="947" w:type="pct"/>
                  <w:tcBorders>
                    <w:tl2br w:val="nil"/>
                    <w:tr2bl w:val="nil"/>
                  </w:tcBorders>
                  <w:vAlign w:val="center"/>
                </w:tcPr>
                <w:p w14:paraId="67C40F67">
                  <w:pPr>
                    <w:ind w:left="-4" w:leftChars="-2" w:right="-34" w:rightChars="-16" w:firstLine="2" w:firstLineChars="1"/>
                    <w:jc w:val="center"/>
                    <w:rPr>
                      <w:rFonts w:hint="default"/>
                      <w:bCs/>
                      <w:caps w:val="0"/>
                      <w:color w:val="auto"/>
                      <w:kern w:val="0"/>
                      <w:szCs w:val="21"/>
                      <w:highlight w:val="none"/>
                      <w:lang w:val="en-US" w:eastAsia="zh-CN"/>
                    </w:rPr>
                  </w:pPr>
                  <w:r>
                    <w:rPr>
                      <w:rFonts w:hint="eastAsia"/>
                      <w:bCs/>
                      <w:caps w:val="0"/>
                      <w:color w:val="auto"/>
                      <w:kern w:val="0"/>
                      <w:szCs w:val="21"/>
                      <w:highlight w:val="none"/>
                      <w:lang w:val="en-US" w:eastAsia="zh-CN"/>
                    </w:rPr>
                    <w:t>昼间</w:t>
                  </w:r>
                </w:p>
              </w:tc>
              <w:tc>
                <w:tcPr>
                  <w:tcW w:w="648" w:type="pct"/>
                  <w:tcBorders>
                    <w:tl2br w:val="nil"/>
                    <w:tr2bl w:val="nil"/>
                  </w:tcBorders>
                  <w:vAlign w:val="center"/>
                </w:tcPr>
                <w:p w14:paraId="530485F0">
                  <w:pPr>
                    <w:ind w:left="-4" w:leftChars="-2" w:right="-34" w:rightChars="-16" w:firstLine="2" w:firstLineChars="1"/>
                    <w:jc w:val="center"/>
                    <w:rPr>
                      <w:rFonts w:hint="default"/>
                      <w:bCs/>
                      <w:caps w:val="0"/>
                      <w:color w:val="auto"/>
                      <w:kern w:val="0"/>
                      <w:szCs w:val="21"/>
                      <w:highlight w:val="none"/>
                      <w:lang w:val="en-US" w:eastAsia="zh-CN"/>
                    </w:rPr>
                  </w:pPr>
                  <w:r>
                    <w:rPr>
                      <w:rFonts w:hint="eastAsia"/>
                      <w:bCs/>
                      <w:caps w:val="0"/>
                      <w:color w:val="auto"/>
                      <w:kern w:val="0"/>
                      <w:szCs w:val="21"/>
                      <w:highlight w:val="none"/>
                      <w:lang w:val="en-US" w:eastAsia="zh-CN"/>
                    </w:rPr>
                    <w:t>夜间</w:t>
                  </w:r>
                </w:p>
              </w:tc>
            </w:tr>
            <w:tr w14:paraId="79DC7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000" w:type="pct"/>
                  <w:gridSpan w:val="5"/>
                  <w:tcBorders>
                    <w:tl2br w:val="nil"/>
                    <w:tr2bl w:val="nil"/>
                  </w:tcBorders>
                  <w:vAlign w:val="center"/>
                </w:tcPr>
                <w:p w14:paraId="746D9557">
                  <w:pPr>
                    <w:ind w:left="-4" w:leftChars="-2" w:right="-34" w:rightChars="-16" w:firstLine="2" w:firstLineChars="1"/>
                    <w:jc w:val="center"/>
                    <w:rPr>
                      <w:rFonts w:hint="eastAsia"/>
                      <w:bCs/>
                      <w:caps w:val="0"/>
                      <w:color w:val="auto"/>
                      <w:kern w:val="0"/>
                      <w:szCs w:val="21"/>
                      <w:highlight w:val="none"/>
                      <w:lang w:val="en-US" w:eastAsia="zh-CN"/>
                    </w:rPr>
                  </w:pPr>
                  <w:r>
                    <w:rPr>
                      <w:rFonts w:hint="eastAsia"/>
                      <w:bCs/>
                      <w:caps w:val="0"/>
                      <w:color w:val="auto"/>
                      <w:kern w:val="0"/>
                      <w:szCs w:val="21"/>
                      <w:highlight w:val="none"/>
                      <w:lang w:val="en-US" w:eastAsia="zh-CN"/>
                    </w:rPr>
                    <w:t>监测时间：2023年6月3日</w:t>
                  </w:r>
                </w:p>
              </w:tc>
            </w:tr>
            <w:tr w14:paraId="498AF0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40" w:type="pct"/>
                  <w:tcBorders>
                    <w:tl2br w:val="nil"/>
                    <w:tr2bl w:val="nil"/>
                  </w:tcBorders>
                  <w:vAlign w:val="center"/>
                </w:tcPr>
                <w:p w14:paraId="78471226">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1#</w:t>
                  </w:r>
                </w:p>
              </w:tc>
              <w:tc>
                <w:tcPr>
                  <w:tcW w:w="936" w:type="pct"/>
                  <w:tcBorders>
                    <w:tl2br w:val="nil"/>
                    <w:tr2bl w:val="nil"/>
                  </w:tcBorders>
                  <w:vAlign w:val="center"/>
                </w:tcPr>
                <w:p w14:paraId="56F32171">
                  <w:pPr>
                    <w:widowControl/>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厂界东</w:t>
                  </w:r>
                </w:p>
              </w:tc>
              <w:tc>
                <w:tcPr>
                  <w:tcW w:w="1626" w:type="pct"/>
                  <w:tcBorders>
                    <w:tl2br w:val="nil"/>
                    <w:tr2bl w:val="nil"/>
                  </w:tcBorders>
                  <w:vAlign w:val="center"/>
                </w:tcPr>
                <w:p w14:paraId="15CD051A">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caps w:val="0"/>
                      <w:color w:val="auto"/>
                      <w:kern w:val="0"/>
                      <w:szCs w:val="21"/>
                      <w:highlight w:val="none"/>
                    </w:rPr>
                    <w:t>工业企业厂界环境噪声</w:t>
                  </w:r>
                </w:p>
              </w:tc>
              <w:tc>
                <w:tcPr>
                  <w:tcW w:w="947" w:type="pct"/>
                  <w:tcBorders>
                    <w:tl2br w:val="nil"/>
                    <w:tr2bl w:val="nil"/>
                  </w:tcBorders>
                  <w:vAlign w:val="center"/>
                </w:tcPr>
                <w:p w14:paraId="733670FB">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57</w:t>
                  </w:r>
                </w:p>
              </w:tc>
              <w:tc>
                <w:tcPr>
                  <w:tcW w:w="648" w:type="pct"/>
                  <w:tcBorders>
                    <w:tl2br w:val="nil"/>
                    <w:tr2bl w:val="nil"/>
                  </w:tcBorders>
                  <w:vAlign w:val="center"/>
                </w:tcPr>
                <w:p w14:paraId="3806C145">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46</w:t>
                  </w:r>
                </w:p>
              </w:tc>
            </w:tr>
            <w:tr w14:paraId="628494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840" w:type="pct"/>
                  <w:tcBorders>
                    <w:tl2br w:val="nil"/>
                    <w:tr2bl w:val="nil"/>
                  </w:tcBorders>
                  <w:vAlign w:val="center"/>
                </w:tcPr>
                <w:p w14:paraId="0CFD9DF4">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2#</w:t>
                  </w:r>
                </w:p>
              </w:tc>
              <w:tc>
                <w:tcPr>
                  <w:tcW w:w="936" w:type="pct"/>
                  <w:tcBorders>
                    <w:tl2br w:val="nil"/>
                    <w:tr2bl w:val="nil"/>
                  </w:tcBorders>
                  <w:vAlign w:val="center"/>
                </w:tcPr>
                <w:p w14:paraId="6BE46241">
                  <w:pPr>
                    <w:widowControl/>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厂界南</w:t>
                  </w:r>
                </w:p>
              </w:tc>
              <w:tc>
                <w:tcPr>
                  <w:tcW w:w="1626" w:type="pct"/>
                  <w:tcBorders>
                    <w:tl2br w:val="nil"/>
                    <w:tr2bl w:val="nil"/>
                  </w:tcBorders>
                  <w:vAlign w:val="center"/>
                </w:tcPr>
                <w:p w14:paraId="12DD0749">
                  <w:pPr>
                    <w:ind w:left="-4" w:leftChars="-2" w:right="-34" w:rightChars="-16" w:firstLine="2" w:firstLineChars="1"/>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工业企业厂界环境噪声</w:t>
                  </w:r>
                </w:p>
              </w:tc>
              <w:tc>
                <w:tcPr>
                  <w:tcW w:w="947" w:type="pct"/>
                  <w:tcBorders>
                    <w:tl2br w:val="nil"/>
                    <w:tr2bl w:val="nil"/>
                  </w:tcBorders>
                  <w:vAlign w:val="center"/>
                </w:tcPr>
                <w:p w14:paraId="4AB1DCD8">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56</w:t>
                  </w:r>
                </w:p>
              </w:tc>
              <w:tc>
                <w:tcPr>
                  <w:tcW w:w="648" w:type="pct"/>
                  <w:tcBorders>
                    <w:tl2br w:val="nil"/>
                    <w:tr2bl w:val="nil"/>
                  </w:tcBorders>
                  <w:vAlign w:val="center"/>
                </w:tcPr>
                <w:p w14:paraId="5279F854">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45</w:t>
                  </w:r>
                </w:p>
              </w:tc>
            </w:tr>
            <w:tr w14:paraId="20DBFF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840" w:type="pct"/>
                  <w:tcBorders>
                    <w:tl2br w:val="nil"/>
                    <w:tr2bl w:val="nil"/>
                  </w:tcBorders>
                  <w:vAlign w:val="center"/>
                </w:tcPr>
                <w:p w14:paraId="3F477944">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3#</w:t>
                  </w:r>
                </w:p>
              </w:tc>
              <w:tc>
                <w:tcPr>
                  <w:tcW w:w="936" w:type="pct"/>
                  <w:tcBorders>
                    <w:tl2br w:val="nil"/>
                    <w:tr2bl w:val="nil"/>
                  </w:tcBorders>
                  <w:vAlign w:val="center"/>
                </w:tcPr>
                <w:p w14:paraId="0549BC61">
                  <w:pPr>
                    <w:widowControl/>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厂界西</w:t>
                  </w:r>
                </w:p>
              </w:tc>
              <w:tc>
                <w:tcPr>
                  <w:tcW w:w="1626" w:type="pct"/>
                  <w:tcBorders>
                    <w:tl2br w:val="nil"/>
                    <w:tr2bl w:val="nil"/>
                  </w:tcBorders>
                  <w:vAlign w:val="center"/>
                </w:tcPr>
                <w:p w14:paraId="6801AC76">
                  <w:pPr>
                    <w:ind w:left="-4" w:leftChars="-2" w:right="-34" w:rightChars="-16" w:firstLine="2" w:firstLineChars="1"/>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工业企业厂界环境噪声</w:t>
                  </w:r>
                </w:p>
              </w:tc>
              <w:tc>
                <w:tcPr>
                  <w:tcW w:w="947" w:type="pct"/>
                  <w:tcBorders>
                    <w:tl2br w:val="nil"/>
                    <w:tr2bl w:val="nil"/>
                  </w:tcBorders>
                  <w:vAlign w:val="center"/>
                </w:tcPr>
                <w:p w14:paraId="0E4B8436">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55</w:t>
                  </w:r>
                </w:p>
              </w:tc>
              <w:tc>
                <w:tcPr>
                  <w:tcW w:w="648" w:type="pct"/>
                  <w:tcBorders>
                    <w:tl2br w:val="nil"/>
                    <w:tr2bl w:val="nil"/>
                  </w:tcBorders>
                  <w:vAlign w:val="center"/>
                </w:tcPr>
                <w:p w14:paraId="78C1E6C4">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44</w:t>
                  </w:r>
                </w:p>
              </w:tc>
            </w:tr>
            <w:tr w14:paraId="608384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840" w:type="pct"/>
                  <w:tcBorders>
                    <w:tl2br w:val="nil"/>
                    <w:tr2bl w:val="nil"/>
                  </w:tcBorders>
                  <w:vAlign w:val="center"/>
                </w:tcPr>
                <w:p w14:paraId="4A710656">
                  <w:pPr>
                    <w:ind w:left="-4" w:leftChars="-2" w:right="-34" w:rightChars="-16" w:firstLine="2" w:firstLineChars="1"/>
                    <w:jc w:val="center"/>
                    <w:rPr>
                      <w:rFonts w:ascii="Times New Roman" w:hAnsi="Times New Roman" w:eastAsia="宋体"/>
                      <w:bCs/>
                      <w:caps w:val="0"/>
                      <w:color w:val="auto"/>
                      <w:kern w:val="0"/>
                      <w:szCs w:val="21"/>
                      <w:highlight w:val="none"/>
                    </w:rPr>
                  </w:pPr>
                  <w:r>
                    <w:rPr>
                      <w:rFonts w:ascii="Times New Roman" w:hAnsi="Times New Roman" w:eastAsia="宋体"/>
                      <w:bCs/>
                      <w:caps w:val="0"/>
                      <w:color w:val="auto"/>
                      <w:kern w:val="0"/>
                      <w:szCs w:val="21"/>
                      <w:highlight w:val="none"/>
                    </w:rPr>
                    <w:t>4#</w:t>
                  </w:r>
                </w:p>
              </w:tc>
              <w:tc>
                <w:tcPr>
                  <w:tcW w:w="936" w:type="pct"/>
                  <w:tcBorders>
                    <w:tl2br w:val="nil"/>
                    <w:tr2bl w:val="nil"/>
                  </w:tcBorders>
                  <w:vAlign w:val="center"/>
                </w:tcPr>
                <w:p w14:paraId="1DBBC387">
                  <w:pPr>
                    <w:widowControl/>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厂界北</w:t>
                  </w:r>
                </w:p>
              </w:tc>
              <w:tc>
                <w:tcPr>
                  <w:tcW w:w="1626" w:type="pct"/>
                  <w:tcBorders>
                    <w:tl2br w:val="nil"/>
                    <w:tr2bl w:val="nil"/>
                  </w:tcBorders>
                  <w:vAlign w:val="center"/>
                </w:tcPr>
                <w:p w14:paraId="26B8EC68">
                  <w:pPr>
                    <w:ind w:left="-4" w:leftChars="-2" w:right="-34" w:rightChars="-16" w:firstLine="2" w:firstLineChars="1"/>
                    <w:jc w:val="center"/>
                    <w:rPr>
                      <w:rFonts w:ascii="Times New Roman" w:hAnsi="Times New Roman" w:eastAsia="宋体"/>
                      <w:caps w:val="0"/>
                      <w:color w:val="auto"/>
                      <w:kern w:val="0"/>
                      <w:szCs w:val="21"/>
                      <w:highlight w:val="none"/>
                    </w:rPr>
                  </w:pPr>
                  <w:r>
                    <w:rPr>
                      <w:rFonts w:ascii="Times New Roman" w:hAnsi="Times New Roman" w:eastAsia="宋体"/>
                      <w:caps w:val="0"/>
                      <w:color w:val="auto"/>
                      <w:kern w:val="0"/>
                      <w:szCs w:val="21"/>
                      <w:highlight w:val="none"/>
                    </w:rPr>
                    <w:t>工业企业厂界环境噪声</w:t>
                  </w:r>
                </w:p>
              </w:tc>
              <w:tc>
                <w:tcPr>
                  <w:tcW w:w="947" w:type="pct"/>
                  <w:tcBorders>
                    <w:tl2br w:val="nil"/>
                    <w:tr2bl w:val="nil"/>
                  </w:tcBorders>
                  <w:vAlign w:val="center"/>
                </w:tcPr>
                <w:p w14:paraId="71E2B964">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54</w:t>
                  </w:r>
                </w:p>
              </w:tc>
              <w:tc>
                <w:tcPr>
                  <w:tcW w:w="648" w:type="pct"/>
                  <w:tcBorders>
                    <w:tl2br w:val="nil"/>
                    <w:tr2bl w:val="nil"/>
                  </w:tcBorders>
                  <w:vAlign w:val="center"/>
                </w:tcPr>
                <w:p w14:paraId="13F63678">
                  <w:pPr>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44</w:t>
                  </w:r>
                </w:p>
              </w:tc>
            </w:tr>
          </w:tbl>
          <w:p w14:paraId="72145785">
            <w:pPr>
              <w:widowControl/>
              <w:spacing w:line="360" w:lineRule="auto"/>
              <w:ind w:firstLine="480" w:firstLineChars="200"/>
              <w:jc w:val="left"/>
              <w:rPr>
                <w:rFonts w:ascii="Times New Roman" w:hAnsi="Times New Roman" w:eastAsia="宋体"/>
                <w:caps w:val="0"/>
                <w:color w:val="auto"/>
                <w:sz w:val="24"/>
                <w:highlight w:val="none"/>
              </w:rPr>
            </w:pPr>
            <w:r>
              <w:rPr>
                <w:rFonts w:ascii="Times New Roman" w:hAnsi="Times New Roman" w:eastAsia="宋体"/>
                <w:caps w:val="0"/>
                <w:color w:val="auto"/>
                <w:sz w:val="24"/>
                <w:highlight w:val="none"/>
              </w:rPr>
              <w:t>由上表可知，</w:t>
            </w:r>
            <w:r>
              <w:rPr>
                <w:rFonts w:hint="eastAsia" w:ascii="Times New Roman" w:hAnsi="Times New Roman" w:eastAsia="宋体"/>
                <w:caps w:val="0"/>
                <w:color w:val="auto"/>
                <w:sz w:val="24"/>
                <w:highlight w:val="none"/>
              </w:rPr>
              <w:t>现有</w:t>
            </w:r>
            <w:r>
              <w:rPr>
                <w:rFonts w:ascii="Times New Roman" w:hAnsi="Times New Roman" w:eastAsia="宋体"/>
                <w:caps w:val="0"/>
                <w:color w:val="auto"/>
                <w:sz w:val="24"/>
                <w:highlight w:val="none"/>
              </w:rPr>
              <w:t>项目</w:t>
            </w:r>
            <w:r>
              <w:rPr>
                <w:rFonts w:hint="eastAsia" w:ascii="Times New Roman" w:hAnsi="Times New Roman" w:eastAsia="宋体"/>
                <w:caps w:val="0"/>
                <w:color w:val="auto"/>
                <w:sz w:val="24"/>
                <w:highlight w:val="none"/>
              </w:rPr>
              <w:t>各</w:t>
            </w:r>
            <w:r>
              <w:rPr>
                <w:rFonts w:ascii="Times New Roman" w:hAnsi="Times New Roman" w:eastAsia="宋体"/>
                <w:caps w:val="0"/>
                <w:color w:val="auto"/>
                <w:sz w:val="24"/>
                <w:highlight w:val="none"/>
              </w:rPr>
              <w:t>厂界</w:t>
            </w:r>
            <w:r>
              <w:rPr>
                <w:rFonts w:hint="eastAsia" w:ascii="Times New Roman" w:hAnsi="Times New Roman" w:eastAsia="宋体"/>
                <w:caps w:val="0"/>
                <w:color w:val="auto"/>
                <w:sz w:val="24"/>
                <w:highlight w:val="none"/>
              </w:rPr>
              <w:t>昼夜间</w:t>
            </w:r>
            <w:r>
              <w:rPr>
                <w:rFonts w:ascii="Times New Roman" w:hAnsi="Times New Roman" w:eastAsia="宋体"/>
                <w:caps w:val="0"/>
                <w:color w:val="auto"/>
                <w:sz w:val="24"/>
                <w:highlight w:val="none"/>
              </w:rPr>
              <w:t>噪声</w:t>
            </w:r>
            <w:r>
              <w:rPr>
                <w:rFonts w:hint="eastAsia" w:ascii="Times New Roman" w:hAnsi="Times New Roman" w:eastAsia="宋体"/>
                <w:caps w:val="0"/>
                <w:color w:val="auto"/>
                <w:sz w:val="24"/>
                <w:highlight w:val="none"/>
              </w:rPr>
              <w:t>排放</w:t>
            </w:r>
            <w:r>
              <w:rPr>
                <w:rFonts w:ascii="Times New Roman" w:hAnsi="Times New Roman" w:eastAsia="宋体"/>
                <w:caps w:val="0"/>
                <w:color w:val="auto"/>
                <w:sz w:val="24"/>
                <w:highlight w:val="none"/>
              </w:rPr>
              <w:t>能够满足《工业企业厂界环境噪声排放标准》（GB12348-2008）3类标准限值要求。</w:t>
            </w:r>
          </w:p>
          <w:p w14:paraId="0737BE52">
            <w:pPr>
              <w:adjustRightInd w:val="0"/>
              <w:spacing w:line="360" w:lineRule="auto"/>
              <w:ind w:firstLine="482" w:firstLineChars="200"/>
              <w:textAlignment w:val="baseline"/>
              <w:rPr>
                <w:rFonts w:ascii="Times New Roman" w:hAnsi="Times New Roman" w:eastAsia="宋体"/>
                <w:b/>
                <w:caps w:val="0"/>
                <w:color w:val="auto"/>
                <w:sz w:val="24"/>
                <w:highlight w:val="none"/>
              </w:rPr>
            </w:pPr>
            <w:r>
              <w:rPr>
                <w:rFonts w:ascii="Times New Roman" w:hAnsi="Times New Roman" w:eastAsia="宋体"/>
                <w:b/>
                <w:caps w:val="0"/>
                <w:color w:val="auto"/>
                <w:sz w:val="24"/>
                <w:highlight w:val="none"/>
              </w:rPr>
              <w:t>（4）固废</w:t>
            </w:r>
          </w:p>
          <w:p w14:paraId="010210F2">
            <w:pPr>
              <w:widowControl/>
              <w:spacing w:line="360" w:lineRule="auto"/>
              <w:ind w:firstLine="480" w:firstLineChars="200"/>
              <w:jc w:val="left"/>
              <w:rPr>
                <w:rFonts w:hint="eastAsia" w:ascii="Times New Roman" w:hAnsi="Times New Roman" w:eastAsia="宋体"/>
                <w:caps w:val="0"/>
                <w:color w:val="auto"/>
                <w:sz w:val="24"/>
                <w:highlight w:val="none"/>
              </w:rPr>
            </w:pPr>
            <w:r>
              <w:rPr>
                <w:rFonts w:ascii="Times New Roman" w:hAnsi="Times New Roman" w:eastAsia="宋体"/>
                <w:caps w:val="0"/>
                <w:color w:val="auto"/>
                <w:sz w:val="24"/>
                <w:highlight w:val="none"/>
              </w:rPr>
              <w:t>现有项目产生的固体废物主要包括一般固体废物、危险废物以及职工生活垃圾</w:t>
            </w:r>
            <w:r>
              <w:rPr>
                <w:rFonts w:hint="eastAsia" w:ascii="Times New Roman" w:hAnsi="Times New Roman" w:eastAsia="宋体"/>
                <w:caps w:val="0"/>
                <w:color w:val="auto"/>
                <w:sz w:val="24"/>
                <w:highlight w:val="none"/>
              </w:rPr>
              <w:t>，</w:t>
            </w:r>
            <w:r>
              <w:rPr>
                <w:rFonts w:hint="eastAsia"/>
                <w:caps w:val="0"/>
                <w:color w:val="auto"/>
                <w:sz w:val="24"/>
                <w:highlight w:val="none"/>
                <w:lang w:val="en-US" w:eastAsia="zh-CN"/>
              </w:rPr>
              <w:t>塑料边角料、塑料不合格品破碎后回用，废包装材料、</w:t>
            </w:r>
            <w:r>
              <w:rPr>
                <w:rFonts w:hint="eastAsia" w:ascii="Times New Roman" w:hAnsi="Times New Roman" w:eastAsia="宋体"/>
                <w:caps w:val="0"/>
                <w:color w:val="auto"/>
                <w:sz w:val="24"/>
                <w:highlight w:val="none"/>
              </w:rPr>
              <w:t>金属边角料</w:t>
            </w:r>
            <w:r>
              <w:rPr>
                <w:rFonts w:hint="eastAsia"/>
                <w:caps w:val="0"/>
                <w:color w:val="auto"/>
                <w:sz w:val="24"/>
                <w:highlight w:val="none"/>
                <w:lang w:eastAsia="zh-CN"/>
              </w:rPr>
              <w:t>、</w:t>
            </w:r>
            <w:r>
              <w:rPr>
                <w:rFonts w:hint="eastAsia"/>
                <w:caps w:val="0"/>
                <w:color w:val="auto"/>
                <w:sz w:val="24"/>
                <w:highlight w:val="none"/>
                <w:lang w:val="en-US" w:eastAsia="zh-CN"/>
              </w:rPr>
              <w:t>废金属碎屑、金属不合格品</w:t>
            </w:r>
            <w:r>
              <w:rPr>
                <w:rFonts w:hint="eastAsia" w:ascii="Times New Roman" w:hAnsi="Times New Roman" w:eastAsia="宋体"/>
                <w:caps w:val="0"/>
                <w:color w:val="auto"/>
                <w:sz w:val="24"/>
                <w:highlight w:val="none"/>
              </w:rPr>
              <w:t>经收集后定期外售综合利用，</w:t>
            </w:r>
            <w:r>
              <w:rPr>
                <w:rFonts w:hint="eastAsia"/>
                <w:caps w:val="0"/>
                <w:color w:val="auto"/>
                <w:sz w:val="24"/>
                <w:highlight w:val="none"/>
                <w:lang w:val="en-US" w:eastAsia="zh-CN"/>
              </w:rPr>
              <w:t>沉淀池污泥交由一般固废有限公司处理，</w:t>
            </w:r>
            <w:r>
              <w:rPr>
                <w:rFonts w:hint="eastAsia" w:ascii="Times New Roman" w:hAnsi="Times New Roman" w:eastAsia="宋体"/>
                <w:caps w:val="0"/>
                <w:color w:val="auto"/>
                <w:sz w:val="24"/>
                <w:highlight w:val="none"/>
              </w:rPr>
              <w:t>废包装桶、废活性炭、废润滑油、废切削液等危险废物经收集后暂存于危废暂存库内</w:t>
            </w:r>
            <w:r>
              <w:rPr>
                <w:rFonts w:hint="eastAsia" w:ascii="Times New Roman" w:hAnsi="Times New Roman" w:eastAsia="宋体"/>
                <w:caps w:val="0"/>
                <w:color w:val="auto"/>
                <w:sz w:val="24"/>
                <w:highlight w:val="none"/>
                <w:lang w:val="en-US" w:eastAsia="zh-CN"/>
              </w:rPr>
              <w:t>，</w:t>
            </w:r>
            <w:r>
              <w:rPr>
                <w:rFonts w:hint="eastAsia" w:ascii="Times New Roman" w:hAnsi="Times New Roman" w:eastAsia="宋体"/>
                <w:caps w:val="0"/>
                <w:color w:val="auto"/>
                <w:sz w:val="24"/>
                <w:highlight w:val="none"/>
              </w:rPr>
              <w:t>定期委托</w:t>
            </w:r>
            <w:r>
              <w:rPr>
                <w:rFonts w:hint="eastAsia"/>
                <w:caps w:val="0"/>
                <w:color w:val="auto"/>
                <w:sz w:val="24"/>
                <w:highlight w:val="none"/>
                <w:lang w:val="en-US" w:eastAsia="zh-CN"/>
              </w:rPr>
              <w:t>有资质单位处置</w:t>
            </w:r>
            <w:r>
              <w:rPr>
                <w:rFonts w:hint="eastAsia" w:ascii="Times New Roman" w:hAnsi="Times New Roman" w:eastAsia="宋体"/>
                <w:caps w:val="0"/>
                <w:color w:val="auto"/>
                <w:sz w:val="24"/>
                <w:highlight w:val="none"/>
              </w:rPr>
              <w:t>；生活垃圾经收集后委托环卫部门清运。</w:t>
            </w:r>
          </w:p>
          <w:p w14:paraId="555DB6EE">
            <w:pPr>
              <w:adjustRightInd w:val="0"/>
              <w:spacing w:line="360" w:lineRule="auto"/>
              <w:ind w:firstLine="482" w:firstLineChars="200"/>
              <w:textAlignment w:val="baseline"/>
              <w:rPr>
                <w:rFonts w:hint="default" w:ascii="Times New Roman" w:hAnsi="Times New Roman" w:eastAsia="宋体"/>
                <w:b/>
                <w:caps w:val="0"/>
                <w:color w:val="auto"/>
                <w:sz w:val="24"/>
                <w:highlight w:val="none"/>
                <w:lang w:val="en-US" w:eastAsia="zh-CN"/>
              </w:rPr>
            </w:pPr>
            <w:r>
              <w:rPr>
                <w:rFonts w:hint="eastAsia" w:ascii="Times New Roman" w:hAnsi="Times New Roman" w:eastAsia="宋体"/>
                <w:b/>
                <w:caps w:val="0"/>
                <w:color w:val="auto"/>
                <w:sz w:val="24"/>
                <w:highlight w:val="none"/>
                <w:lang w:val="en-US" w:eastAsia="zh-CN"/>
              </w:rPr>
              <w:t>5、现有项目主要污染物实际排放量</w:t>
            </w:r>
          </w:p>
          <w:p w14:paraId="081C92A0">
            <w:pPr>
              <w:widowControl/>
              <w:spacing w:line="360" w:lineRule="auto"/>
              <w:ind w:firstLine="480" w:firstLineChars="200"/>
              <w:jc w:val="left"/>
              <w:rPr>
                <w:rFonts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rPr>
              <w:t>现有项目</w:t>
            </w:r>
            <w:r>
              <w:rPr>
                <w:rFonts w:hint="eastAsia" w:ascii="Times New Roman" w:hAnsi="Times New Roman" w:eastAsia="宋体"/>
                <w:caps w:val="0"/>
                <w:color w:val="auto"/>
                <w:sz w:val="24"/>
                <w:highlight w:val="none"/>
                <w:lang w:val="en-US" w:eastAsia="zh-CN"/>
              </w:rPr>
              <w:t>主要</w:t>
            </w:r>
            <w:r>
              <w:rPr>
                <w:rFonts w:hint="eastAsia" w:ascii="Times New Roman" w:hAnsi="Times New Roman" w:eastAsia="宋体"/>
                <w:caps w:val="0"/>
                <w:color w:val="auto"/>
                <w:sz w:val="24"/>
                <w:highlight w:val="none"/>
              </w:rPr>
              <w:t>污染物实际排放量见表2-</w:t>
            </w:r>
            <w:r>
              <w:rPr>
                <w:rFonts w:hint="eastAsia"/>
                <w:caps w:val="0"/>
                <w:color w:val="auto"/>
                <w:sz w:val="24"/>
                <w:highlight w:val="none"/>
                <w:lang w:val="en-US" w:eastAsia="zh-CN"/>
              </w:rPr>
              <w:t>20</w:t>
            </w:r>
            <w:r>
              <w:rPr>
                <w:rFonts w:hint="eastAsia" w:ascii="Times New Roman" w:hAnsi="Times New Roman" w:eastAsia="宋体"/>
                <w:caps w:val="0"/>
                <w:color w:val="auto"/>
                <w:sz w:val="24"/>
                <w:highlight w:val="none"/>
              </w:rPr>
              <w:t>。</w:t>
            </w:r>
          </w:p>
          <w:p w14:paraId="29736587">
            <w:pPr>
              <w:widowControl/>
              <w:jc w:val="center"/>
              <w:rPr>
                <w:rFonts w:hint="eastAsia" w:ascii="Times New Roman" w:hAnsi="Times New Roman" w:eastAsia="宋体"/>
                <w:b/>
                <w:bCs/>
                <w:caps w:val="0"/>
                <w:color w:val="auto"/>
                <w:spacing w:val="-2"/>
                <w:sz w:val="24"/>
                <w:highlight w:val="none"/>
                <w:lang w:val="en-US" w:eastAsia="zh-CN"/>
              </w:rPr>
            </w:pPr>
            <w:r>
              <w:rPr>
                <w:rFonts w:ascii="Times New Roman" w:hAnsi="Times New Roman" w:eastAsia="宋体"/>
                <w:b/>
                <w:bCs/>
                <w:caps w:val="0"/>
                <w:color w:val="auto"/>
                <w:spacing w:val="-2"/>
                <w:sz w:val="24"/>
                <w:highlight w:val="none"/>
              </w:rPr>
              <w:t>表</w:t>
            </w:r>
            <w:r>
              <w:rPr>
                <w:rFonts w:hint="eastAsia" w:ascii="Times New Roman" w:hAnsi="Times New Roman" w:eastAsia="宋体"/>
                <w:b/>
                <w:bCs/>
                <w:caps w:val="0"/>
                <w:color w:val="auto"/>
                <w:spacing w:val="-2"/>
                <w:sz w:val="24"/>
                <w:highlight w:val="none"/>
              </w:rPr>
              <w:t>2-</w:t>
            </w:r>
            <w:r>
              <w:rPr>
                <w:rFonts w:hint="eastAsia"/>
                <w:b/>
                <w:bCs/>
                <w:caps w:val="0"/>
                <w:color w:val="auto"/>
                <w:spacing w:val="-2"/>
                <w:sz w:val="24"/>
                <w:highlight w:val="none"/>
                <w:lang w:val="en-US" w:eastAsia="zh-CN"/>
              </w:rPr>
              <w:t>20</w:t>
            </w:r>
            <w:r>
              <w:rPr>
                <w:rFonts w:ascii="Times New Roman" w:hAnsi="Times New Roman" w:eastAsia="宋体"/>
                <w:b/>
                <w:bCs/>
                <w:caps w:val="0"/>
                <w:color w:val="auto"/>
                <w:spacing w:val="-2"/>
                <w:sz w:val="24"/>
                <w:highlight w:val="none"/>
              </w:rPr>
              <w:t xml:space="preserve">  </w:t>
            </w:r>
            <w:r>
              <w:rPr>
                <w:rFonts w:hint="eastAsia" w:ascii="Times New Roman" w:hAnsi="Times New Roman" w:eastAsia="宋体"/>
                <w:b/>
                <w:bCs/>
                <w:caps w:val="0"/>
                <w:color w:val="auto"/>
                <w:spacing w:val="-2"/>
                <w:sz w:val="24"/>
                <w:highlight w:val="none"/>
              </w:rPr>
              <w:t>现有项目</w:t>
            </w:r>
            <w:r>
              <w:rPr>
                <w:rFonts w:hint="eastAsia" w:ascii="Times New Roman" w:hAnsi="Times New Roman" w:eastAsia="宋体"/>
                <w:b/>
                <w:bCs/>
                <w:caps w:val="0"/>
                <w:color w:val="auto"/>
                <w:spacing w:val="-2"/>
                <w:sz w:val="24"/>
                <w:highlight w:val="none"/>
                <w:lang w:val="en-US" w:eastAsia="zh-CN"/>
              </w:rPr>
              <w:t>主要</w:t>
            </w:r>
            <w:r>
              <w:rPr>
                <w:rFonts w:hint="eastAsia" w:ascii="Times New Roman" w:hAnsi="Times New Roman" w:eastAsia="宋体"/>
                <w:b/>
                <w:bCs/>
                <w:caps w:val="0"/>
                <w:color w:val="auto"/>
                <w:spacing w:val="-2"/>
                <w:sz w:val="24"/>
                <w:highlight w:val="none"/>
              </w:rPr>
              <w:t>污染物实际排放量</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3266"/>
              <w:gridCol w:w="2873"/>
            </w:tblGrid>
            <w:tr w14:paraId="281721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tcBorders>
                    <w:tl2br w:val="nil"/>
                    <w:tr2bl w:val="nil"/>
                  </w:tcBorders>
                  <w:vAlign w:val="center"/>
                </w:tcPr>
                <w:p w14:paraId="66DFB8B9">
                  <w:pPr>
                    <w:widowControl/>
                    <w:jc w:val="center"/>
                    <w:rPr>
                      <w:rFonts w:hint="default" w:ascii="Times New Roman" w:hAnsi="Times New Roman" w:eastAsia="宋体"/>
                      <w:b/>
                      <w:bCs/>
                      <w:caps w:val="0"/>
                      <w:color w:val="auto"/>
                      <w:kern w:val="0"/>
                      <w:szCs w:val="21"/>
                      <w:highlight w:val="none"/>
                      <w:lang w:val="en-US" w:eastAsia="zh-CN"/>
                    </w:rPr>
                  </w:pPr>
                  <w:r>
                    <w:rPr>
                      <w:rFonts w:hint="eastAsia" w:ascii="Times New Roman" w:hAnsi="Times New Roman" w:eastAsia="宋体"/>
                      <w:b/>
                      <w:bCs/>
                      <w:caps w:val="0"/>
                      <w:color w:val="auto"/>
                      <w:kern w:val="0"/>
                      <w:szCs w:val="21"/>
                      <w:highlight w:val="none"/>
                      <w:lang w:val="en-US" w:eastAsia="zh-CN"/>
                    </w:rPr>
                    <w:t>项目</w:t>
                  </w:r>
                </w:p>
              </w:tc>
              <w:tc>
                <w:tcPr>
                  <w:tcW w:w="2071" w:type="pct"/>
                  <w:tcBorders>
                    <w:tl2br w:val="nil"/>
                    <w:tr2bl w:val="nil"/>
                  </w:tcBorders>
                  <w:tcMar>
                    <w:left w:w="28" w:type="dxa"/>
                    <w:right w:w="28" w:type="dxa"/>
                  </w:tcMar>
                  <w:vAlign w:val="center"/>
                </w:tcPr>
                <w:p w14:paraId="5DC7F894">
                  <w:pPr>
                    <w:widowControl/>
                    <w:jc w:val="center"/>
                    <w:rPr>
                      <w:rFonts w:hint="eastAsia" w:ascii="Times New Roman" w:hAnsi="Times New Roman" w:eastAsia="宋体"/>
                      <w:b/>
                      <w:bCs/>
                      <w:caps w:val="0"/>
                      <w:color w:val="auto"/>
                      <w:kern w:val="0"/>
                      <w:szCs w:val="21"/>
                      <w:highlight w:val="none"/>
                    </w:rPr>
                  </w:pPr>
                  <w:r>
                    <w:rPr>
                      <w:rFonts w:hint="eastAsia" w:ascii="Times New Roman" w:hAnsi="Times New Roman" w:eastAsia="宋体"/>
                      <w:b/>
                      <w:bCs/>
                      <w:caps w:val="0"/>
                      <w:color w:val="auto"/>
                      <w:kern w:val="0"/>
                      <w:szCs w:val="21"/>
                      <w:highlight w:val="none"/>
                      <w:lang w:val="en-US" w:eastAsia="zh-CN"/>
                    </w:rPr>
                    <w:t>污染物名称</w:t>
                  </w:r>
                </w:p>
              </w:tc>
              <w:tc>
                <w:tcPr>
                  <w:tcW w:w="1822" w:type="pct"/>
                  <w:tcBorders>
                    <w:tl2br w:val="nil"/>
                    <w:tr2bl w:val="nil"/>
                  </w:tcBorders>
                  <w:tcMar>
                    <w:left w:w="28" w:type="dxa"/>
                    <w:right w:w="28" w:type="dxa"/>
                  </w:tcMar>
                  <w:vAlign w:val="center"/>
                </w:tcPr>
                <w:p w14:paraId="3464DC51">
                  <w:pPr>
                    <w:widowControl/>
                    <w:jc w:val="center"/>
                    <w:rPr>
                      <w:rFonts w:hint="eastAsia" w:ascii="Times New Roman" w:hAnsi="Times New Roman" w:eastAsia="宋体"/>
                      <w:b/>
                      <w:bCs/>
                      <w:caps w:val="0"/>
                      <w:color w:val="auto"/>
                      <w:kern w:val="0"/>
                      <w:szCs w:val="21"/>
                      <w:highlight w:val="none"/>
                      <w:lang w:eastAsia="zh-CN"/>
                    </w:rPr>
                  </w:pPr>
                  <w:r>
                    <w:rPr>
                      <w:rFonts w:hint="eastAsia" w:ascii="Times New Roman" w:hAnsi="Times New Roman" w:eastAsia="宋体"/>
                      <w:b/>
                      <w:bCs/>
                      <w:caps w:val="0"/>
                      <w:color w:val="auto"/>
                      <w:kern w:val="0"/>
                      <w:szCs w:val="21"/>
                      <w:highlight w:val="none"/>
                    </w:rPr>
                    <w:t>实际排放量</w:t>
                  </w:r>
                  <w:r>
                    <w:rPr>
                      <w:rFonts w:hint="eastAsia" w:ascii="Times New Roman" w:hAnsi="Times New Roman" w:eastAsia="宋体"/>
                      <w:b/>
                      <w:bCs/>
                      <w:caps w:val="0"/>
                      <w:color w:val="auto"/>
                      <w:kern w:val="0"/>
                      <w:szCs w:val="21"/>
                      <w:highlight w:val="none"/>
                      <w:lang w:val="en-US" w:eastAsia="zh-CN"/>
                    </w:rPr>
                    <w:t>*</w:t>
                  </w:r>
                  <w:r>
                    <w:rPr>
                      <w:rFonts w:hint="eastAsia" w:ascii="Times New Roman" w:hAnsi="Times New Roman" w:eastAsia="宋体"/>
                      <w:b/>
                      <w:bCs/>
                      <w:caps w:val="0"/>
                      <w:color w:val="auto"/>
                      <w:kern w:val="0"/>
                      <w:szCs w:val="21"/>
                      <w:highlight w:val="none"/>
                      <w:lang w:eastAsia="zh-CN"/>
                    </w:rPr>
                    <w:t>（</w:t>
                  </w:r>
                  <w:r>
                    <w:rPr>
                      <w:rFonts w:hint="eastAsia" w:ascii="Times New Roman" w:hAnsi="Times New Roman" w:eastAsia="宋体"/>
                      <w:b/>
                      <w:bCs/>
                      <w:caps w:val="0"/>
                      <w:color w:val="auto"/>
                      <w:kern w:val="0"/>
                      <w:szCs w:val="21"/>
                      <w:highlight w:val="none"/>
                      <w:lang w:val="en-US" w:eastAsia="zh-CN"/>
                    </w:rPr>
                    <w:t>t/a</w:t>
                  </w:r>
                  <w:r>
                    <w:rPr>
                      <w:rFonts w:hint="eastAsia" w:ascii="Times New Roman" w:hAnsi="Times New Roman" w:eastAsia="宋体"/>
                      <w:b/>
                      <w:bCs/>
                      <w:caps w:val="0"/>
                      <w:color w:val="auto"/>
                      <w:kern w:val="0"/>
                      <w:szCs w:val="21"/>
                      <w:highlight w:val="none"/>
                      <w:lang w:eastAsia="zh-CN"/>
                    </w:rPr>
                    <w:t>）</w:t>
                  </w:r>
                </w:p>
              </w:tc>
            </w:tr>
            <w:tr w14:paraId="246AB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vMerge w:val="restart"/>
                  <w:tcBorders>
                    <w:tl2br w:val="nil"/>
                    <w:tr2bl w:val="nil"/>
                  </w:tcBorders>
                  <w:vAlign w:val="center"/>
                </w:tcPr>
                <w:p w14:paraId="18132EDB">
                  <w:pPr>
                    <w:widowControl/>
                    <w:spacing w:line="240" w:lineRule="atLeast"/>
                    <w:jc w:val="center"/>
                    <w:rPr>
                      <w:rFonts w:hint="eastAsia"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废气</w:t>
                  </w:r>
                </w:p>
              </w:tc>
              <w:tc>
                <w:tcPr>
                  <w:tcW w:w="2071" w:type="pct"/>
                  <w:tcBorders>
                    <w:tl2br w:val="nil"/>
                    <w:tr2bl w:val="nil"/>
                  </w:tcBorders>
                  <w:tcMar>
                    <w:left w:w="28" w:type="dxa"/>
                    <w:right w:w="28" w:type="dxa"/>
                  </w:tcMar>
                  <w:vAlign w:val="center"/>
                </w:tcPr>
                <w:p w14:paraId="09B0D534">
                  <w:pPr>
                    <w:jc w:val="center"/>
                    <w:rPr>
                      <w:rFonts w:ascii="Times New Roman" w:hAnsi="Times New Roman" w:eastAsia="宋体" w:cs="Times New Roman"/>
                      <w:caps w:val="0"/>
                      <w:color w:val="auto"/>
                      <w:kern w:val="2"/>
                      <w:sz w:val="21"/>
                      <w:szCs w:val="21"/>
                      <w:highlight w:val="none"/>
                      <w:lang w:val="en-US" w:eastAsia="zh-CN" w:bidi="ar-SA"/>
                    </w:rPr>
                  </w:pPr>
                  <w:r>
                    <w:rPr>
                      <w:rFonts w:ascii="Times New Roman" w:hAnsi="Times New Roman" w:eastAsia="宋体"/>
                      <w:caps w:val="0"/>
                      <w:color w:val="auto"/>
                      <w:szCs w:val="21"/>
                      <w:highlight w:val="none"/>
                    </w:rPr>
                    <w:t>VOCs（以非甲烷总烃计</w:t>
                  </w:r>
                  <w:r>
                    <w:rPr>
                      <w:rFonts w:hint="eastAsia" w:ascii="Times New Roman" w:hAnsi="Times New Roman" w:eastAsia="宋体"/>
                      <w:caps w:val="0"/>
                      <w:color w:val="auto"/>
                      <w:szCs w:val="21"/>
                      <w:highlight w:val="none"/>
                      <w:lang w:eastAsia="zh-CN"/>
                    </w:rPr>
                    <w:t>，</w:t>
                  </w:r>
                  <w:r>
                    <w:rPr>
                      <w:rFonts w:hint="eastAsia" w:ascii="Times New Roman" w:hAnsi="Times New Roman" w:eastAsia="宋体"/>
                      <w:caps w:val="0"/>
                      <w:color w:val="auto"/>
                      <w:szCs w:val="21"/>
                      <w:highlight w:val="none"/>
                      <w:lang w:val="en-US" w:eastAsia="zh-CN"/>
                    </w:rPr>
                    <w:t>含</w:t>
                  </w:r>
                  <w:r>
                    <w:rPr>
                      <w:rFonts w:hint="eastAsia"/>
                      <w:caps w:val="0"/>
                      <w:color w:val="auto"/>
                      <w:szCs w:val="21"/>
                      <w:highlight w:val="none"/>
                      <w:lang w:val="en-US" w:eastAsia="zh-CN"/>
                    </w:rPr>
                    <w:t>甲苯、苯乙烯</w:t>
                  </w:r>
                  <w:r>
                    <w:rPr>
                      <w:rFonts w:ascii="Times New Roman" w:hAnsi="Times New Roman" w:eastAsia="宋体"/>
                      <w:caps w:val="0"/>
                      <w:color w:val="auto"/>
                      <w:szCs w:val="21"/>
                      <w:highlight w:val="none"/>
                    </w:rPr>
                    <w:t>）</w:t>
                  </w:r>
                </w:p>
              </w:tc>
              <w:tc>
                <w:tcPr>
                  <w:tcW w:w="1822" w:type="pct"/>
                  <w:tcBorders>
                    <w:tl2br w:val="nil"/>
                    <w:tr2bl w:val="nil"/>
                  </w:tcBorders>
                  <w:tcMar>
                    <w:left w:w="28" w:type="dxa"/>
                    <w:right w:w="28" w:type="dxa"/>
                  </w:tcMar>
                  <w:vAlign w:val="center"/>
                </w:tcPr>
                <w:p w14:paraId="4EE42FA9">
                  <w:pPr>
                    <w:pStyle w:val="42"/>
                    <w:spacing w:beforeLines="0" w:afterLines="0" w:line="240" w:lineRule="auto"/>
                    <w:jc w:val="center"/>
                    <w:rPr>
                      <w:rFonts w:hint="default" w:ascii="Times New Roman" w:hAnsi="Times New Roman" w:eastAsia="宋体" w:cs="Times New Roman"/>
                      <w:caps w:val="0"/>
                      <w:snapToGrid w:val="0"/>
                      <w:color w:val="auto"/>
                      <w:kern w:val="21"/>
                      <w:sz w:val="21"/>
                      <w:szCs w:val="21"/>
                      <w:highlight w:val="none"/>
                      <w:lang w:val="en-US" w:eastAsia="zh-CN" w:bidi="ar-SA"/>
                    </w:rPr>
                  </w:pPr>
                  <w:r>
                    <w:rPr>
                      <w:rFonts w:hint="eastAsia" w:ascii="Times New Roman"/>
                      <w:caps w:val="0"/>
                      <w:snapToGrid w:val="0"/>
                      <w:color w:val="auto"/>
                      <w:kern w:val="21"/>
                      <w:szCs w:val="21"/>
                      <w:highlight w:val="none"/>
                      <w:lang w:val="en-US" w:eastAsia="zh-CN"/>
                    </w:rPr>
                    <w:t>0.56</w:t>
                  </w:r>
                </w:p>
              </w:tc>
            </w:tr>
            <w:tr w14:paraId="6FDD67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vMerge w:val="continue"/>
                  <w:tcBorders>
                    <w:tl2br w:val="nil"/>
                    <w:tr2bl w:val="nil"/>
                  </w:tcBorders>
                  <w:vAlign w:val="center"/>
                </w:tcPr>
                <w:p w14:paraId="37F5FAEC">
                  <w:pPr>
                    <w:widowControl/>
                    <w:spacing w:line="240" w:lineRule="atLeast"/>
                    <w:jc w:val="center"/>
                    <w:rPr>
                      <w:rFonts w:hint="eastAsia" w:ascii="Times New Roman" w:hAnsi="Times New Roman" w:eastAsia="宋体"/>
                      <w:caps w:val="0"/>
                      <w:color w:val="auto"/>
                      <w:kern w:val="0"/>
                      <w:szCs w:val="21"/>
                      <w:highlight w:val="none"/>
                      <w:lang w:val="en-US" w:eastAsia="zh-CN"/>
                    </w:rPr>
                  </w:pPr>
                </w:p>
              </w:tc>
              <w:tc>
                <w:tcPr>
                  <w:tcW w:w="2071" w:type="pct"/>
                  <w:tcBorders>
                    <w:tl2br w:val="nil"/>
                    <w:tr2bl w:val="nil"/>
                  </w:tcBorders>
                  <w:vAlign w:val="center"/>
                </w:tcPr>
                <w:p w14:paraId="4FC2AAEA">
                  <w:pPr>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甲苯</w:t>
                  </w:r>
                </w:p>
              </w:tc>
              <w:tc>
                <w:tcPr>
                  <w:tcW w:w="1822" w:type="pct"/>
                  <w:tcBorders>
                    <w:tl2br w:val="nil"/>
                    <w:tr2bl w:val="nil"/>
                  </w:tcBorders>
                  <w:vAlign w:val="center"/>
                </w:tcPr>
                <w:p w14:paraId="5B78A03B">
                  <w:pPr>
                    <w:pStyle w:val="42"/>
                    <w:spacing w:beforeLines="0" w:afterLines="0" w:line="240" w:lineRule="auto"/>
                    <w:jc w:val="center"/>
                    <w:rPr>
                      <w:rFonts w:hint="default" w:ascii="Times New Roman" w:hAnsi="Times New Roman" w:eastAsia="宋体" w:cs="Times New Roman"/>
                      <w:caps w:val="0"/>
                      <w:snapToGrid w:val="0"/>
                      <w:color w:val="auto"/>
                      <w:kern w:val="21"/>
                      <w:sz w:val="21"/>
                      <w:szCs w:val="21"/>
                      <w:highlight w:val="none"/>
                      <w:lang w:val="en-US" w:eastAsia="zh-CN" w:bidi="ar-SA"/>
                    </w:rPr>
                  </w:pPr>
                  <w:r>
                    <w:rPr>
                      <w:rFonts w:hint="eastAsia" w:ascii="Times New Roman"/>
                      <w:caps w:val="0"/>
                      <w:snapToGrid w:val="0"/>
                      <w:color w:val="auto"/>
                      <w:kern w:val="21"/>
                      <w:szCs w:val="21"/>
                      <w:highlight w:val="none"/>
                      <w:lang w:val="en-US" w:eastAsia="zh-CN"/>
                    </w:rPr>
                    <w:t>0.041</w:t>
                  </w:r>
                </w:p>
              </w:tc>
            </w:tr>
            <w:tr w14:paraId="6D5434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vMerge w:val="continue"/>
                  <w:tcBorders>
                    <w:tl2br w:val="nil"/>
                    <w:tr2bl w:val="nil"/>
                  </w:tcBorders>
                  <w:vAlign w:val="center"/>
                </w:tcPr>
                <w:p w14:paraId="38C62BF5">
                  <w:pPr>
                    <w:widowControl/>
                    <w:spacing w:line="240" w:lineRule="atLeast"/>
                    <w:jc w:val="center"/>
                    <w:rPr>
                      <w:rFonts w:hint="eastAsia" w:ascii="Times New Roman" w:hAnsi="Times New Roman" w:eastAsia="宋体"/>
                      <w:caps w:val="0"/>
                      <w:color w:val="auto"/>
                      <w:kern w:val="0"/>
                      <w:szCs w:val="21"/>
                      <w:highlight w:val="none"/>
                      <w:lang w:val="en-US" w:eastAsia="zh-CN"/>
                    </w:rPr>
                  </w:pPr>
                </w:p>
              </w:tc>
              <w:tc>
                <w:tcPr>
                  <w:tcW w:w="2071" w:type="pct"/>
                  <w:tcBorders>
                    <w:tl2br w:val="nil"/>
                    <w:tr2bl w:val="nil"/>
                  </w:tcBorders>
                  <w:vAlign w:val="center"/>
                </w:tcPr>
                <w:p w14:paraId="24F3D978">
                  <w:pPr>
                    <w:jc w:val="center"/>
                    <w:rPr>
                      <w:rFonts w:hint="default"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苯乙烯</w:t>
                  </w:r>
                </w:p>
              </w:tc>
              <w:tc>
                <w:tcPr>
                  <w:tcW w:w="1822" w:type="pct"/>
                  <w:tcBorders>
                    <w:tl2br w:val="nil"/>
                    <w:tr2bl w:val="nil"/>
                  </w:tcBorders>
                  <w:vAlign w:val="center"/>
                </w:tcPr>
                <w:p w14:paraId="2D4228D9">
                  <w:pPr>
                    <w:pStyle w:val="42"/>
                    <w:spacing w:beforeLines="0" w:afterLines="0" w:line="240" w:lineRule="auto"/>
                    <w:jc w:val="center"/>
                    <w:rPr>
                      <w:rFonts w:hint="default" w:ascii="Times New Roman" w:hAnsi="Times New Roman" w:eastAsia="宋体"/>
                      <w:caps w:val="0"/>
                      <w:snapToGrid w:val="0"/>
                      <w:color w:val="auto"/>
                      <w:kern w:val="21"/>
                      <w:szCs w:val="21"/>
                      <w:highlight w:val="none"/>
                      <w:lang w:val="en-US" w:eastAsia="zh-CN"/>
                    </w:rPr>
                  </w:pPr>
                  <w:r>
                    <w:rPr>
                      <w:rFonts w:hint="eastAsia" w:ascii="Times New Roman"/>
                      <w:caps w:val="0"/>
                      <w:snapToGrid w:val="0"/>
                      <w:color w:val="auto"/>
                      <w:kern w:val="21"/>
                      <w:szCs w:val="21"/>
                      <w:highlight w:val="none"/>
                      <w:lang w:val="en-US" w:eastAsia="zh-CN"/>
                    </w:rPr>
                    <w:t>0.13</w:t>
                  </w:r>
                </w:p>
              </w:tc>
            </w:tr>
            <w:tr w14:paraId="162900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vMerge w:val="restart"/>
                  <w:tcBorders>
                    <w:tl2br w:val="nil"/>
                    <w:tr2bl w:val="nil"/>
                  </w:tcBorders>
                  <w:vAlign w:val="center"/>
                </w:tcPr>
                <w:p w14:paraId="77D00F42">
                  <w:pPr>
                    <w:widowControl/>
                    <w:spacing w:line="240" w:lineRule="atLeast"/>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废水</w:t>
                  </w:r>
                </w:p>
              </w:tc>
              <w:tc>
                <w:tcPr>
                  <w:tcW w:w="2071" w:type="pct"/>
                  <w:tcBorders>
                    <w:tl2br w:val="nil"/>
                    <w:tr2bl w:val="nil"/>
                  </w:tcBorders>
                  <w:vAlign w:val="center"/>
                </w:tcPr>
                <w:p w14:paraId="2FD089A2">
                  <w:pPr>
                    <w:ind w:left="-105" w:leftChars="-50" w:right="-105" w:rightChars="-50"/>
                    <w:jc w:val="center"/>
                    <w:rPr>
                      <w:rFonts w:ascii="Times New Roman" w:hAnsi="Times New Roman" w:eastAsia="宋体" w:cs="Times New Roman"/>
                      <w:caps w:val="0"/>
                      <w:color w:val="auto"/>
                      <w:kern w:val="2"/>
                      <w:sz w:val="21"/>
                      <w:szCs w:val="21"/>
                      <w:highlight w:val="none"/>
                      <w:lang w:val="en-US" w:eastAsia="zh-CN" w:bidi="ar-SA"/>
                    </w:rPr>
                  </w:pPr>
                  <w:r>
                    <w:rPr>
                      <w:rFonts w:ascii="Times New Roman" w:hAnsi="Times New Roman" w:eastAsia="宋体"/>
                      <w:caps w:val="0"/>
                      <w:color w:val="auto"/>
                      <w:szCs w:val="21"/>
                      <w:highlight w:val="none"/>
                    </w:rPr>
                    <w:t>废水量</w:t>
                  </w:r>
                </w:p>
              </w:tc>
              <w:tc>
                <w:tcPr>
                  <w:tcW w:w="1822" w:type="pct"/>
                  <w:tcBorders>
                    <w:tl2br w:val="nil"/>
                    <w:tr2bl w:val="nil"/>
                  </w:tcBorders>
                  <w:vAlign w:val="center"/>
                </w:tcPr>
                <w:p w14:paraId="361F9F28">
                  <w:pPr>
                    <w:pStyle w:val="42"/>
                    <w:spacing w:beforeLines="0" w:afterLines="0" w:line="240" w:lineRule="auto"/>
                    <w:jc w:val="center"/>
                    <w:rPr>
                      <w:rFonts w:hint="default" w:ascii="Times New Roman" w:hAnsi="Times New Roman" w:eastAsia="宋体" w:cs="Times New Roman"/>
                      <w:caps w:val="0"/>
                      <w:snapToGrid w:val="0"/>
                      <w:color w:val="auto"/>
                      <w:kern w:val="21"/>
                      <w:sz w:val="21"/>
                      <w:szCs w:val="21"/>
                      <w:highlight w:val="none"/>
                      <w:lang w:val="en-US" w:eastAsia="zh-CN" w:bidi="ar-SA"/>
                    </w:rPr>
                  </w:pPr>
                  <w:r>
                    <w:rPr>
                      <w:rFonts w:hint="eastAsia" w:ascii="Times New Roman" w:cs="Times New Roman"/>
                      <w:caps w:val="0"/>
                      <w:snapToGrid w:val="0"/>
                      <w:color w:val="auto"/>
                      <w:kern w:val="21"/>
                      <w:sz w:val="21"/>
                      <w:szCs w:val="21"/>
                      <w:highlight w:val="none"/>
                      <w:lang w:val="en-US" w:eastAsia="zh-CN" w:bidi="ar-SA"/>
                    </w:rPr>
                    <w:t>8160</w:t>
                  </w:r>
                </w:p>
              </w:tc>
            </w:tr>
            <w:tr w14:paraId="2CD397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vMerge w:val="continue"/>
                  <w:tcBorders>
                    <w:tl2br w:val="nil"/>
                    <w:tr2bl w:val="nil"/>
                  </w:tcBorders>
                  <w:vAlign w:val="center"/>
                </w:tcPr>
                <w:p w14:paraId="4756AB3D">
                  <w:pPr>
                    <w:widowControl/>
                    <w:spacing w:line="240" w:lineRule="atLeast"/>
                    <w:jc w:val="center"/>
                    <w:rPr>
                      <w:rFonts w:hint="eastAsia" w:ascii="Times New Roman" w:hAnsi="Times New Roman" w:eastAsia="宋体"/>
                      <w:caps w:val="0"/>
                      <w:color w:val="auto"/>
                      <w:kern w:val="0"/>
                      <w:szCs w:val="21"/>
                      <w:highlight w:val="none"/>
                      <w:lang w:val="en-US" w:eastAsia="zh-CN"/>
                    </w:rPr>
                  </w:pPr>
                </w:p>
              </w:tc>
              <w:tc>
                <w:tcPr>
                  <w:tcW w:w="2071" w:type="pct"/>
                  <w:tcBorders>
                    <w:tl2br w:val="nil"/>
                    <w:tr2bl w:val="nil"/>
                  </w:tcBorders>
                  <w:vAlign w:val="center"/>
                </w:tcPr>
                <w:p w14:paraId="4F41C398">
                  <w:pPr>
                    <w:ind w:left="-105" w:leftChars="-50" w:right="-105" w:rightChars="-50"/>
                    <w:jc w:val="center"/>
                    <w:rPr>
                      <w:rFonts w:ascii="Times New Roman" w:hAnsi="Times New Roman" w:eastAsia="宋体" w:cs="Times New Roman"/>
                      <w:caps w:val="0"/>
                      <w:color w:val="auto"/>
                      <w:kern w:val="2"/>
                      <w:sz w:val="21"/>
                      <w:szCs w:val="21"/>
                      <w:highlight w:val="none"/>
                      <w:lang w:val="en-US" w:eastAsia="zh-CN" w:bidi="ar-SA"/>
                    </w:rPr>
                  </w:pPr>
                  <w:r>
                    <w:rPr>
                      <w:rFonts w:ascii="Times New Roman" w:hAnsi="Times New Roman" w:eastAsia="宋体"/>
                      <w:caps w:val="0"/>
                      <w:color w:val="auto"/>
                      <w:szCs w:val="21"/>
                      <w:highlight w:val="none"/>
                    </w:rPr>
                    <w:t>COD</w:t>
                  </w:r>
                </w:p>
              </w:tc>
              <w:tc>
                <w:tcPr>
                  <w:tcW w:w="1822" w:type="pct"/>
                  <w:tcBorders>
                    <w:tl2br w:val="nil"/>
                    <w:tr2bl w:val="nil"/>
                  </w:tcBorders>
                  <w:vAlign w:val="center"/>
                </w:tcPr>
                <w:p w14:paraId="44B6B2DB">
                  <w:pPr>
                    <w:pStyle w:val="42"/>
                    <w:spacing w:beforeLines="0" w:afterLines="0" w:line="240" w:lineRule="auto"/>
                    <w:jc w:val="center"/>
                    <w:rPr>
                      <w:rFonts w:hint="default" w:ascii="Times New Roman" w:hAnsi="Times New Roman" w:eastAsia="宋体" w:cs="Times New Roman"/>
                      <w:caps w:val="0"/>
                      <w:snapToGrid w:val="0"/>
                      <w:color w:val="auto"/>
                      <w:kern w:val="21"/>
                      <w:sz w:val="21"/>
                      <w:szCs w:val="21"/>
                      <w:highlight w:val="none"/>
                      <w:lang w:val="en-US" w:eastAsia="zh-CN" w:bidi="ar-SA"/>
                    </w:rPr>
                  </w:pPr>
                  <w:r>
                    <w:rPr>
                      <w:rFonts w:hint="eastAsia" w:ascii="Times New Roman"/>
                      <w:caps w:val="0"/>
                      <w:snapToGrid w:val="0"/>
                      <w:color w:val="auto"/>
                      <w:kern w:val="21"/>
                      <w:szCs w:val="21"/>
                      <w:highlight w:val="none"/>
                      <w:lang w:val="en-US" w:eastAsia="zh-CN"/>
                    </w:rPr>
                    <w:t>0.48</w:t>
                  </w:r>
                </w:p>
              </w:tc>
            </w:tr>
            <w:tr w14:paraId="2A01CA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vMerge w:val="continue"/>
                  <w:tcBorders>
                    <w:tl2br w:val="nil"/>
                    <w:tr2bl w:val="nil"/>
                  </w:tcBorders>
                  <w:vAlign w:val="center"/>
                </w:tcPr>
                <w:p w14:paraId="7B394C2A">
                  <w:pPr>
                    <w:widowControl/>
                    <w:spacing w:line="240" w:lineRule="atLeast"/>
                    <w:jc w:val="center"/>
                    <w:rPr>
                      <w:rFonts w:hint="eastAsia" w:ascii="Times New Roman" w:hAnsi="Times New Roman" w:eastAsia="宋体"/>
                      <w:caps w:val="0"/>
                      <w:color w:val="auto"/>
                      <w:kern w:val="0"/>
                      <w:szCs w:val="21"/>
                      <w:highlight w:val="none"/>
                      <w:lang w:val="en-US" w:eastAsia="zh-CN"/>
                    </w:rPr>
                  </w:pPr>
                </w:p>
              </w:tc>
              <w:tc>
                <w:tcPr>
                  <w:tcW w:w="2071" w:type="pct"/>
                  <w:tcBorders>
                    <w:tl2br w:val="nil"/>
                    <w:tr2bl w:val="nil"/>
                  </w:tcBorders>
                  <w:vAlign w:val="center"/>
                </w:tcPr>
                <w:p w14:paraId="080124E1">
                  <w:pPr>
                    <w:ind w:left="-105" w:leftChars="-50" w:right="-105" w:rightChars="-50"/>
                    <w:jc w:val="center"/>
                    <w:rPr>
                      <w:rFonts w:ascii="Times New Roman" w:hAnsi="Times New Roman" w:eastAsia="宋体" w:cs="Times New Roman"/>
                      <w:caps w:val="0"/>
                      <w:color w:val="auto"/>
                      <w:kern w:val="2"/>
                      <w:sz w:val="21"/>
                      <w:szCs w:val="21"/>
                      <w:highlight w:val="none"/>
                      <w:lang w:val="en-US" w:eastAsia="zh-CN" w:bidi="ar-SA"/>
                    </w:rPr>
                  </w:pPr>
                  <w:r>
                    <w:rPr>
                      <w:rFonts w:ascii="Times New Roman" w:hAnsi="Times New Roman" w:eastAsia="宋体"/>
                      <w:caps w:val="0"/>
                      <w:color w:val="auto"/>
                      <w:szCs w:val="21"/>
                      <w:highlight w:val="none"/>
                    </w:rPr>
                    <w:t>氨氮</w:t>
                  </w:r>
                </w:p>
              </w:tc>
              <w:tc>
                <w:tcPr>
                  <w:tcW w:w="1822" w:type="pct"/>
                  <w:tcBorders>
                    <w:tl2br w:val="nil"/>
                    <w:tr2bl w:val="nil"/>
                  </w:tcBorders>
                  <w:vAlign w:val="center"/>
                </w:tcPr>
                <w:p w14:paraId="07F955D0">
                  <w:pPr>
                    <w:pStyle w:val="42"/>
                    <w:spacing w:beforeLines="0" w:afterLines="0" w:line="240" w:lineRule="auto"/>
                    <w:jc w:val="center"/>
                    <w:rPr>
                      <w:rFonts w:hint="default" w:ascii="Times New Roman" w:hAnsi="Times New Roman" w:eastAsia="宋体" w:cs="Times New Roman"/>
                      <w:caps w:val="0"/>
                      <w:snapToGrid w:val="0"/>
                      <w:color w:val="auto"/>
                      <w:kern w:val="21"/>
                      <w:sz w:val="21"/>
                      <w:szCs w:val="21"/>
                      <w:highlight w:val="none"/>
                      <w:lang w:val="en-US" w:eastAsia="zh-CN" w:bidi="ar-SA"/>
                    </w:rPr>
                  </w:pPr>
                  <w:r>
                    <w:rPr>
                      <w:rFonts w:hint="eastAsia" w:ascii="Times New Roman"/>
                      <w:caps w:val="0"/>
                      <w:snapToGrid w:val="0"/>
                      <w:color w:val="auto"/>
                      <w:kern w:val="21"/>
                      <w:szCs w:val="21"/>
                      <w:highlight w:val="none"/>
                      <w:lang w:val="en-US" w:eastAsia="zh-CN"/>
                    </w:rPr>
                    <w:t>0.043</w:t>
                  </w:r>
                </w:p>
              </w:tc>
            </w:tr>
            <w:tr w14:paraId="6DD46C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vMerge w:val="restart"/>
                  <w:tcBorders>
                    <w:tl2br w:val="nil"/>
                    <w:tr2bl w:val="nil"/>
                  </w:tcBorders>
                  <w:vAlign w:val="center"/>
                </w:tcPr>
                <w:p w14:paraId="2E92551D">
                  <w:pPr>
                    <w:widowControl/>
                    <w:spacing w:line="240" w:lineRule="atLeast"/>
                    <w:jc w:val="center"/>
                    <w:rPr>
                      <w:rFonts w:hint="default" w:ascii="Times New Roman" w:hAnsi="Times New Roman" w:eastAsia="宋体"/>
                      <w:caps w:val="0"/>
                      <w:color w:val="auto"/>
                      <w:kern w:val="0"/>
                      <w:szCs w:val="21"/>
                      <w:highlight w:val="none"/>
                      <w:lang w:val="en-US" w:eastAsia="zh-CN"/>
                    </w:rPr>
                  </w:pPr>
                  <w:r>
                    <w:rPr>
                      <w:rFonts w:hint="eastAsia" w:ascii="Times New Roman" w:hAnsi="Times New Roman" w:eastAsia="宋体"/>
                      <w:caps w:val="0"/>
                      <w:color w:val="auto"/>
                      <w:kern w:val="0"/>
                      <w:szCs w:val="21"/>
                      <w:highlight w:val="none"/>
                      <w:lang w:val="en-US" w:eastAsia="zh-CN"/>
                    </w:rPr>
                    <w:t>固体废物</w:t>
                  </w:r>
                </w:p>
              </w:tc>
              <w:tc>
                <w:tcPr>
                  <w:tcW w:w="2071" w:type="pct"/>
                  <w:tcBorders>
                    <w:tl2br w:val="nil"/>
                    <w:tr2bl w:val="nil"/>
                  </w:tcBorders>
                  <w:vAlign w:val="center"/>
                </w:tcPr>
                <w:p w14:paraId="4A8F06F2">
                  <w:pPr>
                    <w:pStyle w:val="42"/>
                    <w:spacing w:beforeLines="0" w:afterLines="0" w:line="240" w:lineRule="auto"/>
                    <w:jc w:val="center"/>
                    <w:rPr>
                      <w:rFonts w:ascii="Times New Roman" w:hAnsi="Times New Roman" w:eastAsia="宋体"/>
                      <w:caps w:val="0"/>
                      <w:color w:val="auto"/>
                      <w:szCs w:val="21"/>
                      <w:highlight w:val="none"/>
                    </w:rPr>
                  </w:pPr>
                  <w:r>
                    <w:rPr>
                      <w:rFonts w:ascii="Times New Roman" w:hAnsi="Times New Roman" w:eastAsia="宋体"/>
                      <w:caps w:val="0"/>
                      <w:snapToGrid w:val="0"/>
                      <w:color w:val="auto"/>
                      <w:kern w:val="21"/>
                      <w:szCs w:val="21"/>
                      <w:highlight w:val="none"/>
                    </w:rPr>
                    <w:t>一般工业固体废物</w:t>
                  </w:r>
                </w:p>
              </w:tc>
              <w:tc>
                <w:tcPr>
                  <w:tcW w:w="1822" w:type="pct"/>
                  <w:tcBorders>
                    <w:tl2br w:val="nil"/>
                    <w:tr2bl w:val="nil"/>
                  </w:tcBorders>
                  <w:vAlign w:val="center"/>
                </w:tcPr>
                <w:p w14:paraId="52F104F0">
                  <w:pPr>
                    <w:pStyle w:val="42"/>
                    <w:spacing w:beforeLines="0" w:afterLines="0" w:line="240" w:lineRule="auto"/>
                    <w:jc w:val="center"/>
                    <w:rPr>
                      <w:rFonts w:hint="eastAsia" w:ascii="Times New Roman" w:hAnsi="Times New Roman" w:eastAsia="宋体"/>
                      <w:caps w:val="0"/>
                      <w:snapToGrid w:val="0"/>
                      <w:color w:val="auto"/>
                      <w:kern w:val="21"/>
                      <w:szCs w:val="21"/>
                      <w:highlight w:val="none"/>
                      <w:lang w:val="en-US" w:eastAsia="zh-CN"/>
                    </w:rPr>
                  </w:pPr>
                  <w:r>
                    <w:rPr>
                      <w:rFonts w:hint="eastAsia" w:ascii="Times New Roman" w:hAnsi="Times New Roman" w:eastAsia="宋体"/>
                      <w:caps w:val="0"/>
                      <w:snapToGrid w:val="0"/>
                      <w:color w:val="auto"/>
                      <w:kern w:val="21"/>
                      <w:szCs w:val="21"/>
                      <w:highlight w:val="none"/>
                      <w:lang w:val="en-US" w:eastAsia="zh-CN"/>
                    </w:rPr>
                    <w:t>0</w:t>
                  </w:r>
                </w:p>
              </w:tc>
            </w:tr>
            <w:tr w14:paraId="76F4D0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vMerge w:val="continue"/>
                  <w:tcBorders>
                    <w:tl2br w:val="nil"/>
                    <w:tr2bl w:val="nil"/>
                  </w:tcBorders>
                  <w:vAlign w:val="center"/>
                </w:tcPr>
                <w:p w14:paraId="64022174">
                  <w:pPr>
                    <w:widowControl/>
                    <w:spacing w:line="240" w:lineRule="atLeast"/>
                    <w:jc w:val="center"/>
                    <w:rPr>
                      <w:rFonts w:hint="eastAsia" w:ascii="Times New Roman" w:hAnsi="Times New Roman" w:eastAsia="宋体"/>
                      <w:caps w:val="0"/>
                      <w:color w:val="auto"/>
                      <w:kern w:val="0"/>
                      <w:szCs w:val="21"/>
                      <w:highlight w:val="none"/>
                      <w:lang w:val="en-US" w:eastAsia="zh-CN"/>
                    </w:rPr>
                  </w:pPr>
                </w:p>
              </w:tc>
              <w:tc>
                <w:tcPr>
                  <w:tcW w:w="2071" w:type="pct"/>
                  <w:tcBorders>
                    <w:tl2br w:val="nil"/>
                    <w:tr2bl w:val="nil"/>
                  </w:tcBorders>
                  <w:vAlign w:val="center"/>
                </w:tcPr>
                <w:p w14:paraId="783B06E4">
                  <w:pPr>
                    <w:pStyle w:val="42"/>
                    <w:spacing w:beforeLines="0" w:afterLines="0" w:line="240" w:lineRule="auto"/>
                    <w:jc w:val="center"/>
                    <w:rPr>
                      <w:rFonts w:ascii="Times New Roman" w:hAnsi="Times New Roman" w:eastAsia="宋体"/>
                      <w:caps w:val="0"/>
                      <w:snapToGrid w:val="0"/>
                      <w:color w:val="auto"/>
                      <w:kern w:val="21"/>
                      <w:szCs w:val="21"/>
                      <w:highlight w:val="none"/>
                    </w:rPr>
                  </w:pPr>
                  <w:r>
                    <w:rPr>
                      <w:rFonts w:ascii="Times New Roman" w:hAnsi="Times New Roman" w:eastAsia="宋体"/>
                      <w:caps w:val="0"/>
                      <w:snapToGrid w:val="0"/>
                      <w:color w:val="auto"/>
                      <w:kern w:val="21"/>
                      <w:szCs w:val="21"/>
                      <w:highlight w:val="none"/>
                    </w:rPr>
                    <w:t>危险废物</w:t>
                  </w:r>
                </w:p>
              </w:tc>
              <w:tc>
                <w:tcPr>
                  <w:tcW w:w="1822" w:type="pct"/>
                  <w:tcBorders>
                    <w:tl2br w:val="nil"/>
                    <w:tr2bl w:val="nil"/>
                  </w:tcBorders>
                  <w:vAlign w:val="center"/>
                </w:tcPr>
                <w:p w14:paraId="0AA01C3A">
                  <w:pPr>
                    <w:pStyle w:val="42"/>
                    <w:spacing w:beforeLines="0" w:afterLines="0" w:line="240" w:lineRule="auto"/>
                    <w:jc w:val="center"/>
                    <w:rPr>
                      <w:rFonts w:hint="default" w:ascii="Times New Roman" w:hAnsi="Times New Roman" w:eastAsia="宋体"/>
                      <w:caps w:val="0"/>
                      <w:snapToGrid w:val="0"/>
                      <w:color w:val="auto"/>
                      <w:kern w:val="21"/>
                      <w:szCs w:val="21"/>
                      <w:highlight w:val="none"/>
                      <w:lang w:val="en-US" w:eastAsia="zh-CN"/>
                    </w:rPr>
                  </w:pPr>
                  <w:r>
                    <w:rPr>
                      <w:rFonts w:hint="eastAsia" w:ascii="Times New Roman" w:hAnsi="Times New Roman" w:eastAsia="宋体"/>
                      <w:caps w:val="0"/>
                      <w:snapToGrid w:val="0"/>
                      <w:color w:val="auto"/>
                      <w:kern w:val="21"/>
                      <w:szCs w:val="21"/>
                      <w:highlight w:val="none"/>
                      <w:lang w:val="en-US" w:eastAsia="zh-CN"/>
                    </w:rPr>
                    <w:t>0</w:t>
                  </w:r>
                </w:p>
              </w:tc>
            </w:tr>
          </w:tbl>
          <w:p w14:paraId="1B622CB1">
            <w:pPr>
              <w:adjustRightInd w:val="0"/>
              <w:spacing w:line="360" w:lineRule="auto"/>
              <w:ind w:firstLine="422" w:firstLineChars="200"/>
              <w:textAlignment w:val="baseline"/>
              <w:rPr>
                <w:rFonts w:hint="default" w:ascii="Times New Roman" w:hAnsi="Times New Roman" w:eastAsia="宋体"/>
                <w:b/>
                <w:caps w:val="0"/>
                <w:color w:val="auto"/>
                <w:sz w:val="21"/>
                <w:szCs w:val="21"/>
                <w:highlight w:val="none"/>
                <w:lang w:val="en-US" w:eastAsia="zh-CN"/>
              </w:rPr>
            </w:pPr>
            <w:r>
              <w:rPr>
                <w:rFonts w:hint="eastAsia" w:ascii="Times New Roman" w:hAnsi="Times New Roman" w:eastAsia="宋体"/>
                <w:b/>
                <w:caps w:val="0"/>
                <w:color w:val="auto"/>
                <w:sz w:val="21"/>
                <w:szCs w:val="21"/>
                <w:highlight w:val="none"/>
                <w:lang w:val="en-US" w:eastAsia="zh-CN"/>
              </w:rPr>
              <w:t>*实际排放量根据现有项目检测数据进行核算，废气排放速率以平均值计，废水排放浓度以最大值计，具体计算过程如下：</w:t>
            </w:r>
          </w:p>
          <w:p w14:paraId="158215B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bCs/>
                <w:caps w:val="0"/>
                <w:color w:val="auto"/>
                <w:highlight w:val="none"/>
                <w:lang w:val="en-US" w:eastAsia="zh-CN"/>
              </w:rPr>
            </w:pPr>
            <w:r>
              <w:rPr>
                <w:rFonts w:hint="eastAsia" w:ascii="Times New Roman" w:hAnsi="Times New Roman" w:eastAsia="宋体"/>
                <w:bCs/>
                <w:caps w:val="0"/>
                <w:color w:val="auto"/>
                <w:highlight w:val="none"/>
                <w:lang w:val="en-US" w:eastAsia="zh-CN"/>
              </w:rPr>
              <w:t>非甲烷总烃（含</w:t>
            </w:r>
            <w:r>
              <w:rPr>
                <w:rFonts w:hint="eastAsia"/>
                <w:bCs/>
                <w:caps w:val="0"/>
                <w:color w:val="auto"/>
                <w:highlight w:val="none"/>
                <w:lang w:val="en-US" w:eastAsia="zh-CN"/>
              </w:rPr>
              <w:t>甲</w:t>
            </w:r>
            <w:r>
              <w:rPr>
                <w:rFonts w:hint="eastAsia" w:ascii="Times New Roman" w:hAnsi="Times New Roman" w:eastAsia="宋体"/>
                <w:bCs/>
                <w:caps w:val="0"/>
                <w:color w:val="auto"/>
                <w:highlight w:val="none"/>
                <w:lang w:val="en-US" w:eastAsia="zh-CN"/>
              </w:rPr>
              <w:t>苯</w:t>
            </w:r>
            <w:r>
              <w:rPr>
                <w:rFonts w:hint="eastAsia"/>
                <w:bCs/>
                <w:caps w:val="0"/>
                <w:color w:val="auto"/>
                <w:highlight w:val="none"/>
                <w:lang w:val="en-US" w:eastAsia="zh-CN"/>
              </w:rPr>
              <w:t>、苯乙烯</w:t>
            </w:r>
            <w:r>
              <w:rPr>
                <w:rFonts w:hint="eastAsia" w:ascii="Times New Roman" w:hAnsi="Times New Roman" w:eastAsia="宋体"/>
                <w:bCs/>
                <w:caps w:val="0"/>
                <w:color w:val="auto"/>
                <w:highlight w:val="none"/>
                <w:lang w:val="en-US" w:eastAsia="zh-CN"/>
              </w:rPr>
              <w:t>）排放量：</w:t>
            </w:r>
            <w:r>
              <w:rPr>
                <w:rFonts w:hint="eastAsia"/>
                <w:bCs/>
                <w:caps w:val="0"/>
                <w:color w:val="auto"/>
                <w:highlight w:val="none"/>
                <w:lang w:val="en-US" w:eastAsia="zh-CN"/>
              </w:rPr>
              <w:t>0.117</w:t>
            </w:r>
            <w:r>
              <w:rPr>
                <w:rFonts w:hint="eastAsia" w:ascii="Times New Roman" w:hAnsi="Times New Roman" w:eastAsia="宋体"/>
                <w:bCs/>
                <w:caps w:val="0"/>
                <w:color w:val="auto"/>
                <w:highlight w:val="none"/>
                <w:lang w:val="en-US" w:eastAsia="zh-CN"/>
              </w:rPr>
              <w:t>*</w:t>
            </w:r>
            <w:r>
              <w:rPr>
                <w:rFonts w:hint="eastAsia"/>
                <w:bCs/>
                <w:caps w:val="0"/>
                <w:color w:val="auto"/>
                <w:highlight w:val="none"/>
                <w:lang w:val="en-US" w:eastAsia="zh-CN"/>
              </w:rPr>
              <w:t>48</w:t>
            </w:r>
            <w:r>
              <w:rPr>
                <w:rFonts w:hint="eastAsia" w:ascii="Times New Roman" w:hAnsi="Times New Roman" w:eastAsia="宋体"/>
                <w:bCs/>
                <w:caps w:val="0"/>
                <w:color w:val="auto"/>
                <w:highlight w:val="none"/>
                <w:lang w:val="en-US" w:eastAsia="zh-CN"/>
              </w:rPr>
              <w:t>00/1000t/a=0.</w:t>
            </w:r>
            <w:r>
              <w:rPr>
                <w:rFonts w:hint="eastAsia"/>
                <w:bCs/>
                <w:caps w:val="0"/>
                <w:color w:val="auto"/>
                <w:highlight w:val="none"/>
                <w:lang w:val="en-US" w:eastAsia="zh-CN"/>
              </w:rPr>
              <w:t>56</w:t>
            </w:r>
            <w:r>
              <w:rPr>
                <w:rFonts w:hint="eastAsia" w:ascii="Times New Roman" w:hAnsi="Times New Roman" w:eastAsia="宋体"/>
                <w:bCs/>
                <w:caps w:val="0"/>
                <w:color w:val="auto"/>
                <w:highlight w:val="none"/>
                <w:lang w:val="en-US" w:eastAsia="zh-CN"/>
              </w:rPr>
              <w:t>t/a；</w:t>
            </w:r>
          </w:p>
          <w:p w14:paraId="73045EB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eastAsia="宋体"/>
                <w:bCs/>
                <w:caps w:val="0"/>
                <w:color w:val="auto"/>
                <w:highlight w:val="none"/>
                <w:lang w:val="en-US" w:eastAsia="zh-CN"/>
              </w:rPr>
            </w:pPr>
            <w:r>
              <w:rPr>
                <w:rFonts w:hint="eastAsia" w:ascii="Times New Roman" w:hAnsi="Times New Roman" w:eastAsia="宋体"/>
                <w:caps w:val="0"/>
                <w:color w:val="auto"/>
                <w:highlight w:val="none"/>
                <w:lang w:val="en-US" w:eastAsia="zh-CN"/>
              </w:rPr>
              <w:t>甲苯排放量：</w:t>
            </w:r>
            <w:r>
              <w:rPr>
                <w:rFonts w:hint="eastAsia"/>
                <w:caps w:val="0"/>
                <w:color w:val="auto"/>
                <w:szCs w:val="21"/>
                <w:highlight w:val="none"/>
                <w:lang w:val="en-US" w:eastAsia="zh-CN"/>
              </w:rPr>
              <w:t>未检出，按环评中计算数据0.041t/a；</w:t>
            </w:r>
          </w:p>
          <w:p w14:paraId="35896D2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bCs/>
                <w:caps w:val="0"/>
                <w:color w:val="auto"/>
                <w:highlight w:val="none"/>
                <w:lang w:val="en-US" w:eastAsia="zh-CN"/>
              </w:rPr>
            </w:pPr>
            <w:r>
              <w:rPr>
                <w:rFonts w:hint="eastAsia" w:ascii="Times New Roman" w:hAnsi="Times New Roman" w:eastAsia="宋体"/>
                <w:bCs/>
                <w:caps w:val="0"/>
                <w:color w:val="auto"/>
                <w:highlight w:val="none"/>
                <w:lang w:val="en-US" w:eastAsia="zh-CN"/>
              </w:rPr>
              <w:t>苯乙烯排放量：</w:t>
            </w:r>
            <w:r>
              <w:rPr>
                <w:rFonts w:hint="eastAsia"/>
                <w:bCs/>
                <w:caps w:val="0"/>
                <w:color w:val="auto"/>
                <w:highlight w:val="none"/>
                <w:lang w:val="en-US" w:eastAsia="zh-CN"/>
              </w:rPr>
              <w:t>0.027</w:t>
            </w:r>
            <w:r>
              <w:rPr>
                <w:rFonts w:hint="eastAsia" w:ascii="Times New Roman" w:hAnsi="Times New Roman" w:eastAsia="宋体"/>
                <w:bCs/>
                <w:caps w:val="0"/>
                <w:color w:val="auto"/>
                <w:highlight w:val="none"/>
                <w:lang w:val="en-US" w:eastAsia="zh-CN"/>
              </w:rPr>
              <w:t>*</w:t>
            </w:r>
            <w:r>
              <w:rPr>
                <w:rFonts w:hint="eastAsia"/>
                <w:bCs/>
                <w:caps w:val="0"/>
                <w:color w:val="auto"/>
                <w:highlight w:val="none"/>
                <w:lang w:val="en-US" w:eastAsia="zh-CN"/>
              </w:rPr>
              <w:t>48</w:t>
            </w:r>
            <w:r>
              <w:rPr>
                <w:rFonts w:hint="eastAsia" w:ascii="Times New Roman" w:hAnsi="Times New Roman" w:eastAsia="宋体"/>
                <w:bCs/>
                <w:caps w:val="0"/>
                <w:color w:val="auto"/>
                <w:highlight w:val="none"/>
                <w:lang w:val="en-US" w:eastAsia="zh-CN"/>
              </w:rPr>
              <w:t>00/1000t/a=0.</w:t>
            </w:r>
            <w:r>
              <w:rPr>
                <w:rFonts w:hint="eastAsia"/>
                <w:bCs/>
                <w:caps w:val="0"/>
                <w:color w:val="auto"/>
                <w:highlight w:val="none"/>
                <w:lang w:val="en-US" w:eastAsia="zh-CN"/>
              </w:rPr>
              <w:t>13</w:t>
            </w:r>
            <w:r>
              <w:rPr>
                <w:rFonts w:hint="eastAsia" w:ascii="Times New Roman" w:hAnsi="Times New Roman" w:eastAsia="宋体"/>
                <w:bCs/>
                <w:caps w:val="0"/>
                <w:color w:val="auto"/>
                <w:highlight w:val="none"/>
                <w:lang w:val="en-US" w:eastAsia="zh-CN"/>
              </w:rPr>
              <w:t>t/a；</w:t>
            </w:r>
          </w:p>
          <w:p w14:paraId="1B1352D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bCs/>
                <w:caps w:val="0"/>
                <w:color w:val="auto"/>
                <w:highlight w:val="none"/>
                <w:lang w:val="en-US" w:eastAsia="zh-CN"/>
              </w:rPr>
            </w:pPr>
            <w:r>
              <w:rPr>
                <w:rFonts w:hint="eastAsia" w:ascii="Times New Roman" w:hAnsi="Times New Roman" w:eastAsia="宋体"/>
                <w:bCs w:val="0"/>
                <w:caps w:val="0"/>
                <w:color w:val="auto"/>
                <w:highlight w:val="none"/>
                <w:lang w:val="en-US" w:eastAsia="zh-CN"/>
              </w:rPr>
              <w:t>COD排放量：</w:t>
            </w:r>
            <w:r>
              <w:rPr>
                <w:rFonts w:hint="eastAsia"/>
                <w:bCs w:val="0"/>
                <w:caps w:val="0"/>
                <w:color w:val="auto"/>
                <w:highlight w:val="none"/>
                <w:lang w:val="en-US" w:eastAsia="zh-CN"/>
              </w:rPr>
              <w:t>48</w:t>
            </w:r>
            <w:r>
              <w:rPr>
                <w:rFonts w:hint="eastAsia" w:ascii="Times New Roman" w:hAnsi="Times New Roman" w:eastAsia="宋体"/>
                <w:bCs w:val="0"/>
                <w:caps w:val="0"/>
                <w:color w:val="auto"/>
                <w:highlight w:val="none"/>
                <w:lang w:val="en-US" w:eastAsia="zh-CN"/>
              </w:rPr>
              <w:t>00*</w:t>
            </w:r>
            <w:r>
              <w:rPr>
                <w:rFonts w:hint="eastAsia"/>
                <w:bCs w:val="0"/>
                <w:caps w:val="0"/>
                <w:color w:val="auto"/>
                <w:highlight w:val="none"/>
                <w:lang w:val="en-US" w:eastAsia="zh-CN"/>
              </w:rPr>
              <w:t>99</w:t>
            </w:r>
            <w:r>
              <w:rPr>
                <w:rFonts w:hint="eastAsia" w:ascii="Times New Roman" w:hAnsi="Times New Roman" w:eastAsia="宋体"/>
                <w:bCs w:val="0"/>
                <w:caps w:val="0"/>
                <w:color w:val="auto"/>
                <w:highlight w:val="none"/>
                <w:lang w:val="en-US" w:eastAsia="zh-CN"/>
              </w:rPr>
              <w:t>/1000000</w:t>
            </w:r>
            <w:r>
              <w:rPr>
                <w:rFonts w:hint="eastAsia" w:ascii="Times New Roman" w:hAnsi="Times New Roman" w:eastAsia="宋体"/>
                <w:bCs/>
                <w:caps w:val="0"/>
                <w:color w:val="auto"/>
                <w:highlight w:val="none"/>
                <w:lang w:val="en-US" w:eastAsia="zh-CN"/>
              </w:rPr>
              <w:t>t/a</w:t>
            </w:r>
            <w:r>
              <w:rPr>
                <w:rFonts w:hint="eastAsia" w:ascii="Times New Roman" w:hAnsi="Times New Roman" w:eastAsia="宋体"/>
                <w:bCs w:val="0"/>
                <w:caps w:val="0"/>
                <w:color w:val="auto"/>
                <w:highlight w:val="none"/>
                <w:lang w:val="en-US" w:eastAsia="zh-CN"/>
              </w:rPr>
              <w:t>=</w:t>
            </w:r>
            <w:r>
              <w:rPr>
                <w:rFonts w:hint="eastAsia"/>
                <w:bCs w:val="0"/>
                <w:caps w:val="0"/>
                <w:color w:val="auto"/>
                <w:highlight w:val="none"/>
                <w:lang w:val="en-US" w:eastAsia="zh-CN"/>
              </w:rPr>
              <w:t>0.48</w:t>
            </w:r>
            <w:r>
              <w:rPr>
                <w:rFonts w:hint="eastAsia" w:ascii="Times New Roman" w:hAnsi="Times New Roman" w:eastAsia="宋体"/>
                <w:bCs/>
                <w:caps w:val="0"/>
                <w:color w:val="auto"/>
                <w:highlight w:val="none"/>
                <w:lang w:val="en-US" w:eastAsia="zh-CN"/>
              </w:rPr>
              <w:t>t/a；</w:t>
            </w:r>
          </w:p>
          <w:p w14:paraId="6741637F">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bCs/>
                <w:caps w:val="0"/>
                <w:color w:val="auto"/>
                <w:highlight w:val="none"/>
                <w:lang w:val="en-US" w:eastAsia="zh-CN"/>
              </w:rPr>
            </w:pPr>
            <w:r>
              <w:rPr>
                <w:rFonts w:hint="eastAsia" w:ascii="Times New Roman" w:hAnsi="Times New Roman" w:eastAsia="宋体"/>
                <w:caps w:val="0"/>
                <w:color w:val="auto"/>
                <w:highlight w:val="none"/>
                <w:lang w:val="en-US" w:eastAsia="zh-CN"/>
              </w:rPr>
              <w:t>氨氮排放量：</w:t>
            </w:r>
            <w:r>
              <w:rPr>
                <w:rFonts w:hint="eastAsia"/>
                <w:caps w:val="0"/>
                <w:color w:val="auto"/>
                <w:highlight w:val="none"/>
                <w:lang w:val="en-US" w:eastAsia="zh-CN"/>
              </w:rPr>
              <w:t>48</w:t>
            </w:r>
            <w:r>
              <w:rPr>
                <w:rFonts w:hint="eastAsia" w:ascii="Times New Roman" w:hAnsi="Times New Roman" w:eastAsia="宋体"/>
                <w:caps w:val="0"/>
                <w:color w:val="auto"/>
                <w:highlight w:val="none"/>
                <w:lang w:val="en-US" w:eastAsia="zh-CN"/>
              </w:rPr>
              <w:t>00*</w:t>
            </w:r>
            <w:r>
              <w:rPr>
                <w:rFonts w:hint="eastAsia"/>
                <w:caps w:val="0"/>
                <w:color w:val="auto"/>
                <w:highlight w:val="none"/>
                <w:lang w:val="en-US" w:eastAsia="zh-CN"/>
              </w:rPr>
              <w:t>8.88</w:t>
            </w:r>
            <w:r>
              <w:rPr>
                <w:rFonts w:hint="eastAsia" w:ascii="Times New Roman" w:hAnsi="Times New Roman" w:eastAsia="宋体"/>
                <w:caps w:val="0"/>
                <w:color w:val="auto"/>
                <w:highlight w:val="none"/>
                <w:lang w:val="en-US" w:eastAsia="zh-CN"/>
              </w:rPr>
              <w:t>/1000000</w:t>
            </w:r>
            <w:r>
              <w:rPr>
                <w:rFonts w:hint="eastAsia" w:ascii="Times New Roman" w:hAnsi="Times New Roman" w:eastAsia="宋体"/>
                <w:bCs/>
                <w:caps w:val="0"/>
                <w:color w:val="auto"/>
                <w:highlight w:val="none"/>
                <w:lang w:val="en-US" w:eastAsia="zh-CN"/>
              </w:rPr>
              <w:t>t/a=0.</w:t>
            </w:r>
            <w:r>
              <w:rPr>
                <w:rFonts w:hint="eastAsia"/>
                <w:bCs/>
                <w:caps w:val="0"/>
                <w:color w:val="auto"/>
                <w:highlight w:val="none"/>
                <w:lang w:val="en-US" w:eastAsia="zh-CN"/>
              </w:rPr>
              <w:t>043</w:t>
            </w:r>
            <w:r>
              <w:rPr>
                <w:rFonts w:hint="eastAsia" w:ascii="Times New Roman" w:hAnsi="Times New Roman" w:eastAsia="宋体"/>
                <w:bCs/>
                <w:caps w:val="0"/>
                <w:color w:val="auto"/>
                <w:highlight w:val="none"/>
                <w:lang w:val="en-US" w:eastAsia="zh-CN"/>
              </w:rPr>
              <w:t>t/a。</w:t>
            </w:r>
          </w:p>
          <w:p w14:paraId="0FAC53D3">
            <w:pPr>
              <w:pStyle w:val="18"/>
              <w:keepNext w:val="0"/>
              <w:keepLines w:val="0"/>
              <w:pageBreakBefore w:val="0"/>
              <w:numPr>
                <w:ilvl w:val="0"/>
                <w:numId w:val="3"/>
              </w:numPr>
              <w:kinsoku/>
              <w:wordWrap/>
              <w:overflowPunct/>
              <w:topLinePunct w:val="0"/>
              <w:autoSpaceDE/>
              <w:autoSpaceDN/>
              <w:bidi w:val="0"/>
              <w:adjustRightInd w:val="0"/>
              <w:snapToGrid w:val="0"/>
              <w:spacing w:before="0" w:beforeAutospacing="0" w:after="0" w:afterAutospacing="0" w:line="360" w:lineRule="auto"/>
              <w:ind w:firstLine="482" w:firstLineChars="200"/>
              <w:jc w:val="both"/>
              <w:textAlignment w:val="auto"/>
              <w:outlineLvl w:val="0"/>
              <w:rPr>
                <w:rFonts w:hint="eastAsia" w:ascii="Times New Roman" w:hAnsi="Times New Roman"/>
                <w:b/>
                <w:bCs/>
                <w:caps w:val="0"/>
                <w:snapToGrid w:val="0"/>
                <w:color w:val="auto"/>
                <w:sz w:val="24"/>
                <w:szCs w:val="24"/>
                <w:highlight w:val="none"/>
                <w:lang w:val="en-US" w:eastAsia="zh-CN"/>
              </w:rPr>
            </w:pPr>
            <w:r>
              <w:rPr>
                <w:rFonts w:hint="eastAsia" w:ascii="Times New Roman" w:hAnsi="Times New Roman"/>
                <w:b/>
                <w:bCs/>
                <w:caps w:val="0"/>
                <w:snapToGrid w:val="0"/>
                <w:color w:val="auto"/>
                <w:sz w:val="24"/>
                <w:szCs w:val="24"/>
                <w:highlight w:val="none"/>
                <w:lang w:val="en-US" w:eastAsia="zh-CN"/>
              </w:rPr>
              <w:t>环境防护距离</w:t>
            </w:r>
          </w:p>
          <w:p w14:paraId="2C0420BE">
            <w:pPr>
              <w:pStyle w:val="18"/>
              <w:keepNext w:val="0"/>
              <w:keepLines w:val="0"/>
              <w:pageBreakBefore w:val="0"/>
              <w:numPr>
                <w:numId w:val="0"/>
              </w:numPr>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b/>
                <w:bCs/>
                <w:caps w:val="0"/>
                <w:snapToGrid w:val="0"/>
                <w:color w:val="auto"/>
                <w:sz w:val="24"/>
                <w:szCs w:val="24"/>
                <w:highlight w:val="none"/>
                <w:lang w:val="en-US" w:eastAsia="zh-CN"/>
              </w:rPr>
            </w:pPr>
            <w:r>
              <w:rPr>
                <w:rFonts w:hint="default" w:ascii="Times New Roman" w:hAnsi="Times New Roman" w:eastAsia="宋体" w:cs="Times New Roman"/>
                <w:caps w:val="0"/>
                <w:color w:val="auto"/>
                <w:szCs w:val="21"/>
                <w:highlight w:val="none"/>
                <w:lang w:eastAsia="zh-CN"/>
              </w:rPr>
              <w:t>《</w:t>
            </w:r>
            <w:r>
              <w:rPr>
                <w:rFonts w:hint="default" w:ascii="Times New Roman" w:hAnsi="Times New Roman" w:eastAsia="宋体" w:cs="Times New Roman"/>
                <w:caps w:val="0"/>
                <w:color w:val="auto"/>
                <w:szCs w:val="21"/>
                <w:highlight w:val="none"/>
              </w:rPr>
              <w:t>汽车新能源高压系列产品（连接器、线束、电子锁等）</w:t>
            </w:r>
            <w:r>
              <w:rPr>
                <w:rFonts w:hint="default" w:ascii="Times New Roman" w:hAnsi="Times New Roman" w:eastAsia="宋体" w:cs="Times New Roman"/>
                <w:caps w:val="0"/>
                <w:color w:val="auto"/>
                <w:szCs w:val="21"/>
                <w:highlight w:val="none"/>
                <w:lang w:val="en-US" w:eastAsia="zh-CN"/>
              </w:rPr>
              <w:t>项目</w:t>
            </w:r>
            <w:r>
              <w:rPr>
                <w:rFonts w:hint="default" w:ascii="Times New Roman" w:hAnsi="Times New Roman" w:eastAsia="宋体" w:cs="Times New Roman"/>
                <w:caps w:val="0"/>
                <w:color w:val="auto"/>
                <w:szCs w:val="21"/>
                <w:highlight w:val="none"/>
                <w:lang w:eastAsia="zh-CN"/>
              </w:rPr>
              <w:t>》</w:t>
            </w:r>
            <w:r>
              <w:rPr>
                <w:rFonts w:hint="default" w:ascii="Times New Roman" w:hAnsi="Times New Roman" w:eastAsia="宋体" w:cs="Times New Roman"/>
                <w:caps w:val="0"/>
                <w:color w:val="auto"/>
                <w:szCs w:val="21"/>
                <w:highlight w:val="none"/>
                <w:lang w:val="en-US" w:eastAsia="zh-CN"/>
              </w:rPr>
              <w:t>批复中设置卫生防护距离50米，根据现场调查</w:t>
            </w:r>
            <w:r>
              <w:rPr>
                <w:rFonts w:hint="default" w:ascii="Times New Roman" w:hAnsi="Times New Roman" w:cs="Times New Roman"/>
                <w:color w:val="auto"/>
                <w:szCs w:val="21"/>
              </w:rPr>
              <w:t>项目边界</w:t>
            </w:r>
            <w:r>
              <w:rPr>
                <w:rFonts w:hint="default" w:ascii="Times New Roman" w:hAnsi="Times New Roman" w:cs="Times New Roman"/>
                <w:color w:val="auto"/>
                <w:szCs w:val="21"/>
                <w:lang w:val="en-US" w:eastAsia="zh-CN"/>
              </w:rPr>
              <w:t>5</w:t>
            </w:r>
            <w:r>
              <w:rPr>
                <w:rFonts w:hint="default" w:ascii="Times New Roman" w:hAnsi="Times New Roman" w:cs="Times New Roman"/>
                <w:color w:val="auto"/>
                <w:szCs w:val="21"/>
              </w:rPr>
              <w:t>0m范围内</w:t>
            </w:r>
            <w:r>
              <w:rPr>
                <w:rFonts w:hint="default" w:ascii="Times New Roman" w:hAnsi="Times New Roman" w:cs="Times New Roman"/>
                <w:color w:val="auto"/>
                <w:szCs w:val="21"/>
                <w:lang w:val="en-US" w:eastAsia="zh-CN"/>
              </w:rPr>
              <w:t>目前</w:t>
            </w:r>
            <w:r>
              <w:rPr>
                <w:rFonts w:hint="default" w:ascii="Times New Roman" w:hAnsi="Times New Roman" w:cs="Times New Roman"/>
                <w:color w:val="auto"/>
                <w:szCs w:val="21"/>
              </w:rPr>
              <w:t>无</w:t>
            </w:r>
            <w:r>
              <w:rPr>
                <w:rFonts w:hint="default" w:ascii="Times New Roman" w:hAnsi="Times New Roman" w:cs="Times New Roman"/>
                <w:bCs/>
                <w:color w:val="auto"/>
                <w:szCs w:val="21"/>
              </w:rPr>
              <w:t>居民区、医院、学校等人群长期居住的敏感建筑物</w:t>
            </w:r>
            <w:r>
              <w:rPr>
                <w:rFonts w:hint="default" w:ascii="Times New Roman" w:hAnsi="Times New Roman" w:cs="Times New Roman"/>
                <w:bCs/>
                <w:color w:val="auto"/>
                <w:szCs w:val="21"/>
                <w:lang w:eastAsia="zh-CN"/>
              </w:rPr>
              <w:t>。</w:t>
            </w:r>
          </w:p>
          <w:p w14:paraId="3347F263">
            <w:pPr>
              <w:pStyle w:val="18"/>
              <w:keepNext w:val="0"/>
              <w:keepLines w:val="0"/>
              <w:pageBreakBefore w:val="0"/>
              <w:kinsoku/>
              <w:wordWrap/>
              <w:overflowPunct/>
              <w:topLinePunct w:val="0"/>
              <w:autoSpaceDE/>
              <w:autoSpaceDN/>
              <w:bidi w:val="0"/>
              <w:adjustRightInd w:val="0"/>
              <w:snapToGrid w:val="0"/>
              <w:spacing w:before="0" w:beforeAutospacing="0" w:after="0" w:afterAutospacing="0" w:line="360" w:lineRule="auto"/>
              <w:ind w:firstLine="482" w:firstLineChars="200"/>
              <w:jc w:val="both"/>
              <w:textAlignment w:val="auto"/>
              <w:outlineLvl w:val="0"/>
              <w:rPr>
                <w:rFonts w:ascii="Times New Roman" w:hAnsi="Times New Roman" w:eastAsia="宋体"/>
                <w:b/>
                <w:bCs/>
                <w:caps w:val="0"/>
                <w:snapToGrid w:val="0"/>
                <w:color w:val="auto"/>
                <w:sz w:val="24"/>
                <w:szCs w:val="24"/>
                <w:highlight w:val="none"/>
              </w:rPr>
            </w:pPr>
            <w:r>
              <w:rPr>
                <w:rFonts w:hint="eastAsia" w:ascii="Times New Roman" w:hAnsi="Times New Roman"/>
                <w:b/>
                <w:bCs/>
                <w:caps w:val="0"/>
                <w:snapToGrid w:val="0"/>
                <w:color w:val="auto"/>
                <w:sz w:val="24"/>
                <w:szCs w:val="24"/>
                <w:highlight w:val="none"/>
                <w:lang w:val="en-US" w:eastAsia="zh-CN"/>
              </w:rPr>
              <w:t>7、</w:t>
            </w:r>
            <w:r>
              <w:rPr>
                <w:rFonts w:hint="eastAsia" w:ascii="Times New Roman" w:hAnsi="Times New Roman" w:eastAsia="宋体"/>
                <w:b/>
                <w:bCs/>
                <w:caps w:val="0"/>
                <w:snapToGrid w:val="0"/>
                <w:color w:val="auto"/>
                <w:sz w:val="24"/>
                <w:szCs w:val="24"/>
                <w:highlight w:val="none"/>
              </w:rPr>
              <w:t>现有项目存在的主要环境问题及整改措施</w:t>
            </w:r>
          </w:p>
          <w:p w14:paraId="65F77E9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caps w:val="0"/>
                <w:color w:val="auto"/>
                <w:sz w:val="24"/>
                <w:highlight w:val="none"/>
                <w:lang w:val="en-US" w:eastAsia="zh-CN"/>
              </w:rPr>
            </w:pPr>
            <w:r>
              <w:rPr>
                <w:rFonts w:hint="eastAsia" w:ascii="Times New Roman" w:hAnsi="Times New Roman" w:eastAsia="宋体" w:cs="Times New Roman"/>
                <w:caps w:val="0"/>
                <w:color w:val="auto"/>
                <w:sz w:val="24"/>
                <w:highlight w:val="none"/>
                <w:lang w:val="en-US" w:eastAsia="zh-CN"/>
              </w:rPr>
              <w:t>根据现场调查，现有项目实施过程中，各项污染物防治措施已基本按环评及环评批复要求进行了落实并已投入运营，现有项目环保手续齐全，环保措施已按环评报告的要求落实，主要污染物排放达到相应的排放标准。</w:t>
            </w:r>
          </w:p>
          <w:p w14:paraId="1B633D31">
            <w:pPr>
              <w:adjustRightInd w:val="0"/>
              <w:snapToGrid w:val="0"/>
              <w:spacing w:line="360" w:lineRule="auto"/>
              <w:ind w:firstLine="480" w:firstLineChars="200"/>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lang w:val="en-US" w:eastAsia="zh-CN"/>
              </w:rPr>
              <w:t>现有项目遗留主要环保问题如下：</w:t>
            </w:r>
          </w:p>
          <w:p w14:paraId="305E67D7">
            <w:pPr>
              <w:adjustRightInd w:val="0"/>
              <w:snapToGrid w:val="0"/>
              <w:spacing w:line="360" w:lineRule="auto"/>
              <w:ind w:firstLine="480" w:firstLineChars="200"/>
              <w:rPr>
                <w:rFonts w:hint="eastAsia" w:ascii="Times New Roman" w:hAnsi="Times New Roman" w:eastAsia="宋体" w:cs="Times New Roman"/>
                <w:b w:val="0"/>
                <w:bCs w:val="0"/>
                <w:caps w:val="0"/>
                <w:color w:val="auto"/>
                <w:kern w:val="2"/>
                <w:sz w:val="24"/>
                <w:szCs w:val="24"/>
                <w:shd w:val="clear" w:color="auto" w:fill="auto"/>
                <w:lang w:val="en-US" w:eastAsia="zh-CN" w:bidi="zh-CN"/>
              </w:rPr>
            </w:pPr>
            <w:r>
              <w:rPr>
                <w:rFonts w:hint="eastAsia"/>
                <w:b w:val="0"/>
                <w:bCs w:val="0"/>
                <w:caps w:val="0"/>
                <w:color w:val="auto"/>
                <w:sz w:val="24"/>
                <w:szCs w:val="24"/>
                <w:lang w:val="en-US" w:eastAsia="zh-CN"/>
              </w:rPr>
              <w:t>（1）环保设施台账、危废台账等不完善</w:t>
            </w:r>
            <w:r>
              <w:rPr>
                <w:rFonts w:hint="eastAsia" w:cs="Times New Roman"/>
                <w:b w:val="0"/>
                <w:bCs w:val="0"/>
                <w:caps w:val="0"/>
                <w:color w:val="auto"/>
                <w:kern w:val="2"/>
                <w:sz w:val="24"/>
                <w:szCs w:val="24"/>
                <w:shd w:val="clear" w:color="auto" w:fill="auto"/>
                <w:lang w:val="en-US" w:eastAsia="zh-CN" w:bidi="zh-CN"/>
              </w:rPr>
              <w:t>。</w:t>
            </w:r>
          </w:p>
          <w:p w14:paraId="06DA9F80">
            <w:pPr>
              <w:adjustRightInd w:val="0"/>
              <w:snapToGrid w:val="0"/>
              <w:spacing w:line="360" w:lineRule="auto"/>
              <w:ind w:firstLine="480" w:firstLineChars="200"/>
              <w:rPr>
                <w:rFonts w:hint="default" w:ascii="Times New Roman" w:hAnsi="Times New Roman" w:eastAsia="宋体"/>
                <w:caps w:val="0"/>
                <w:color w:val="auto"/>
                <w:sz w:val="24"/>
                <w:highlight w:val="none"/>
                <w:lang w:val="en-US" w:eastAsia="zh-CN"/>
              </w:rPr>
            </w:pPr>
            <w:r>
              <w:rPr>
                <w:rFonts w:hint="eastAsia"/>
                <w:caps w:val="0"/>
                <w:color w:val="auto"/>
                <w:sz w:val="24"/>
                <w:highlight w:val="none"/>
                <w:lang w:val="en-US" w:eastAsia="zh-CN"/>
              </w:rPr>
              <w:t>（2）破碎废气未处理</w:t>
            </w:r>
          </w:p>
          <w:p w14:paraId="263B53F7">
            <w:pPr>
              <w:adjustRightInd w:val="0"/>
              <w:snapToGrid w:val="0"/>
              <w:spacing w:line="360" w:lineRule="auto"/>
              <w:ind w:firstLine="480" w:firstLineChars="200"/>
              <w:rPr>
                <w:rFonts w:hint="eastAsia" w:ascii="Times New Roman" w:hAnsi="Times New Roman" w:eastAsia="宋体"/>
                <w:caps w:val="0"/>
                <w:color w:val="auto"/>
                <w:sz w:val="24"/>
                <w:highlight w:val="none"/>
              </w:rPr>
            </w:pPr>
            <w:r>
              <w:rPr>
                <w:rFonts w:hint="eastAsia" w:ascii="Times New Roman" w:hAnsi="Times New Roman" w:eastAsia="宋体"/>
                <w:caps w:val="0"/>
                <w:color w:val="auto"/>
                <w:sz w:val="24"/>
                <w:highlight w:val="none"/>
                <w:lang w:val="en-US" w:eastAsia="zh-CN"/>
              </w:rPr>
              <w:t>整改措施：</w:t>
            </w:r>
          </w:p>
          <w:p w14:paraId="3E3D43E7">
            <w:pPr>
              <w:keepNext w:val="0"/>
              <w:keepLines w:val="0"/>
              <w:pageBreakBefore w:val="0"/>
              <w:numPr>
                <w:ilvl w:val="0"/>
                <w:numId w:val="4"/>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b w:val="0"/>
                <w:bCs w:val="0"/>
                <w:caps w:val="0"/>
                <w:color w:val="auto"/>
                <w:kern w:val="2"/>
                <w:sz w:val="24"/>
                <w:szCs w:val="24"/>
                <w:shd w:val="clear" w:color="auto" w:fill="auto"/>
                <w:lang w:val="en-US" w:eastAsia="zh-CN" w:bidi="zh-CN"/>
              </w:rPr>
            </w:pPr>
            <w:r>
              <w:rPr>
                <w:rFonts w:hint="eastAsia" w:cs="Times New Roman"/>
                <w:b w:val="0"/>
                <w:bCs w:val="0"/>
                <w:caps w:val="0"/>
                <w:color w:val="auto"/>
                <w:kern w:val="2"/>
                <w:sz w:val="24"/>
                <w:szCs w:val="24"/>
                <w:shd w:val="clear" w:color="auto" w:fill="auto"/>
                <w:lang w:val="en-US" w:eastAsia="zh-CN" w:bidi="zh-CN"/>
              </w:rPr>
              <w:t>建立完善的环境管理台账制度。</w:t>
            </w:r>
          </w:p>
          <w:p w14:paraId="73BE2364">
            <w:pPr>
              <w:keepNext w:val="0"/>
              <w:keepLines w:val="0"/>
              <w:pageBreakBefore w:val="0"/>
              <w:numPr>
                <w:ilvl w:val="0"/>
                <w:numId w:val="4"/>
              </w:numPr>
              <w:kinsoku/>
              <w:wordWrap/>
              <w:overflowPunct/>
              <w:topLinePunct w:val="0"/>
              <w:autoSpaceDE/>
              <w:autoSpaceDN/>
              <w:bidi w:val="0"/>
              <w:adjustRightInd w:val="0"/>
              <w:snapToGrid w:val="0"/>
              <w:spacing w:line="360" w:lineRule="auto"/>
              <w:ind w:firstLine="480" w:firstLineChars="200"/>
              <w:textAlignment w:val="auto"/>
              <w:rPr>
                <w:rFonts w:hint="eastAsia" w:cs="Times New Roman"/>
                <w:b w:val="0"/>
                <w:bCs w:val="0"/>
                <w:caps w:val="0"/>
                <w:color w:val="auto"/>
                <w:kern w:val="2"/>
                <w:sz w:val="24"/>
                <w:szCs w:val="24"/>
                <w:shd w:val="clear" w:color="auto" w:fill="auto"/>
                <w:lang w:val="en-US" w:eastAsia="zh-CN" w:bidi="zh-CN"/>
              </w:rPr>
            </w:pPr>
            <w:r>
              <w:rPr>
                <w:rFonts w:hint="eastAsia" w:cs="Times New Roman"/>
                <w:b w:val="0"/>
                <w:bCs w:val="0"/>
                <w:caps w:val="0"/>
                <w:color w:val="auto"/>
                <w:kern w:val="2"/>
                <w:sz w:val="24"/>
                <w:szCs w:val="24"/>
                <w:shd w:val="clear" w:color="auto" w:fill="auto"/>
                <w:lang w:val="en-US" w:eastAsia="zh-CN" w:bidi="zh-CN"/>
              </w:rPr>
              <w:t>破碎废气采用工业滤筒除尘器进行处理。</w:t>
            </w:r>
          </w:p>
          <w:p w14:paraId="3493E59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caps w:val="0"/>
                <w:color w:val="auto"/>
                <w:sz w:val="24"/>
                <w:highlight w:val="none"/>
                <w:lang w:val="en-US" w:eastAsia="zh-CN"/>
              </w:rPr>
            </w:pPr>
          </w:p>
          <w:p w14:paraId="65EDF393">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bCs/>
                <w:caps w:val="0"/>
                <w:color w:val="auto"/>
                <w:highlight w:val="none"/>
                <w:lang w:val="en-US" w:eastAsia="zh-CN"/>
              </w:rPr>
            </w:pPr>
          </w:p>
          <w:p w14:paraId="239D3224">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bCs/>
                <w:caps w:val="0"/>
                <w:color w:val="auto"/>
                <w:highlight w:val="none"/>
                <w:lang w:val="en-US" w:eastAsia="zh-CN"/>
              </w:rPr>
            </w:pPr>
          </w:p>
          <w:p w14:paraId="70086F41">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bCs/>
                <w:caps w:val="0"/>
                <w:color w:val="auto"/>
                <w:highlight w:val="none"/>
                <w:lang w:val="en-US" w:eastAsia="zh-CN"/>
              </w:rPr>
            </w:pPr>
          </w:p>
          <w:p w14:paraId="1EA6CB67">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bCs/>
                <w:caps w:val="0"/>
                <w:color w:val="auto"/>
                <w:highlight w:val="none"/>
                <w:lang w:val="en-US" w:eastAsia="zh-CN"/>
              </w:rPr>
            </w:pPr>
          </w:p>
          <w:p w14:paraId="13945730">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bCs/>
                <w:caps w:val="0"/>
                <w:color w:val="auto"/>
                <w:highlight w:val="none"/>
                <w:lang w:val="en-US" w:eastAsia="zh-CN"/>
              </w:rPr>
            </w:pPr>
          </w:p>
          <w:p w14:paraId="2352F7D4">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bCs/>
                <w:caps w:val="0"/>
                <w:color w:val="auto"/>
                <w:highlight w:val="none"/>
                <w:lang w:val="en-US" w:eastAsia="zh-CN"/>
              </w:rPr>
            </w:pPr>
          </w:p>
          <w:p w14:paraId="698C5A36">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bCs/>
                <w:caps w:val="0"/>
                <w:color w:val="auto"/>
                <w:highlight w:val="none"/>
                <w:lang w:val="en-US" w:eastAsia="zh-CN"/>
              </w:rPr>
            </w:pPr>
          </w:p>
          <w:p w14:paraId="6EFB5B83">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bCs/>
                <w:caps w:val="0"/>
                <w:color w:val="auto"/>
                <w:highlight w:val="none"/>
                <w:lang w:val="en-US" w:eastAsia="zh-CN"/>
              </w:rPr>
            </w:pPr>
          </w:p>
        </w:tc>
      </w:tr>
    </w:tbl>
    <w:p w14:paraId="758BA350">
      <w:pPr>
        <w:pStyle w:val="18"/>
        <w:jc w:val="center"/>
        <w:rPr>
          <w:rFonts w:ascii="Times New Roman" w:hAnsi="Times New Roman" w:eastAsia="宋体"/>
          <w:caps w:val="0"/>
          <w:snapToGrid w:val="0"/>
          <w:color w:val="000000" w:themeColor="text1"/>
          <w:sz w:val="36"/>
          <w:szCs w:val="36"/>
          <w:highlight w:val="none"/>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0D751A40">
      <w:pPr>
        <w:pStyle w:val="18"/>
        <w:jc w:val="center"/>
        <w:outlineLvl w:val="0"/>
        <w:rPr>
          <w:rFonts w:ascii="Times New Roman" w:hAnsi="Times New Roman" w:eastAsia="宋体"/>
          <w:caps w:val="0"/>
          <w:snapToGrid w:val="0"/>
          <w:color w:val="000000" w:themeColor="text1"/>
          <w:sz w:val="30"/>
          <w:szCs w:val="30"/>
          <w:highlight w:val="none"/>
          <w14:textFill>
            <w14:solidFill>
              <w14:schemeClr w14:val="tx1"/>
            </w14:solidFill>
          </w14:textFill>
        </w:rPr>
      </w:pPr>
      <w:r>
        <w:rPr>
          <w:rFonts w:hint="eastAsia" w:ascii="Times New Roman" w:hAnsi="Times New Roman" w:eastAsia="宋体"/>
          <w:caps w:val="0"/>
          <w:snapToGrid w:val="0"/>
          <w:color w:val="000000" w:themeColor="text1"/>
          <w:sz w:val="30"/>
          <w:szCs w:val="30"/>
          <w:highlight w:val="none"/>
          <w14:textFill>
            <w14:solidFill>
              <w14:schemeClr w14:val="tx1"/>
            </w14:solidFill>
          </w14:textFill>
        </w:rPr>
        <w:t>三、区域环境质量现状、环境保护目标及评价标准</w:t>
      </w:r>
    </w:p>
    <w:tbl>
      <w:tblPr>
        <w:tblStyle w:val="21"/>
        <w:tblW w:w="882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72"/>
        <w:gridCol w:w="8053"/>
      </w:tblGrid>
      <w:tr w14:paraId="0C9564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98" w:hRule="atLeast"/>
          <w:jc w:val="center"/>
        </w:trPr>
        <w:tc>
          <w:tcPr>
            <w:tcW w:w="772" w:type="dxa"/>
            <w:vAlign w:val="center"/>
          </w:tcPr>
          <w:p w14:paraId="2906BBDB">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区域</w:t>
            </w:r>
          </w:p>
          <w:p w14:paraId="6D5DA59E">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环境</w:t>
            </w:r>
          </w:p>
          <w:p w14:paraId="0E336674">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质量</w:t>
            </w:r>
          </w:p>
          <w:p w14:paraId="1926BB3C">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现状</w:t>
            </w:r>
          </w:p>
        </w:tc>
        <w:tc>
          <w:tcPr>
            <w:tcW w:w="8053" w:type="dxa"/>
            <w:vAlign w:val="center"/>
          </w:tcPr>
          <w:p w14:paraId="52CAFD49">
            <w:pPr>
              <w:tabs>
                <w:tab w:val="left" w:pos="1418"/>
              </w:tabs>
              <w:spacing w:line="360" w:lineRule="auto"/>
              <w:ind w:firstLine="426" w:firstLineChars="177"/>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1、环境空气质量现状</w:t>
            </w:r>
          </w:p>
          <w:p w14:paraId="4DF4FCD4">
            <w:pPr>
              <w:pStyle w:val="64"/>
              <w:spacing w:line="360" w:lineRule="auto"/>
              <w:ind w:firstLine="426" w:firstLineChars="177"/>
              <w:rPr>
                <w:rFonts w:hint="default" w:ascii="Times New Roman" w:hAnsi="Times New Roman" w:eastAsia="宋体" w:cs="Times New Roman"/>
                <w:b/>
                <w:bCs/>
                <w:cap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区域环境空气质量达标判定</w:t>
            </w:r>
            <w:r>
              <w:rPr>
                <w:rFonts w:hint="default" w:ascii="Times New Roman" w:hAnsi="Times New Roman" w:eastAsia="宋体" w:cs="Times New Roman"/>
                <w:b/>
                <w:bCs/>
                <w:caps w:val="0"/>
                <w:color w:val="000000" w:themeColor="text1"/>
                <w:sz w:val="24"/>
                <w:szCs w:val="24"/>
                <w:highlight w:val="none"/>
                <w:lang w:eastAsia="zh-CN"/>
                <w14:textFill>
                  <w14:solidFill>
                    <w14:schemeClr w14:val="tx1"/>
                  </w14:solidFill>
                </w14:textFill>
              </w:rPr>
              <w:t>：</w:t>
            </w:r>
          </w:p>
          <w:p w14:paraId="4FCFE9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aps w:val="0"/>
                <w:color w:val="000000" w:themeColor="text1"/>
                <w:sz w:val="24"/>
                <w:highlight w:val="none"/>
                <w14:textFill>
                  <w14:solidFill>
                    <w14:schemeClr w14:val="tx1"/>
                  </w14:solidFill>
                </w14:textFill>
              </w:rPr>
            </w:pP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根据《建设项目环境影响报告表编制技术指南（污染影响类）（试行）》常规污染物引用与建设项目距离近的有效数据，包括近3年的规划环境影响评价的监测数据，国家、地方环境空气质量监测网数据或生态环境主管部门公开发布的质量数据等。排放国家、地方环境空气质量标准中有标准限值要求的特征污染物时，引用建设项目周边5千米范围内近3年的现有监测数据，无相关数据的选择当季主导风向下风向1个点位补充不少于3天的监测数据。</w:t>
            </w:r>
          </w:p>
          <w:p w14:paraId="340BFBD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aps w:val="0"/>
                <w:color w:val="000000" w:themeColor="text1"/>
                <w:sz w:val="24"/>
                <w:highlight w:val="none"/>
                <w14:textFill>
                  <w14:solidFill>
                    <w14:schemeClr w14:val="tx1"/>
                  </w14:solidFill>
                </w14:textFill>
              </w:rPr>
            </w:pP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本次评价选取202</w:t>
            </w:r>
            <w:r>
              <w:rPr>
                <w:rFonts w:hint="default" w:ascii="Times New Roman" w:hAnsi="Times New Roman" w:eastAsia="宋体" w:cs="Times New Roman"/>
                <w:b w:val="0"/>
                <w:bCs/>
                <w:caps w:val="0"/>
                <w:color w:val="000000" w:themeColor="text1"/>
                <w:sz w:val="24"/>
                <w:highlight w:val="none"/>
                <w:lang w:val="en-US" w:eastAsia="zh-CN"/>
                <w14:textFill>
                  <w14:solidFill>
                    <w14:schemeClr w14:val="tx1"/>
                  </w14:solidFill>
                </w14:textFill>
              </w:rPr>
              <w:t>3</w:t>
            </w: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年作为评价基准年，根据《202</w:t>
            </w:r>
            <w:r>
              <w:rPr>
                <w:rFonts w:hint="default" w:ascii="Times New Roman" w:hAnsi="Times New Roman" w:eastAsia="宋体" w:cs="Times New Roman"/>
                <w:b w:val="0"/>
                <w:bCs/>
                <w:caps w:val="0"/>
                <w:color w:val="000000" w:themeColor="text1"/>
                <w:sz w:val="24"/>
                <w:highlight w:val="none"/>
                <w:lang w:val="en-US" w:eastAsia="zh-CN"/>
                <w14:textFill>
                  <w14:solidFill>
                    <w14:schemeClr w14:val="tx1"/>
                  </w14:solidFill>
                </w14:textFill>
              </w:rPr>
              <w:t>3</w:t>
            </w:r>
            <w:r>
              <w:rPr>
                <w:rFonts w:hint="default" w:ascii="Times New Roman" w:hAnsi="Times New Roman" w:eastAsia="宋体" w:cs="Times New Roman"/>
                <w:b w:val="0"/>
                <w:bCs/>
                <w:caps w:val="0"/>
                <w:color w:val="000000" w:themeColor="text1"/>
                <w:sz w:val="24"/>
                <w:highlight w:val="none"/>
                <w14:textFill>
                  <w14:solidFill>
                    <w14:schemeClr w14:val="tx1"/>
                  </w14:solidFill>
                </w14:textFill>
              </w:rPr>
              <w:t>年芜湖市生态环境状况公报》，以下为首要污染物浓度汇总表。</w:t>
            </w:r>
          </w:p>
          <w:p w14:paraId="0D42F7F2">
            <w:pPr>
              <w:adjustRightInd w:val="0"/>
              <w:snapToGrid w:val="0"/>
              <w:jc w:val="center"/>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表3-1  区域空气质量现状评价表</w:t>
            </w:r>
          </w:p>
          <w:tbl>
            <w:tblPr>
              <w:tblStyle w:val="21"/>
              <w:tblW w:w="824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104"/>
              <w:gridCol w:w="1161"/>
              <w:gridCol w:w="898"/>
              <w:gridCol w:w="1077"/>
              <w:gridCol w:w="1004"/>
              <w:gridCol w:w="1002"/>
              <w:gridCol w:w="1000"/>
            </w:tblGrid>
            <w:tr w14:paraId="16E971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104" w:type="dxa"/>
                  <w:tcBorders>
                    <w:tl2br w:val="nil"/>
                    <w:tr2bl w:val="nil"/>
                  </w:tcBorders>
                  <w:noWrap w:val="0"/>
                  <w:tcMar>
                    <w:top w:w="15" w:type="dxa"/>
                    <w:left w:w="15" w:type="dxa"/>
                    <w:bottom w:w="0" w:type="dxa"/>
                    <w:right w:w="15" w:type="dxa"/>
                  </w:tcMar>
                  <w:vAlign w:val="center"/>
                </w:tcPr>
                <w:p w14:paraId="1C19456F">
                  <w:pPr>
                    <w:keepNext/>
                    <w:keepLines/>
                    <w:adjustRightInd w:val="0"/>
                    <w:snapToGrid w:val="0"/>
                    <w:jc w:val="center"/>
                    <w:rPr>
                      <w:rFonts w:hint="default" w:ascii="Times New Roman" w:hAnsi="Times New Roman" w:eastAsia="宋体" w:cs="Times New Roman"/>
                      <w:b/>
                      <w:bCs/>
                      <w:caps w:val="0"/>
                      <w:color w:val="000000" w:themeColor="text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所在区域</w:t>
                  </w:r>
                </w:p>
              </w:tc>
              <w:tc>
                <w:tcPr>
                  <w:tcW w:w="1161" w:type="dxa"/>
                  <w:tcBorders>
                    <w:tl2br w:val="nil"/>
                    <w:tr2bl w:val="nil"/>
                  </w:tcBorders>
                  <w:noWrap w:val="0"/>
                  <w:tcMar>
                    <w:top w:w="15" w:type="dxa"/>
                    <w:left w:w="15" w:type="dxa"/>
                    <w:bottom w:w="0" w:type="dxa"/>
                    <w:right w:w="15" w:type="dxa"/>
                  </w:tcMar>
                  <w:vAlign w:val="center"/>
                </w:tcPr>
                <w:p w14:paraId="5B888352">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SO</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2</w:t>
                  </w:r>
                </w:p>
                <w:p w14:paraId="775A0CF7">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898" w:type="dxa"/>
                  <w:tcBorders>
                    <w:tl2br w:val="nil"/>
                    <w:tr2bl w:val="nil"/>
                  </w:tcBorders>
                  <w:noWrap w:val="0"/>
                  <w:tcMar>
                    <w:top w:w="15" w:type="dxa"/>
                    <w:left w:w="15" w:type="dxa"/>
                    <w:bottom w:w="0" w:type="dxa"/>
                    <w:right w:w="15" w:type="dxa"/>
                  </w:tcMar>
                  <w:vAlign w:val="center"/>
                </w:tcPr>
                <w:p w14:paraId="4012EE13">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NO</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2</w:t>
                  </w:r>
                </w:p>
                <w:p w14:paraId="367FA86B">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77" w:type="dxa"/>
                  <w:tcBorders>
                    <w:tl2br w:val="nil"/>
                    <w:tr2bl w:val="nil"/>
                  </w:tcBorders>
                  <w:noWrap w:val="0"/>
                  <w:tcMar>
                    <w:top w:w="15" w:type="dxa"/>
                    <w:left w:w="15" w:type="dxa"/>
                    <w:bottom w:w="0" w:type="dxa"/>
                    <w:right w:w="15" w:type="dxa"/>
                  </w:tcMar>
                  <w:vAlign w:val="center"/>
                </w:tcPr>
                <w:p w14:paraId="0CD93F7F">
                  <w:pPr>
                    <w:keepNext/>
                    <w:keepLines/>
                    <w:adjustRightInd w:val="0"/>
                    <w:snapToGrid w:val="0"/>
                    <w:jc w:val="center"/>
                    <w:rPr>
                      <w:rFonts w:hint="default" w:ascii="Times New Roman" w:hAnsi="Times New Roman" w:eastAsia="宋体" w:cs="Times New Roman"/>
                      <w:b/>
                      <w:bCs/>
                      <w:caps w:val="0"/>
                      <w:color w:val="000000" w:themeColor="text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O</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8h</w:t>
                  </w:r>
                </w:p>
                <w:p w14:paraId="5A5F9991">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04" w:type="dxa"/>
                  <w:tcBorders>
                    <w:tl2br w:val="nil"/>
                    <w:tr2bl w:val="nil"/>
                  </w:tcBorders>
                  <w:noWrap w:val="0"/>
                  <w:tcMar>
                    <w:top w:w="15" w:type="dxa"/>
                    <w:left w:w="15" w:type="dxa"/>
                    <w:bottom w:w="0" w:type="dxa"/>
                    <w:right w:w="15" w:type="dxa"/>
                  </w:tcMar>
                  <w:vAlign w:val="center"/>
                </w:tcPr>
                <w:p w14:paraId="2405E67B">
                  <w:pPr>
                    <w:keepNext/>
                    <w:keepLines/>
                    <w:adjustRightInd w:val="0"/>
                    <w:snapToGrid w:val="0"/>
                    <w:jc w:val="center"/>
                    <w:rPr>
                      <w:rFonts w:hint="default" w:ascii="Times New Roman" w:hAnsi="Times New Roman" w:eastAsia="宋体" w:cs="Times New Roman"/>
                      <w:b/>
                      <w:bCs/>
                      <w:caps w:val="0"/>
                      <w:color w:val="000000" w:themeColor="text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CO</w:t>
                  </w:r>
                </w:p>
                <w:p w14:paraId="294E592F">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mg/m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02" w:type="dxa"/>
                  <w:tcBorders>
                    <w:tl2br w:val="nil"/>
                    <w:tr2bl w:val="nil"/>
                  </w:tcBorders>
                  <w:noWrap w:val="0"/>
                  <w:tcMar>
                    <w:top w:w="15" w:type="dxa"/>
                    <w:left w:w="15" w:type="dxa"/>
                    <w:bottom w:w="0" w:type="dxa"/>
                    <w:right w:w="15" w:type="dxa"/>
                  </w:tcMar>
                  <w:vAlign w:val="center"/>
                </w:tcPr>
                <w:p w14:paraId="1A3B72B2">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PM</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10</w:t>
                  </w:r>
                </w:p>
                <w:p w14:paraId="22348DDF">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c>
                <w:tcPr>
                  <w:tcW w:w="1000" w:type="dxa"/>
                  <w:tcBorders>
                    <w:tl2br w:val="nil"/>
                    <w:tr2bl w:val="nil"/>
                  </w:tcBorders>
                  <w:noWrap w:val="0"/>
                  <w:tcMar>
                    <w:top w:w="15" w:type="dxa"/>
                    <w:left w:w="15" w:type="dxa"/>
                    <w:bottom w:w="0" w:type="dxa"/>
                    <w:right w:w="15" w:type="dxa"/>
                  </w:tcMar>
                  <w:vAlign w:val="center"/>
                </w:tcPr>
                <w:p w14:paraId="73911575">
                  <w:pPr>
                    <w:keepNext/>
                    <w:keepLines/>
                    <w:adjustRightInd w:val="0"/>
                    <w:snapToGrid w:val="0"/>
                    <w:jc w:val="cente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14:textFill>
                        <w14:solidFill>
                          <w14:schemeClr w14:val="tx1"/>
                        </w14:solidFill>
                      </w14:textFill>
                    </w:rPr>
                    <w:t>PM</w:t>
                  </w:r>
                  <w:r>
                    <w:rPr>
                      <w:rFonts w:hint="default" w:ascii="Times New Roman" w:hAnsi="Times New Roman" w:eastAsia="宋体" w:cs="Times New Roman"/>
                      <w:b/>
                      <w:bCs/>
                      <w:caps w:val="0"/>
                      <w:color w:val="000000" w:themeColor="text1"/>
                      <w:szCs w:val="21"/>
                      <w:highlight w:val="none"/>
                      <w:vertAlign w:val="subscript"/>
                      <w14:textFill>
                        <w14:solidFill>
                          <w14:schemeClr w14:val="tx1"/>
                        </w14:solidFill>
                      </w14:textFill>
                    </w:rPr>
                    <w:t>2.5</w:t>
                  </w:r>
                </w:p>
                <w:p w14:paraId="13394A0D">
                  <w:pPr>
                    <w:keepNext/>
                    <w:keepLines/>
                    <w:adjustRightInd w:val="0"/>
                    <w:snapToGrid w:val="0"/>
                    <w:jc w:val="cente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Cs w:val="21"/>
                      <w:highlight w:val="none"/>
                      <w14:textFill>
                        <w14:solidFill>
                          <w14:schemeClr w14:val="tx1"/>
                        </w14:solidFill>
                      </w14:textFill>
                    </w:rPr>
                    <w:t>μg/m</w:t>
                  </w:r>
                  <w:r>
                    <w:rPr>
                      <w:rFonts w:hint="default" w:ascii="Times New Roman" w:hAnsi="Times New Roman" w:eastAsia="宋体" w:cs="Times New Roman"/>
                      <w:b/>
                      <w:bCs/>
                      <w:caps w:val="0"/>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Cs w:val="21"/>
                      <w:highlight w:val="none"/>
                      <w:lang w:eastAsia="zh-CN"/>
                      <w14:textFill>
                        <w14:solidFill>
                          <w14:schemeClr w14:val="tx1"/>
                        </w14:solidFill>
                      </w14:textFill>
                    </w:rPr>
                    <w:t>）</w:t>
                  </w:r>
                </w:p>
              </w:tc>
            </w:tr>
            <w:tr w14:paraId="2CF28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104" w:type="dxa"/>
                  <w:tcBorders>
                    <w:tl2br w:val="nil"/>
                    <w:tr2bl w:val="nil"/>
                  </w:tcBorders>
                  <w:noWrap w:val="0"/>
                  <w:tcMar>
                    <w:top w:w="15" w:type="dxa"/>
                    <w:left w:w="15" w:type="dxa"/>
                    <w:bottom w:w="0" w:type="dxa"/>
                    <w:right w:w="15" w:type="dxa"/>
                  </w:tcMar>
                  <w:vAlign w:val="center"/>
                </w:tcPr>
                <w:p w14:paraId="4ED1B98A">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芜湖市</w:t>
                  </w:r>
                </w:p>
              </w:tc>
              <w:tc>
                <w:tcPr>
                  <w:tcW w:w="1161" w:type="dxa"/>
                  <w:tcBorders>
                    <w:tl2br w:val="nil"/>
                    <w:tr2bl w:val="nil"/>
                  </w:tcBorders>
                  <w:noWrap w:val="0"/>
                  <w:tcMar>
                    <w:top w:w="15" w:type="dxa"/>
                    <w:left w:w="15" w:type="dxa"/>
                    <w:bottom w:w="0" w:type="dxa"/>
                    <w:right w:w="15" w:type="dxa"/>
                  </w:tcMar>
                  <w:vAlign w:val="center"/>
                </w:tcPr>
                <w:p w14:paraId="1C10DDF4">
                  <w:pPr>
                    <w:keepNext/>
                    <w:keepLines/>
                    <w:adjustRightInd w:val="0"/>
                    <w:snapToGrid w:val="0"/>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8</w:t>
                  </w:r>
                </w:p>
              </w:tc>
              <w:tc>
                <w:tcPr>
                  <w:tcW w:w="898" w:type="dxa"/>
                  <w:tcBorders>
                    <w:tl2br w:val="nil"/>
                    <w:tr2bl w:val="nil"/>
                  </w:tcBorders>
                  <w:noWrap w:val="0"/>
                  <w:tcMar>
                    <w:top w:w="15" w:type="dxa"/>
                    <w:left w:w="15" w:type="dxa"/>
                    <w:bottom w:w="0" w:type="dxa"/>
                    <w:right w:w="15" w:type="dxa"/>
                  </w:tcMar>
                  <w:vAlign w:val="center"/>
                </w:tcPr>
                <w:p w14:paraId="04DF9CA3">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33</w:t>
                  </w:r>
                </w:p>
              </w:tc>
              <w:tc>
                <w:tcPr>
                  <w:tcW w:w="1077" w:type="dxa"/>
                  <w:tcBorders>
                    <w:tl2br w:val="nil"/>
                    <w:tr2bl w:val="nil"/>
                  </w:tcBorders>
                  <w:noWrap w:val="0"/>
                  <w:tcMar>
                    <w:top w:w="15" w:type="dxa"/>
                    <w:left w:w="15" w:type="dxa"/>
                    <w:bottom w:w="0" w:type="dxa"/>
                    <w:right w:w="15" w:type="dxa"/>
                  </w:tcMar>
                  <w:vAlign w:val="center"/>
                </w:tcPr>
                <w:p w14:paraId="61F9D407">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159</w:t>
                  </w:r>
                </w:p>
              </w:tc>
              <w:tc>
                <w:tcPr>
                  <w:tcW w:w="1004" w:type="dxa"/>
                  <w:tcBorders>
                    <w:tl2br w:val="nil"/>
                    <w:tr2bl w:val="nil"/>
                  </w:tcBorders>
                  <w:noWrap w:val="0"/>
                  <w:tcMar>
                    <w:top w:w="15" w:type="dxa"/>
                    <w:left w:w="15" w:type="dxa"/>
                    <w:bottom w:w="0" w:type="dxa"/>
                    <w:right w:w="15" w:type="dxa"/>
                  </w:tcMar>
                  <w:vAlign w:val="center"/>
                </w:tcPr>
                <w:p w14:paraId="1444A703">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1.1</w:t>
                  </w:r>
                </w:p>
              </w:tc>
              <w:tc>
                <w:tcPr>
                  <w:tcW w:w="1002" w:type="dxa"/>
                  <w:tcBorders>
                    <w:tl2br w:val="nil"/>
                    <w:tr2bl w:val="nil"/>
                  </w:tcBorders>
                  <w:noWrap w:val="0"/>
                  <w:tcMar>
                    <w:top w:w="15" w:type="dxa"/>
                    <w:left w:w="15" w:type="dxa"/>
                    <w:bottom w:w="0" w:type="dxa"/>
                    <w:right w:w="15" w:type="dxa"/>
                  </w:tcMar>
                  <w:vAlign w:val="center"/>
                </w:tcPr>
                <w:p w14:paraId="64F95463">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57</w:t>
                  </w:r>
                </w:p>
              </w:tc>
              <w:tc>
                <w:tcPr>
                  <w:tcW w:w="1000" w:type="dxa"/>
                  <w:tcBorders>
                    <w:tl2br w:val="nil"/>
                    <w:tr2bl w:val="nil"/>
                  </w:tcBorders>
                  <w:noWrap w:val="0"/>
                  <w:tcMar>
                    <w:top w:w="15" w:type="dxa"/>
                    <w:left w:w="15" w:type="dxa"/>
                    <w:bottom w:w="0" w:type="dxa"/>
                    <w:right w:w="15" w:type="dxa"/>
                  </w:tcMar>
                  <w:vAlign w:val="center"/>
                </w:tcPr>
                <w:p w14:paraId="72BC0BCD">
                  <w:pPr>
                    <w:keepNext/>
                    <w:keepLines/>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34</w:t>
                  </w:r>
                </w:p>
              </w:tc>
            </w:tr>
            <w:tr w14:paraId="5FC56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104" w:type="dxa"/>
                  <w:tcBorders>
                    <w:tl2br w:val="nil"/>
                    <w:tr2bl w:val="nil"/>
                  </w:tcBorders>
                  <w:noWrap w:val="0"/>
                  <w:tcMar>
                    <w:top w:w="15" w:type="dxa"/>
                    <w:left w:w="15" w:type="dxa"/>
                    <w:bottom w:w="0" w:type="dxa"/>
                    <w:right w:w="15" w:type="dxa"/>
                  </w:tcMar>
                  <w:vAlign w:val="center"/>
                </w:tcPr>
                <w:p w14:paraId="31336854">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标准值</w:t>
                  </w:r>
                </w:p>
              </w:tc>
              <w:tc>
                <w:tcPr>
                  <w:tcW w:w="1161" w:type="dxa"/>
                  <w:tcBorders>
                    <w:tl2br w:val="nil"/>
                    <w:tr2bl w:val="nil"/>
                  </w:tcBorders>
                  <w:noWrap w:val="0"/>
                  <w:tcMar>
                    <w:top w:w="15" w:type="dxa"/>
                    <w:left w:w="15" w:type="dxa"/>
                    <w:bottom w:w="0" w:type="dxa"/>
                    <w:right w:w="15" w:type="dxa"/>
                  </w:tcMar>
                  <w:vAlign w:val="center"/>
                </w:tcPr>
                <w:p w14:paraId="2938F6CF">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60</w:t>
                  </w:r>
                </w:p>
              </w:tc>
              <w:tc>
                <w:tcPr>
                  <w:tcW w:w="898" w:type="dxa"/>
                  <w:tcBorders>
                    <w:tl2br w:val="nil"/>
                    <w:tr2bl w:val="nil"/>
                  </w:tcBorders>
                  <w:noWrap w:val="0"/>
                  <w:tcMar>
                    <w:top w:w="15" w:type="dxa"/>
                    <w:left w:w="15" w:type="dxa"/>
                    <w:bottom w:w="0" w:type="dxa"/>
                    <w:right w:w="15" w:type="dxa"/>
                  </w:tcMar>
                  <w:vAlign w:val="center"/>
                </w:tcPr>
                <w:p w14:paraId="62CE9C08">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40</w:t>
                  </w:r>
                </w:p>
              </w:tc>
              <w:tc>
                <w:tcPr>
                  <w:tcW w:w="1077" w:type="dxa"/>
                  <w:tcBorders>
                    <w:tl2br w:val="nil"/>
                    <w:tr2bl w:val="nil"/>
                  </w:tcBorders>
                  <w:noWrap w:val="0"/>
                  <w:tcMar>
                    <w:top w:w="15" w:type="dxa"/>
                    <w:left w:w="15" w:type="dxa"/>
                    <w:bottom w:w="0" w:type="dxa"/>
                    <w:right w:w="15" w:type="dxa"/>
                  </w:tcMar>
                  <w:vAlign w:val="center"/>
                </w:tcPr>
                <w:p w14:paraId="5A8C4DBF">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160</w:t>
                  </w:r>
                </w:p>
              </w:tc>
              <w:tc>
                <w:tcPr>
                  <w:tcW w:w="1004" w:type="dxa"/>
                  <w:tcBorders>
                    <w:tl2br w:val="nil"/>
                    <w:tr2bl w:val="nil"/>
                  </w:tcBorders>
                  <w:noWrap w:val="0"/>
                  <w:tcMar>
                    <w:top w:w="15" w:type="dxa"/>
                    <w:left w:w="15" w:type="dxa"/>
                    <w:bottom w:w="0" w:type="dxa"/>
                    <w:right w:w="15" w:type="dxa"/>
                  </w:tcMar>
                  <w:vAlign w:val="center"/>
                </w:tcPr>
                <w:p w14:paraId="0DFEAF56">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4.0</w:t>
                  </w:r>
                </w:p>
              </w:tc>
              <w:tc>
                <w:tcPr>
                  <w:tcW w:w="1002" w:type="dxa"/>
                  <w:tcBorders>
                    <w:tl2br w:val="nil"/>
                    <w:tr2bl w:val="nil"/>
                  </w:tcBorders>
                  <w:noWrap w:val="0"/>
                  <w:tcMar>
                    <w:top w:w="15" w:type="dxa"/>
                    <w:left w:w="15" w:type="dxa"/>
                    <w:bottom w:w="0" w:type="dxa"/>
                    <w:right w:w="15" w:type="dxa"/>
                  </w:tcMar>
                  <w:vAlign w:val="center"/>
                </w:tcPr>
                <w:p w14:paraId="473BA6E2">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70</w:t>
                  </w:r>
                </w:p>
              </w:tc>
              <w:tc>
                <w:tcPr>
                  <w:tcW w:w="1000" w:type="dxa"/>
                  <w:tcBorders>
                    <w:tl2br w:val="nil"/>
                    <w:tr2bl w:val="nil"/>
                  </w:tcBorders>
                  <w:noWrap w:val="0"/>
                  <w:tcMar>
                    <w:top w:w="15" w:type="dxa"/>
                    <w:left w:w="15" w:type="dxa"/>
                    <w:bottom w:w="0" w:type="dxa"/>
                    <w:right w:w="15" w:type="dxa"/>
                  </w:tcMar>
                  <w:vAlign w:val="center"/>
                </w:tcPr>
                <w:p w14:paraId="35081809">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35</w:t>
                  </w:r>
                </w:p>
              </w:tc>
            </w:tr>
            <w:tr w14:paraId="5AC429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104" w:type="dxa"/>
                  <w:tcBorders>
                    <w:tl2br w:val="nil"/>
                    <w:tr2bl w:val="nil"/>
                  </w:tcBorders>
                  <w:noWrap w:val="0"/>
                  <w:tcMar>
                    <w:top w:w="15" w:type="dxa"/>
                    <w:left w:w="15" w:type="dxa"/>
                    <w:bottom w:w="0" w:type="dxa"/>
                    <w:right w:w="15" w:type="dxa"/>
                  </w:tcMar>
                  <w:vAlign w:val="center"/>
                </w:tcPr>
                <w:p w14:paraId="21C492DA">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达标情况</w:t>
                  </w:r>
                </w:p>
              </w:tc>
              <w:tc>
                <w:tcPr>
                  <w:tcW w:w="1161" w:type="dxa"/>
                  <w:tcBorders>
                    <w:tl2br w:val="nil"/>
                    <w:tr2bl w:val="nil"/>
                  </w:tcBorders>
                  <w:noWrap w:val="0"/>
                  <w:tcMar>
                    <w:top w:w="15" w:type="dxa"/>
                    <w:left w:w="15" w:type="dxa"/>
                    <w:bottom w:w="0" w:type="dxa"/>
                    <w:right w:w="15" w:type="dxa"/>
                  </w:tcMar>
                  <w:vAlign w:val="center"/>
                </w:tcPr>
                <w:p w14:paraId="5867397D">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898" w:type="dxa"/>
                  <w:tcBorders>
                    <w:tl2br w:val="nil"/>
                    <w:tr2bl w:val="nil"/>
                  </w:tcBorders>
                  <w:noWrap w:val="0"/>
                  <w:tcMar>
                    <w:top w:w="15" w:type="dxa"/>
                    <w:left w:w="15" w:type="dxa"/>
                    <w:bottom w:w="0" w:type="dxa"/>
                    <w:right w:w="15" w:type="dxa"/>
                  </w:tcMar>
                  <w:vAlign w:val="center"/>
                </w:tcPr>
                <w:p w14:paraId="0D328148">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77" w:type="dxa"/>
                  <w:tcBorders>
                    <w:tl2br w:val="nil"/>
                    <w:tr2bl w:val="nil"/>
                  </w:tcBorders>
                  <w:noWrap w:val="0"/>
                  <w:tcMar>
                    <w:top w:w="15" w:type="dxa"/>
                    <w:left w:w="15" w:type="dxa"/>
                    <w:bottom w:w="0" w:type="dxa"/>
                    <w:right w:w="15" w:type="dxa"/>
                  </w:tcMar>
                  <w:vAlign w:val="center"/>
                </w:tcPr>
                <w:p w14:paraId="2F28DE78">
                  <w:pPr>
                    <w:keepNext/>
                    <w:keepLines/>
                    <w:adjustRightInd w:val="0"/>
                    <w:snapToGrid w:val="0"/>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04" w:type="dxa"/>
                  <w:tcBorders>
                    <w:tl2br w:val="nil"/>
                    <w:tr2bl w:val="nil"/>
                  </w:tcBorders>
                  <w:noWrap w:val="0"/>
                  <w:tcMar>
                    <w:top w:w="15" w:type="dxa"/>
                    <w:left w:w="15" w:type="dxa"/>
                    <w:bottom w:w="0" w:type="dxa"/>
                    <w:right w:w="15" w:type="dxa"/>
                  </w:tcMar>
                  <w:vAlign w:val="center"/>
                </w:tcPr>
                <w:p w14:paraId="1A4D54C3">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02" w:type="dxa"/>
                  <w:tcBorders>
                    <w:tl2br w:val="nil"/>
                    <w:tr2bl w:val="nil"/>
                  </w:tcBorders>
                  <w:noWrap w:val="0"/>
                  <w:tcMar>
                    <w:top w:w="15" w:type="dxa"/>
                    <w:left w:w="15" w:type="dxa"/>
                    <w:bottom w:w="0" w:type="dxa"/>
                    <w:right w:w="15" w:type="dxa"/>
                  </w:tcMar>
                  <w:vAlign w:val="center"/>
                </w:tcPr>
                <w:p w14:paraId="40BB0098">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c>
                <w:tcPr>
                  <w:tcW w:w="1000" w:type="dxa"/>
                  <w:tcBorders>
                    <w:tl2br w:val="nil"/>
                    <w:tr2bl w:val="nil"/>
                  </w:tcBorders>
                  <w:noWrap w:val="0"/>
                  <w:tcMar>
                    <w:top w:w="15" w:type="dxa"/>
                    <w:left w:w="15" w:type="dxa"/>
                    <w:bottom w:w="0" w:type="dxa"/>
                    <w:right w:w="15" w:type="dxa"/>
                  </w:tcMar>
                  <w:vAlign w:val="center"/>
                </w:tcPr>
                <w:p w14:paraId="3CE9ED53">
                  <w:pPr>
                    <w:keepNext/>
                    <w:keepLines/>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达标</w:t>
                  </w:r>
                </w:p>
              </w:tc>
            </w:tr>
          </w:tbl>
          <w:p w14:paraId="374DC51A">
            <w:pPr>
              <w:adjustRightInd w:val="0"/>
              <w:snapToGrid w:val="0"/>
              <w:spacing w:line="360" w:lineRule="auto"/>
              <w:ind w:firstLine="480" w:firstLineChars="200"/>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由上表监测数据判定，芜湖市区域环境空气执行《环境空气质量标准》（GB3095-2012）中二类区标准，芜湖市为环境空气为“达标区”。根据该监测数据判定，项目所在区域为环境空气质量达标区域。</w:t>
            </w:r>
            <w:r>
              <w:rPr>
                <w:rFonts w:hint="default" w:ascii="Times New Roman" w:hAnsi="Times New Roman" w:eastAsia="宋体" w:cs="Times New Roman"/>
                <w:sz w:val="24"/>
                <w:szCs w:val="24"/>
              </w:rPr>
              <w:t>本项目特征因子为非甲烷总烃、</w:t>
            </w:r>
            <w:r>
              <w:rPr>
                <w:rFonts w:hint="default" w:ascii="Times New Roman" w:hAnsi="Times New Roman" w:eastAsia="宋体" w:cs="Times New Roman"/>
                <w:sz w:val="24"/>
                <w:szCs w:val="24"/>
                <w:lang w:val="en-US" w:eastAsia="zh-CN"/>
              </w:rPr>
              <w:t>TSP</w:t>
            </w:r>
            <w:r>
              <w:rPr>
                <w:rFonts w:hint="default" w:ascii="Times New Roman" w:hAnsi="Times New Roman" w:eastAsia="宋体" w:cs="Times New Roman"/>
                <w:sz w:val="24"/>
                <w:szCs w:val="24"/>
              </w:rPr>
              <w:t>、氨</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其中氨</w:t>
            </w:r>
            <w:r>
              <w:rPr>
                <w:rFonts w:hint="default" w:ascii="Times New Roman" w:hAnsi="Times New Roman" w:eastAsia="宋体" w:cs="Times New Roman"/>
                <w:sz w:val="24"/>
                <w:szCs w:val="24"/>
              </w:rPr>
              <w:t>不属于《环境空气质量标准》 （GB3095-2012）中所列因子，不进行达标情况分析。</w:t>
            </w:r>
          </w:p>
          <w:p w14:paraId="0442A7BB">
            <w:pPr>
              <w:adjustRightInd w:val="0"/>
              <w:snapToGrid w:val="0"/>
              <w:spacing w:line="360" w:lineRule="auto"/>
              <w:ind w:firstLine="480" w:firstLineChars="200"/>
              <w:rPr>
                <w:rFonts w:hint="default" w:ascii="Times New Roman" w:hAnsi="Times New Roman" w:eastAsia="宋体" w:cs="Times New Roman"/>
                <w:caps w:val="0"/>
                <w:color w:val="auto"/>
                <w:sz w:val="24"/>
                <w:highlight w:val="none"/>
              </w:rPr>
            </w:pPr>
            <w:r>
              <w:rPr>
                <w:rFonts w:hint="default" w:ascii="Times New Roman" w:hAnsi="Times New Roman" w:eastAsia="宋体" w:cs="Times New Roman"/>
                <w:caps w:val="0"/>
                <w:color w:val="auto"/>
                <w:sz w:val="24"/>
                <w:highlight w:val="none"/>
              </w:rPr>
              <w:t>为</w:t>
            </w:r>
            <w:r>
              <w:rPr>
                <w:rFonts w:hint="default" w:ascii="Times New Roman" w:hAnsi="Times New Roman" w:eastAsia="宋体" w:cs="Times New Roman"/>
                <w:caps w:val="0"/>
                <w:color w:val="auto"/>
                <w:sz w:val="24"/>
                <w:highlight w:val="none"/>
                <w:lang w:val="en-US" w:eastAsia="zh-CN"/>
              </w:rPr>
              <w:t>了解项目所在区域的环境质量现状，特征因子非甲烷总烃引用《安徽海创循环科技有限公司废旧锂电池资源化绿色循环利用项目》环境影响报告书中现状监测数据（报告编号：AHH220106004121601），监测时间为2022年12月20日-26日，该项目位于本项目东南侧，距离3.4km</w:t>
            </w:r>
            <w:r>
              <w:rPr>
                <w:rFonts w:hint="default" w:ascii="Times New Roman" w:hAnsi="Times New Roman" w:eastAsia="宋体" w:cs="Times New Roman"/>
                <w:caps w:val="0"/>
                <w:color w:val="auto"/>
                <w:sz w:val="24"/>
                <w:highlight w:val="none"/>
              </w:rPr>
              <w:t>。</w:t>
            </w:r>
            <w:r>
              <w:rPr>
                <w:rFonts w:hint="default" w:ascii="Times New Roman" w:hAnsi="Times New Roman" w:eastAsia="宋体" w:cs="Times New Roman"/>
                <w:caps w:val="0"/>
                <w:color w:val="auto"/>
                <w:sz w:val="24"/>
                <w:highlight w:val="none"/>
                <w:lang w:val="en-US" w:eastAsia="zh-CN"/>
              </w:rPr>
              <w:t>TSP引用《安徽海螺川崎节能设备制造有限公司喷漆房绿色智能化涂装项目》环境影响报告书中现状监测数据（报告编号：THJC-20231677），监测时间为2023年12月19日-25日，位于本项目西南侧，距离3.7km，</w:t>
            </w:r>
            <w:r>
              <w:rPr>
                <w:rFonts w:hint="default" w:ascii="Times New Roman" w:hAnsi="Times New Roman" w:eastAsia="宋体" w:cs="Times New Roman"/>
                <w:caps w:val="0"/>
                <w:color w:val="auto"/>
                <w:sz w:val="24"/>
                <w:highlight w:val="none"/>
              </w:rPr>
              <w:t>具体监测内容及结果见下表。</w:t>
            </w:r>
          </w:p>
          <w:p w14:paraId="48C08CF2">
            <w:pPr>
              <w:adjustRightInd w:val="0"/>
              <w:snapToGrid w:val="0"/>
              <w:jc w:val="center"/>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highlight w:val="none"/>
                <w14:textFill>
                  <w14:solidFill>
                    <w14:schemeClr w14:val="tx1"/>
                  </w14:solidFill>
                </w14:textFill>
              </w:rPr>
              <w:t>表3-2 大气监测布点情况表 单位 mg/m</w:t>
            </w:r>
            <w:r>
              <w:rPr>
                <w:rFonts w:hint="default" w:ascii="Times New Roman" w:hAnsi="Times New Roman" w:eastAsia="宋体" w:cs="Times New Roman"/>
                <w:b/>
                <w:bCs/>
                <w:caps w:val="0"/>
                <w:color w:val="000000" w:themeColor="text1"/>
                <w:sz w:val="24"/>
                <w:highlight w:val="none"/>
                <w:vertAlign w:val="superscript"/>
                <w14:textFill>
                  <w14:solidFill>
                    <w14:schemeClr w14:val="tx1"/>
                  </w14:solidFill>
                </w14:textFill>
              </w:rPr>
              <w:t>3</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6"/>
              <w:gridCol w:w="588"/>
              <w:gridCol w:w="706"/>
              <w:gridCol w:w="1019"/>
              <w:gridCol w:w="1175"/>
              <w:gridCol w:w="1024"/>
              <w:gridCol w:w="734"/>
              <w:gridCol w:w="938"/>
              <w:gridCol w:w="977"/>
            </w:tblGrid>
            <w:tr w14:paraId="5E3883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431" w:type="pct"/>
                  <w:vMerge w:val="restart"/>
                  <w:tcBorders>
                    <w:tl2br w:val="nil"/>
                    <w:tr2bl w:val="nil"/>
                  </w:tcBorders>
                  <w:vAlign w:val="center"/>
                </w:tcPr>
                <w:p w14:paraId="4D14F863">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监测点位</w:t>
                  </w:r>
                </w:p>
              </w:tc>
              <w:tc>
                <w:tcPr>
                  <w:tcW w:w="825" w:type="pct"/>
                  <w:gridSpan w:val="2"/>
                  <w:tcBorders>
                    <w:tl2br w:val="nil"/>
                    <w:tr2bl w:val="nil"/>
                  </w:tcBorders>
                  <w:vAlign w:val="center"/>
                </w:tcPr>
                <w:p w14:paraId="38FD658C">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监测点坐标</w:t>
                  </w:r>
                </w:p>
              </w:tc>
              <w:tc>
                <w:tcPr>
                  <w:tcW w:w="650" w:type="pct"/>
                  <w:vMerge w:val="restart"/>
                  <w:tcBorders>
                    <w:tl2br w:val="nil"/>
                    <w:tr2bl w:val="nil"/>
                  </w:tcBorders>
                  <w:vAlign w:val="center"/>
                </w:tcPr>
                <w:p w14:paraId="6D7184DE">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污染物</w:t>
                  </w:r>
                </w:p>
              </w:tc>
              <w:tc>
                <w:tcPr>
                  <w:tcW w:w="2468" w:type="pct"/>
                  <w:gridSpan w:val="4"/>
                  <w:tcBorders>
                    <w:tl2br w:val="nil"/>
                    <w:tr2bl w:val="nil"/>
                  </w:tcBorders>
                  <w:vAlign w:val="center"/>
                </w:tcPr>
                <w:p w14:paraId="016BED72">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时均（一次）浓度值</w:t>
                  </w:r>
                </w:p>
              </w:tc>
              <w:tc>
                <w:tcPr>
                  <w:tcW w:w="623" w:type="pct"/>
                  <w:vMerge w:val="restart"/>
                  <w:tcBorders>
                    <w:tl2br w:val="nil"/>
                    <w:tr2bl w:val="nil"/>
                  </w:tcBorders>
                  <w:vAlign w:val="center"/>
                </w:tcPr>
                <w:p w14:paraId="42AB6A65">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达标情况</w:t>
                  </w:r>
                </w:p>
              </w:tc>
            </w:tr>
            <w:tr w14:paraId="4D5BB7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431" w:type="pct"/>
                  <w:vMerge w:val="continue"/>
                  <w:tcBorders>
                    <w:tl2br w:val="nil"/>
                    <w:tr2bl w:val="nil"/>
                  </w:tcBorders>
                  <w:vAlign w:val="center"/>
                </w:tcPr>
                <w:p w14:paraId="00CEDE15">
                  <w:pPr>
                    <w:pStyle w:val="7"/>
                    <w:spacing w:before="0" w:after="0" w:line="240" w:lineRule="auto"/>
                    <w:ind w:right="0"/>
                    <w:jc w:val="center"/>
                    <w:rPr>
                      <w:rFonts w:hint="default" w:ascii="Times New Roman" w:hAnsi="Times New Roman" w:eastAsia="宋体" w:cs="Times New Roman"/>
                    </w:rPr>
                  </w:pPr>
                </w:p>
              </w:tc>
              <w:tc>
                <w:tcPr>
                  <w:tcW w:w="375" w:type="pct"/>
                  <w:vMerge w:val="restart"/>
                  <w:tcBorders>
                    <w:tl2br w:val="nil"/>
                    <w:tr2bl w:val="nil"/>
                  </w:tcBorders>
                  <w:vAlign w:val="center"/>
                </w:tcPr>
                <w:p w14:paraId="21815476">
                  <w:pPr>
                    <w:pStyle w:val="7"/>
                    <w:spacing w:before="0" w:after="0" w:line="240" w:lineRule="auto"/>
                    <w:ind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X</w:t>
                  </w:r>
                </w:p>
              </w:tc>
              <w:tc>
                <w:tcPr>
                  <w:tcW w:w="450" w:type="pct"/>
                  <w:vMerge w:val="restart"/>
                  <w:tcBorders>
                    <w:tl2br w:val="nil"/>
                    <w:tr2bl w:val="nil"/>
                  </w:tcBorders>
                  <w:vAlign w:val="center"/>
                </w:tcPr>
                <w:p w14:paraId="38A953D9">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Y</w:t>
                  </w:r>
                </w:p>
              </w:tc>
              <w:tc>
                <w:tcPr>
                  <w:tcW w:w="650" w:type="pct"/>
                  <w:vMerge w:val="continue"/>
                  <w:tcBorders>
                    <w:tl2br w:val="nil"/>
                    <w:tr2bl w:val="nil"/>
                  </w:tcBorders>
                  <w:vAlign w:val="center"/>
                </w:tcPr>
                <w:p w14:paraId="4D1C5BF4">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p>
              </w:tc>
              <w:tc>
                <w:tcPr>
                  <w:tcW w:w="1402" w:type="pct"/>
                  <w:gridSpan w:val="2"/>
                  <w:tcBorders>
                    <w:tl2br w:val="nil"/>
                    <w:tr2bl w:val="nil"/>
                  </w:tcBorders>
                  <w:vAlign w:val="center"/>
                </w:tcPr>
                <w:p w14:paraId="2CDB9E0E">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浓度范围（mg/m</w:t>
                  </w:r>
                  <w:r>
                    <w:rPr>
                      <w:rFonts w:hint="default" w:ascii="Times New Roman" w:hAnsi="Times New Roman" w:eastAsia="宋体" w:cs="Times New Roman"/>
                      <w:b/>
                      <w:bCs/>
                      <w:caps w:val="0"/>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w:t>
                  </w:r>
                </w:p>
              </w:tc>
              <w:tc>
                <w:tcPr>
                  <w:tcW w:w="468" w:type="pct"/>
                  <w:vMerge w:val="restart"/>
                  <w:tcBorders>
                    <w:tl2br w:val="nil"/>
                    <w:tr2bl w:val="nil"/>
                  </w:tcBorders>
                  <w:vAlign w:val="center"/>
                </w:tcPr>
                <w:p w14:paraId="70EE00DB">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超标倍数</w:t>
                  </w:r>
                </w:p>
              </w:tc>
              <w:tc>
                <w:tcPr>
                  <w:tcW w:w="597" w:type="pct"/>
                  <w:vMerge w:val="restart"/>
                  <w:tcBorders>
                    <w:tl2br w:val="nil"/>
                    <w:tr2bl w:val="nil"/>
                  </w:tcBorders>
                  <w:vAlign w:val="center"/>
                </w:tcPr>
                <w:p w14:paraId="41BC4EBA">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最大污染指数</w:t>
                  </w:r>
                </w:p>
              </w:tc>
              <w:tc>
                <w:tcPr>
                  <w:tcW w:w="623" w:type="pct"/>
                  <w:vMerge w:val="continue"/>
                  <w:tcBorders>
                    <w:tl2br w:val="nil"/>
                    <w:tr2bl w:val="nil"/>
                  </w:tcBorders>
                  <w:vAlign w:val="center"/>
                </w:tcPr>
                <w:p w14:paraId="183E201E">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p>
              </w:tc>
            </w:tr>
            <w:tr w14:paraId="1C34CA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431" w:type="pct"/>
                  <w:vMerge w:val="continue"/>
                  <w:tcBorders>
                    <w:tl2br w:val="nil"/>
                    <w:tr2bl w:val="nil"/>
                  </w:tcBorders>
                  <w:vAlign w:val="center"/>
                </w:tcPr>
                <w:p w14:paraId="593F7AB9">
                  <w:pPr>
                    <w:pStyle w:val="7"/>
                    <w:spacing w:before="0" w:after="0" w:line="240" w:lineRule="auto"/>
                    <w:ind w:right="0"/>
                    <w:jc w:val="center"/>
                    <w:rPr>
                      <w:rFonts w:hint="default" w:ascii="Times New Roman" w:hAnsi="Times New Roman" w:eastAsia="宋体" w:cs="Times New Roman"/>
                    </w:rPr>
                  </w:pPr>
                </w:p>
              </w:tc>
              <w:tc>
                <w:tcPr>
                  <w:tcW w:w="375" w:type="pct"/>
                  <w:vMerge w:val="continue"/>
                  <w:tcBorders>
                    <w:tl2br w:val="nil"/>
                    <w:tr2bl w:val="nil"/>
                  </w:tcBorders>
                  <w:vAlign w:val="center"/>
                </w:tcPr>
                <w:p w14:paraId="1D048D79">
                  <w:pPr>
                    <w:pStyle w:val="7"/>
                    <w:spacing w:before="0" w:after="0" w:line="240" w:lineRule="auto"/>
                    <w:ind w:right="0"/>
                    <w:jc w:val="center"/>
                    <w:rPr>
                      <w:rFonts w:hint="default" w:ascii="Times New Roman" w:hAnsi="Times New Roman" w:eastAsia="宋体" w:cs="Times New Roman"/>
                    </w:rPr>
                  </w:pPr>
                </w:p>
              </w:tc>
              <w:tc>
                <w:tcPr>
                  <w:tcW w:w="450" w:type="pct"/>
                  <w:vMerge w:val="continue"/>
                  <w:tcBorders>
                    <w:tl2br w:val="nil"/>
                    <w:tr2bl w:val="nil"/>
                  </w:tcBorders>
                  <w:vAlign w:val="center"/>
                </w:tcPr>
                <w:p w14:paraId="4057AF62">
                  <w:pPr>
                    <w:pStyle w:val="7"/>
                    <w:spacing w:before="0" w:after="0" w:line="240" w:lineRule="auto"/>
                    <w:ind w:right="0"/>
                    <w:jc w:val="center"/>
                    <w:rPr>
                      <w:rFonts w:hint="default" w:ascii="Times New Roman" w:hAnsi="Times New Roman" w:eastAsia="宋体" w:cs="Times New Roman"/>
                    </w:rPr>
                  </w:pPr>
                </w:p>
              </w:tc>
              <w:tc>
                <w:tcPr>
                  <w:tcW w:w="650" w:type="pct"/>
                  <w:vMerge w:val="continue"/>
                  <w:tcBorders>
                    <w:tl2br w:val="nil"/>
                    <w:tr2bl w:val="nil"/>
                  </w:tcBorders>
                  <w:vAlign w:val="center"/>
                </w:tcPr>
                <w:p w14:paraId="47BC81B4">
                  <w:pPr>
                    <w:pStyle w:val="7"/>
                    <w:spacing w:before="0" w:after="0" w:line="240" w:lineRule="auto"/>
                    <w:ind w:right="0"/>
                    <w:jc w:val="center"/>
                    <w:rPr>
                      <w:rFonts w:hint="default" w:ascii="Times New Roman" w:hAnsi="Times New Roman" w:eastAsia="宋体" w:cs="Times New Roman"/>
                    </w:rPr>
                  </w:pPr>
                </w:p>
              </w:tc>
              <w:tc>
                <w:tcPr>
                  <w:tcW w:w="749" w:type="pct"/>
                  <w:tcBorders>
                    <w:tl2br w:val="nil"/>
                    <w:tr2bl w:val="nil"/>
                  </w:tcBorders>
                  <w:vAlign w:val="center"/>
                </w:tcPr>
                <w:p w14:paraId="51F73EAB">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最小值</w:t>
                  </w:r>
                </w:p>
              </w:tc>
              <w:tc>
                <w:tcPr>
                  <w:tcW w:w="653" w:type="pct"/>
                  <w:tcBorders>
                    <w:tl2br w:val="nil"/>
                    <w:tr2bl w:val="nil"/>
                  </w:tcBorders>
                  <w:vAlign w:val="center"/>
                </w:tcPr>
                <w:p w14:paraId="37D2847B">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最大值</w:t>
                  </w:r>
                </w:p>
              </w:tc>
              <w:tc>
                <w:tcPr>
                  <w:tcW w:w="468" w:type="pct"/>
                  <w:vMerge w:val="continue"/>
                  <w:tcBorders>
                    <w:tl2br w:val="nil"/>
                    <w:tr2bl w:val="nil"/>
                  </w:tcBorders>
                  <w:vAlign w:val="center"/>
                </w:tcPr>
                <w:p w14:paraId="018811FE">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p>
              </w:tc>
              <w:tc>
                <w:tcPr>
                  <w:tcW w:w="597" w:type="pct"/>
                  <w:vMerge w:val="continue"/>
                  <w:tcBorders>
                    <w:tl2br w:val="nil"/>
                    <w:tr2bl w:val="nil"/>
                  </w:tcBorders>
                  <w:vAlign w:val="center"/>
                </w:tcPr>
                <w:p w14:paraId="482B6B2C">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p>
              </w:tc>
              <w:tc>
                <w:tcPr>
                  <w:tcW w:w="623" w:type="pct"/>
                  <w:vMerge w:val="continue"/>
                  <w:tcBorders>
                    <w:tl2br w:val="nil"/>
                    <w:tr2bl w:val="nil"/>
                  </w:tcBorders>
                  <w:vAlign w:val="center"/>
                </w:tcPr>
                <w:p w14:paraId="1D39728D">
                  <w:pPr>
                    <w:pStyle w:val="7"/>
                    <w:spacing w:before="0" w:after="0" w:line="240" w:lineRule="auto"/>
                    <w:ind w:right="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p>
              </w:tc>
            </w:tr>
            <w:tr w14:paraId="4A719A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431" w:type="pct"/>
                  <w:tcBorders>
                    <w:tl2br w:val="nil"/>
                    <w:tr2bl w:val="nil"/>
                  </w:tcBorders>
                  <w:vAlign w:val="center"/>
                </w:tcPr>
                <w:p w14:paraId="2B017063">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G1</w:t>
                  </w:r>
                </w:p>
              </w:tc>
              <w:tc>
                <w:tcPr>
                  <w:tcW w:w="375" w:type="pct"/>
                  <w:tcBorders>
                    <w:tl2br w:val="nil"/>
                    <w:tr2bl w:val="nil"/>
                  </w:tcBorders>
                  <w:vAlign w:val="center"/>
                </w:tcPr>
                <w:p w14:paraId="0D850540">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720</w:t>
                  </w:r>
                </w:p>
              </w:tc>
              <w:tc>
                <w:tcPr>
                  <w:tcW w:w="450" w:type="pct"/>
                  <w:tcBorders>
                    <w:tl2br w:val="nil"/>
                    <w:tr2bl w:val="nil"/>
                  </w:tcBorders>
                  <w:vAlign w:val="center"/>
                </w:tcPr>
                <w:p w14:paraId="78955C95">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-3410</w:t>
                  </w:r>
                </w:p>
              </w:tc>
              <w:tc>
                <w:tcPr>
                  <w:tcW w:w="650" w:type="pct"/>
                  <w:tcBorders>
                    <w:tl2br w:val="nil"/>
                    <w:tr2bl w:val="nil"/>
                  </w:tcBorders>
                  <w:vAlign w:val="center"/>
                </w:tcPr>
                <w:p w14:paraId="35D9C558">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非甲烷总烃</w:t>
                  </w:r>
                </w:p>
              </w:tc>
              <w:tc>
                <w:tcPr>
                  <w:tcW w:w="749" w:type="pct"/>
                  <w:tcBorders>
                    <w:tl2br w:val="nil"/>
                    <w:tr2bl w:val="nil"/>
                  </w:tcBorders>
                  <w:vAlign w:val="center"/>
                </w:tcPr>
                <w:p w14:paraId="1AC015A0">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0.56</w:t>
                  </w:r>
                </w:p>
              </w:tc>
              <w:tc>
                <w:tcPr>
                  <w:tcW w:w="653" w:type="pct"/>
                  <w:tcBorders>
                    <w:tl2br w:val="nil"/>
                    <w:tr2bl w:val="nil"/>
                  </w:tcBorders>
                  <w:vAlign w:val="center"/>
                </w:tcPr>
                <w:p w14:paraId="7E72C675">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1.06</w:t>
                  </w:r>
                </w:p>
              </w:tc>
              <w:tc>
                <w:tcPr>
                  <w:tcW w:w="468" w:type="pct"/>
                  <w:tcBorders>
                    <w:tl2br w:val="nil"/>
                    <w:tr2bl w:val="nil"/>
                  </w:tcBorders>
                  <w:vAlign w:val="center"/>
                </w:tcPr>
                <w:p w14:paraId="55CC0015">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0</w:t>
                  </w:r>
                </w:p>
              </w:tc>
              <w:tc>
                <w:tcPr>
                  <w:tcW w:w="597" w:type="pct"/>
                  <w:tcBorders>
                    <w:tl2br w:val="nil"/>
                    <w:tr2bl w:val="nil"/>
                  </w:tcBorders>
                  <w:vAlign w:val="center"/>
                </w:tcPr>
                <w:p w14:paraId="1974B78E">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0.53</w:t>
                  </w:r>
                </w:p>
              </w:tc>
              <w:tc>
                <w:tcPr>
                  <w:tcW w:w="623" w:type="pct"/>
                  <w:tcBorders>
                    <w:tl2br w:val="nil"/>
                    <w:tr2bl w:val="nil"/>
                  </w:tcBorders>
                  <w:vAlign w:val="center"/>
                </w:tcPr>
                <w:p w14:paraId="6D080BD2">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达标</w:t>
                  </w:r>
                </w:p>
              </w:tc>
            </w:tr>
            <w:tr w14:paraId="03C3C2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431" w:type="pct"/>
                  <w:tcBorders>
                    <w:tl2br w:val="nil"/>
                    <w:tr2bl w:val="nil"/>
                  </w:tcBorders>
                  <w:vAlign w:val="center"/>
                </w:tcPr>
                <w:p w14:paraId="7371B363">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G2</w:t>
                  </w:r>
                </w:p>
              </w:tc>
              <w:tc>
                <w:tcPr>
                  <w:tcW w:w="375" w:type="pct"/>
                  <w:tcBorders>
                    <w:tl2br w:val="nil"/>
                    <w:tr2bl w:val="nil"/>
                  </w:tcBorders>
                  <w:vAlign w:val="center"/>
                </w:tcPr>
                <w:p w14:paraId="194BC429">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1005</w:t>
                  </w:r>
                </w:p>
              </w:tc>
              <w:tc>
                <w:tcPr>
                  <w:tcW w:w="450" w:type="pct"/>
                  <w:tcBorders>
                    <w:tl2br w:val="nil"/>
                    <w:tr2bl w:val="nil"/>
                  </w:tcBorders>
                  <w:vAlign w:val="center"/>
                </w:tcPr>
                <w:p w14:paraId="70BD9EC6">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-3146</w:t>
                  </w:r>
                </w:p>
              </w:tc>
              <w:tc>
                <w:tcPr>
                  <w:tcW w:w="650" w:type="pct"/>
                  <w:tcBorders>
                    <w:tl2br w:val="nil"/>
                    <w:tr2bl w:val="nil"/>
                  </w:tcBorders>
                  <w:vAlign w:val="center"/>
                </w:tcPr>
                <w:p w14:paraId="68811A6E">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TSP</w:t>
                  </w:r>
                </w:p>
              </w:tc>
              <w:tc>
                <w:tcPr>
                  <w:tcW w:w="749" w:type="pct"/>
                  <w:tcBorders>
                    <w:tl2br w:val="nil"/>
                    <w:tr2bl w:val="nil"/>
                  </w:tcBorders>
                  <w:vAlign w:val="center"/>
                </w:tcPr>
                <w:p w14:paraId="5C2399D3">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0.104</w:t>
                  </w:r>
                </w:p>
              </w:tc>
              <w:tc>
                <w:tcPr>
                  <w:tcW w:w="653" w:type="pct"/>
                  <w:tcBorders>
                    <w:tl2br w:val="nil"/>
                    <w:tr2bl w:val="nil"/>
                  </w:tcBorders>
                  <w:vAlign w:val="center"/>
                </w:tcPr>
                <w:p w14:paraId="549E02ED">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0.107</w:t>
                  </w:r>
                </w:p>
              </w:tc>
              <w:tc>
                <w:tcPr>
                  <w:tcW w:w="468" w:type="pct"/>
                  <w:tcBorders>
                    <w:tl2br w:val="nil"/>
                    <w:tr2bl w:val="nil"/>
                  </w:tcBorders>
                  <w:vAlign w:val="center"/>
                </w:tcPr>
                <w:p w14:paraId="7F77ED99">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0</w:t>
                  </w:r>
                </w:p>
              </w:tc>
              <w:tc>
                <w:tcPr>
                  <w:tcW w:w="597" w:type="pct"/>
                  <w:tcBorders>
                    <w:tl2br w:val="nil"/>
                    <w:tr2bl w:val="nil"/>
                  </w:tcBorders>
                  <w:vAlign w:val="center"/>
                </w:tcPr>
                <w:p w14:paraId="4A1659F5">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0.36</w:t>
                  </w:r>
                </w:p>
              </w:tc>
              <w:tc>
                <w:tcPr>
                  <w:tcW w:w="623" w:type="pct"/>
                  <w:tcBorders>
                    <w:tl2br w:val="nil"/>
                    <w:tr2bl w:val="nil"/>
                  </w:tcBorders>
                  <w:vAlign w:val="center"/>
                </w:tcPr>
                <w:p w14:paraId="385F2B5A">
                  <w:pPr>
                    <w:pStyle w:val="7"/>
                    <w:spacing w:before="0" w:after="0" w:line="240" w:lineRule="auto"/>
                    <w:ind w:right="0"/>
                    <w:jc w:val="cente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sz w:val="21"/>
                      <w:szCs w:val="21"/>
                      <w:highlight w:val="none"/>
                      <w:lang w:val="en-US" w:eastAsia="zh-CN"/>
                      <w14:textFill>
                        <w14:solidFill>
                          <w14:schemeClr w14:val="tx1"/>
                        </w14:solidFill>
                      </w14:textFill>
                    </w:rPr>
                    <w:t>达标</w:t>
                  </w:r>
                </w:p>
              </w:tc>
            </w:tr>
          </w:tbl>
          <w:p w14:paraId="09725D78">
            <w:pPr>
              <w:keepNext w:val="0"/>
              <w:keepLines w:val="0"/>
              <w:pageBreakBefore w:val="0"/>
              <w:kinsoku/>
              <w:wordWrap/>
              <w:overflowPunct/>
              <w:topLinePunct w:val="0"/>
              <w:autoSpaceDE/>
              <w:autoSpaceDN/>
              <w:bidi w:val="0"/>
              <w:adjustRightInd w:val="0"/>
              <w:snapToGrid w:val="0"/>
              <w:spacing w:before="120" w:beforeLines="50" w:line="360" w:lineRule="auto"/>
              <w:ind w:firstLine="480" w:firstLineChars="200"/>
              <w:textAlignment w:val="auto"/>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根据表3-2，监测期间非甲烷总烃满足《大气污染物综合排放标准详解》中规定的限值</w:t>
            </w:r>
            <w:r>
              <w:rPr>
                <w:rFonts w:hint="default" w:ascii="Times New Roman" w:hAnsi="Times New Roman" w:eastAsia="宋体" w:cs="Times New Roman"/>
                <w:caps w:val="0"/>
                <w:color w:val="000000" w:themeColor="text1"/>
                <w:kern w:val="0"/>
                <w:sz w:val="24"/>
                <w:szCs w:val="20"/>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kern w:val="0"/>
                <w:sz w:val="24"/>
                <w:szCs w:val="20"/>
                <w:highlight w:val="none"/>
                <w:lang w:val="en-US" w:eastAsia="zh-CN"/>
                <w14:textFill>
                  <w14:solidFill>
                    <w14:schemeClr w14:val="tx1"/>
                  </w14:solidFill>
                </w14:textFill>
              </w:rPr>
              <w:t>TSP的监测浓度满足《环境空气质量标准》（GB3095-2012）及修改单</w:t>
            </w: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。区域环境质量较好。</w:t>
            </w:r>
          </w:p>
          <w:p w14:paraId="6EC97E40">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b/>
                <w:bCs/>
                <w:color w:val="000000"/>
                <w:kern w:val="0"/>
                <w:sz w:val="24"/>
                <w:highlight w:val="none"/>
              </w:rPr>
            </w:pPr>
            <w:r>
              <w:rPr>
                <w:rFonts w:hint="default" w:ascii="Times New Roman" w:hAnsi="Times New Roman" w:eastAsia="宋体" w:cs="Times New Roman"/>
                <w:b/>
                <w:bCs/>
                <w:color w:val="000000"/>
                <w:kern w:val="0"/>
                <w:sz w:val="24"/>
                <w:highlight w:val="none"/>
              </w:rPr>
              <w:t>数据引用合理性分析：</w:t>
            </w:r>
          </w:p>
          <w:p w14:paraId="5EA1901B">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color w:val="000000"/>
                <w:kern w:val="0"/>
                <w:sz w:val="24"/>
                <w:highlight w:val="none"/>
              </w:rPr>
            </w:pPr>
            <w:r>
              <w:rPr>
                <w:rFonts w:hint="default" w:ascii="Times New Roman" w:hAnsi="Times New Roman" w:eastAsia="宋体" w:cs="Times New Roman"/>
                <w:color w:val="000000"/>
                <w:kern w:val="0"/>
                <w:sz w:val="24"/>
                <w:highlight w:val="none"/>
              </w:rPr>
              <w:t>①时限合理性：引用数据监测时间距离本次评价不超过3年，满足时效性要求。</w:t>
            </w:r>
          </w:p>
          <w:p w14:paraId="66876C9D">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color w:val="000000"/>
                <w:kern w:val="0"/>
                <w:sz w:val="24"/>
                <w:highlight w:val="none"/>
              </w:rPr>
              <w:t>②位置合理性：监测点位</w:t>
            </w:r>
            <w:r>
              <w:rPr>
                <w:rFonts w:hint="default" w:ascii="Times New Roman" w:hAnsi="Times New Roman" w:eastAsia="宋体" w:cs="Times New Roman"/>
                <w:color w:val="000000"/>
                <w:kern w:val="0"/>
                <w:sz w:val="24"/>
                <w:highlight w:val="none"/>
                <w:lang w:val="en-US" w:eastAsia="zh-CN"/>
              </w:rPr>
              <w:t>G1</w:t>
            </w:r>
            <w:r>
              <w:rPr>
                <w:rFonts w:hint="default" w:ascii="Times New Roman" w:hAnsi="Times New Roman" w:eastAsia="宋体" w:cs="Times New Roman"/>
                <w:color w:val="000000"/>
                <w:kern w:val="0"/>
                <w:sz w:val="24"/>
                <w:highlight w:val="none"/>
              </w:rPr>
              <w:t>位于安徽海创循环科技有限公司（位于本项目</w:t>
            </w:r>
            <w:r>
              <w:rPr>
                <w:rFonts w:hint="default" w:ascii="Times New Roman" w:hAnsi="Times New Roman" w:eastAsia="宋体" w:cs="Times New Roman"/>
                <w:color w:val="000000"/>
                <w:kern w:val="0"/>
                <w:sz w:val="24"/>
                <w:highlight w:val="none"/>
                <w:lang w:val="en-US" w:eastAsia="zh-CN"/>
              </w:rPr>
              <w:t>东南</w:t>
            </w:r>
            <w:r>
              <w:rPr>
                <w:rFonts w:hint="default" w:ascii="Times New Roman" w:hAnsi="Times New Roman" w:eastAsia="宋体" w:cs="Times New Roman"/>
                <w:color w:val="000000"/>
                <w:kern w:val="0"/>
                <w:sz w:val="24"/>
                <w:highlight w:val="none"/>
              </w:rPr>
              <w:t>侧约</w:t>
            </w:r>
            <w:r>
              <w:rPr>
                <w:rFonts w:hint="default" w:ascii="Times New Roman" w:hAnsi="Times New Roman" w:eastAsia="宋体" w:cs="Times New Roman"/>
                <w:color w:val="000000"/>
                <w:kern w:val="0"/>
                <w:sz w:val="24"/>
                <w:highlight w:val="none"/>
                <w:lang w:val="en-US" w:eastAsia="zh-CN"/>
              </w:rPr>
              <w:t>3.4k</w:t>
            </w:r>
            <w:r>
              <w:rPr>
                <w:rFonts w:hint="default" w:ascii="Times New Roman" w:hAnsi="Times New Roman" w:eastAsia="宋体" w:cs="Times New Roman"/>
                <w:color w:val="000000"/>
                <w:kern w:val="0"/>
                <w:sz w:val="24"/>
                <w:highlight w:val="none"/>
              </w:rPr>
              <w:t>m），</w:t>
            </w:r>
            <w:r>
              <w:rPr>
                <w:rFonts w:hint="default" w:ascii="Times New Roman" w:hAnsi="Times New Roman" w:eastAsia="宋体" w:cs="Times New Roman"/>
                <w:color w:val="000000"/>
                <w:kern w:val="0"/>
                <w:sz w:val="24"/>
                <w:highlight w:val="none"/>
                <w:lang w:val="en-US" w:eastAsia="zh-CN"/>
              </w:rPr>
              <w:t>G2位于</w:t>
            </w:r>
            <w:r>
              <w:rPr>
                <w:rFonts w:hint="default" w:ascii="Times New Roman" w:hAnsi="Times New Roman" w:eastAsia="宋体" w:cs="Times New Roman"/>
                <w:color w:val="000000"/>
                <w:kern w:val="0"/>
                <w:sz w:val="24"/>
                <w:highlight w:val="none"/>
              </w:rPr>
              <w:t>位于安徽海螺川崎节能设备制造有限公司</w:t>
            </w:r>
            <w:r>
              <w:rPr>
                <w:rFonts w:hint="default" w:ascii="Times New Roman" w:hAnsi="Times New Roman" w:eastAsia="宋体" w:cs="Times New Roman"/>
                <w:color w:val="000000"/>
                <w:kern w:val="0"/>
                <w:sz w:val="24"/>
                <w:highlight w:val="none"/>
                <w:lang w:eastAsia="zh-CN"/>
              </w:rPr>
              <w:t>（</w:t>
            </w:r>
            <w:r>
              <w:rPr>
                <w:rFonts w:hint="default" w:ascii="Times New Roman" w:hAnsi="Times New Roman" w:eastAsia="宋体" w:cs="Times New Roman"/>
                <w:color w:val="000000"/>
                <w:kern w:val="0"/>
                <w:sz w:val="24"/>
                <w:highlight w:val="none"/>
                <w:lang w:val="en-US" w:eastAsia="zh-CN"/>
              </w:rPr>
              <w:t>位于本项目东南侧3.7km），位于</w:t>
            </w:r>
            <w:r>
              <w:rPr>
                <w:rFonts w:hint="default" w:ascii="Times New Roman" w:hAnsi="Times New Roman" w:eastAsia="宋体" w:cs="Times New Roman"/>
                <w:color w:val="000000"/>
                <w:kern w:val="0"/>
                <w:sz w:val="24"/>
                <w:highlight w:val="none"/>
              </w:rPr>
              <w:t>项目周边5千米范围内。监测期间至今，区域内工业企业基本保持现状，环境质量未发生较大变化，所处区域大气环境相同，符合《建设项目环境影响报告表编制技术指南（污染影响类）（试行）》要求，故数据具有一定代表性。</w:t>
            </w:r>
          </w:p>
          <w:p w14:paraId="281EF999">
            <w:pPr>
              <w:keepNext w:val="0"/>
              <w:keepLines w:val="0"/>
              <w:pageBreakBefore w:val="0"/>
              <w:kinsoku/>
              <w:wordWrap/>
              <w:overflowPunct/>
              <w:topLinePunct w:val="0"/>
              <w:autoSpaceDE/>
              <w:autoSpaceDN/>
              <w:bidi w:val="0"/>
              <w:spacing w:line="360" w:lineRule="auto"/>
              <w:ind w:firstLine="399" w:firstLineChars="190"/>
              <w:textAlignment w:val="auto"/>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sz w:val="21"/>
              </w:rPr>
              <mc:AlternateContent>
                <mc:Choice Requires="wps">
                  <w:drawing>
                    <wp:anchor distT="0" distB="0" distL="114300" distR="114300" simplePos="0" relativeHeight="251661312" behindDoc="0" locked="0" layoutInCell="1" allowOverlap="1">
                      <wp:simplePos x="0" y="0"/>
                      <wp:positionH relativeFrom="column">
                        <wp:posOffset>1979295</wp:posOffset>
                      </wp:positionH>
                      <wp:positionV relativeFrom="paragraph">
                        <wp:posOffset>1580515</wp:posOffset>
                      </wp:positionV>
                      <wp:extent cx="592455" cy="257175"/>
                      <wp:effectExtent l="0" t="0" r="0" b="0"/>
                      <wp:wrapNone/>
                      <wp:docPr id="13" name="矩形 13"/>
                      <wp:cNvGraphicFramePr/>
                      <a:graphic xmlns:a="http://schemas.openxmlformats.org/drawingml/2006/main">
                        <a:graphicData uri="http://schemas.microsoft.com/office/word/2010/wordprocessingShape">
                          <wps:wsp>
                            <wps:cNvSpPr/>
                            <wps:spPr>
                              <a:xfrm>
                                <a:off x="3709035" y="2810510"/>
                                <a:ext cx="592455" cy="25717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03295F8">
                                  <w:pPr>
                                    <w:jc w:val="both"/>
                                    <w:rPr>
                                      <w:rFonts w:hint="default" w:eastAsia="宋体"/>
                                      <w:color w:val="FF0000"/>
                                      <w:lang w:val="en-US" w:eastAsia="zh-CN"/>
                                    </w:rPr>
                                  </w:pPr>
                                  <w:r>
                                    <w:rPr>
                                      <w:rFonts w:hint="eastAsia"/>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3</w:t>
                                  </w:r>
                                  <w:r>
                                    <w:rPr>
                                      <w:rFonts w:hint="eastAsia"/>
                                      <w:color w:val="FF0000"/>
                                      <w:lang w:val="en-US" w:eastAsia="zh-CN"/>
                                    </w:rPr>
                                    <w:t>.4km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5.85pt;margin-top:124.45pt;height:20.25pt;width:46.65pt;z-index:251661312;v-text-anchor:middle;mso-width-relative:page;mso-height-relative:page;" filled="f" stroked="f" coordsize="21600,21600" o:gfxdata="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x03sKdkAAAALAQAADwAAAAAAAAABACAAAAAiAAAAZHJzL2Rvd25yZXYu&#10;eG1sUEsBAhQAFAAAAAgAh07iQHrwJSFsAgAAugQAAA4AAAAAAAAAAQAgAAAAKAEAAGRycy9lMm9E&#10;b2MueG1sUEsFBgAAAAAGAAYAWQEAAAYGAAAAAA==&#10;">
                      <v:fill on="f" focussize="0,0"/>
                      <v:stroke on="f" weight="1pt" miterlimit="8" joinstyle="miter"/>
                      <v:imagedata o:title=""/>
                      <o:lock v:ext="edit" aspectratio="f"/>
                      <v:textbox>
                        <w:txbxContent>
                          <w:p w14:paraId="403295F8">
                            <w:pPr>
                              <w:jc w:val="both"/>
                              <w:rPr>
                                <w:rFonts w:hint="default" w:eastAsia="宋体"/>
                                <w:color w:val="FF0000"/>
                                <w:lang w:val="en-US" w:eastAsia="zh-CN"/>
                              </w:rPr>
                            </w:pPr>
                            <w:r>
                              <w:rPr>
                                <w:rFonts w:hint="eastAsia"/>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3</w:t>
                            </w:r>
                            <w:r>
                              <w:rPr>
                                <w:rFonts w:hint="eastAsia"/>
                                <w:color w:val="FF0000"/>
                                <w:lang w:val="en-US" w:eastAsia="zh-CN"/>
                              </w:rPr>
                              <w:t>.4km</w:t>
                            </w:r>
                          </w:p>
                        </w:txbxContent>
                      </v:textbox>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62336" behindDoc="0" locked="0" layoutInCell="1" allowOverlap="1">
                      <wp:simplePos x="0" y="0"/>
                      <wp:positionH relativeFrom="column">
                        <wp:posOffset>2247265</wp:posOffset>
                      </wp:positionH>
                      <wp:positionV relativeFrom="paragraph">
                        <wp:posOffset>1362075</wp:posOffset>
                      </wp:positionV>
                      <wp:extent cx="592455" cy="257175"/>
                      <wp:effectExtent l="0" t="0" r="0" b="0"/>
                      <wp:wrapNone/>
                      <wp:docPr id="14" name="矩形 14"/>
                      <wp:cNvGraphicFramePr/>
                      <a:graphic xmlns:a="http://schemas.openxmlformats.org/drawingml/2006/main">
                        <a:graphicData uri="http://schemas.microsoft.com/office/word/2010/wordprocessingShape">
                          <wps:wsp>
                            <wps:cNvSpPr/>
                            <wps:spPr>
                              <a:xfrm>
                                <a:off x="0" y="0"/>
                                <a:ext cx="592455" cy="25717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A972627">
                                  <w:pPr>
                                    <w:jc w:val="both"/>
                                    <w:rPr>
                                      <w:rFonts w:hint="default" w:eastAsia="宋体"/>
                                      <w:color w:val="FF0000"/>
                                      <w:lang w:val="en-US" w:eastAsia="zh-CN"/>
                                    </w:rPr>
                                  </w:pPr>
                                  <w:r>
                                    <w:rPr>
                                      <w:rFonts w:hint="eastAsia"/>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3</w:t>
                                  </w:r>
                                  <w:r>
                                    <w:rPr>
                                      <w:rFonts w:hint="eastAsia"/>
                                      <w:color w:val="FF0000"/>
                                      <w:lang w:val="en-US" w:eastAsia="zh-CN"/>
                                    </w:rPr>
                                    <w:t>.7km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6.95pt;margin-top:107.25pt;height:20.25pt;width:46.65pt;z-index:251662336;v-text-anchor:middle;mso-width-relative:page;mso-height-relative:page;" filled="f" stroked="f" coordsize="21600,21600" o:gfxdata="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BTCI8naAAAACwEAAA8AAAAAAAAAAQAgAAAAIgAAAGRycy9kb3ducmV2LnhtbFBLAQIUABQA&#10;AAAIAIdO4kBs4OUsYAIAAK4EAAAOAAAAAAAAAAEAIAAAACkBAABkcnMvZTJvRG9jLnhtbFBLBQYA&#10;AAAABgAGAFkBAAD7BQAAAAA=&#10;">
                      <v:fill on="f" focussize="0,0"/>
                      <v:stroke on="f" weight="1pt" miterlimit="8" joinstyle="miter"/>
                      <v:imagedata o:title=""/>
                      <o:lock v:ext="edit" aspectratio="f"/>
                      <v:textbox>
                        <w:txbxContent>
                          <w:p w14:paraId="0A972627">
                            <w:pPr>
                              <w:jc w:val="both"/>
                              <w:rPr>
                                <w:rFonts w:hint="default" w:eastAsia="宋体"/>
                                <w:color w:val="FF0000"/>
                                <w:lang w:val="en-US" w:eastAsia="zh-CN"/>
                              </w:rPr>
                            </w:pPr>
                            <w:r>
                              <w:rPr>
                                <w:rFonts w:hint="eastAsia"/>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3</w:t>
                            </w:r>
                            <w:r>
                              <w:rPr>
                                <w:rFonts w:hint="eastAsia"/>
                                <w:color w:val="FF0000"/>
                                <w:lang w:val="en-US" w:eastAsia="zh-CN"/>
                              </w:rPr>
                              <w:t>.7km</w:t>
                            </w:r>
                          </w:p>
                        </w:txbxContent>
                      </v:textbox>
                    </v:rect>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60288" behindDoc="0" locked="0" layoutInCell="1" allowOverlap="1">
                      <wp:simplePos x="0" y="0"/>
                      <wp:positionH relativeFrom="column">
                        <wp:posOffset>1622425</wp:posOffset>
                      </wp:positionH>
                      <wp:positionV relativeFrom="paragraph">
                        <wp:posOffset>984250</wp:posOffset>
                      </wp:positionV>
                      <wp:extent cx="1864360" cy="1518920"/>
                      <wp:effectExtent l="3810" t="5080" r="17780" b="0"/>
                      <wp:wrapNone/>
                      <wp:docPr id="11" name="直接箭头连接符 11"/>
                      <wp:cNvGraphicFramePr/>
                      <a:graphic xmlns:a="http://schemas.openxmlformats.org/drawingml/2006/main">
                        <a:graphicData uri="http://schemas.microsoft.com/office/word/2010/wordprocessingShape">
                          <wps:wsp>
                            <wps:cNvCnPr/>
                            <wps:spPr>
                              <a:xfrm>
                                <a:off x="3161030" y="2029460"/>
                                <a:ext cx="1864360" cy="151892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27.75pt;margin-top:77.5pt;height:119.6pt;width:146.8pt;z-index:251660288;mso-width-relative:page;mso-height-relative:page;" filled="f" stroked="t" coordsize="21600,21600" o:gfxdata="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jXvSPNgAAAALAQAA&#10;DwAAAAAAAAABACAAAAAiAAAAZHJzL2Rvd25yZXYueG1sUEsBAhQAFAAAAAgAh07iQJTSxOYZAgAA&#10;8wMAAA4AAAAAAAAAAQAgAAAAJwEAAGRycy9lMm9Eb2MueG1sUEsFBgAAAAAGAAYAWQEAALIFAAAA&#10;AA==&#10;">
                      <v:fill on="f" focussize="0,0"/>
                      <v:stroke weight="1pt" color="#FF0000 [3204]" miterlimit="8" joinstyle="miter" endarrow="open"/>
                      <v:imagedata o:title=""/>
                      <o:lock v:ext="edit" aspectratio="f"/>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column">
                        <wp:posOffset>1631950</wp:posOffset>
                      </wp:positionH>
                      <wp:positionV relativeFrom="paragraph">
                        <wp:posOffset>1000125</wp:posOffset>
                      </wp:positionV>
                      <wp:extent cx="1674495" cy="1513205"/>
                      <wp:effectExtent l="4445" t="4445" r="16510" b="6350"/>
                      <wp:wrapNone/>
                      <wp:docPr id="9" name="直接箭头连接符 9"/>
                      <wp:cNvGraphicFramePr/>
                      <a:graphic xmlns:a="http://schemas.openxmlformats.org/drawingml/2006/main">
                        <a:graphicData uri="http://schemas.microsoft.com/office/word/2010/wordprocessingShape">
                          <wps:wsp>
                            <wps:cNvCnPr/>
                            <wps:spPr>
                              <a:xfrm>
                                <a:off x="3140075" y="2072005"/>
                                <a:ext cx="1674495" cy="1513205"/>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28.5pt;margin-top:78.75pt;height:119.15pt;width:131.85pt;z-index:251659264;mso-width-relative:page;mso-height-relative:page;" filled="f" stroked="t" coordsize="21600,21600" o:gfxdata="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ZaKsLYAAAACwEA&#10;AA8AAAAAAAAAAQAgAAAAIgAAAGRycy9kb3ducmV2LnhtbFBLAQIUABQAAAAIAIdO4kAv9BRFGgIA&#10;APEDAAAOAAAAAAAAAAEAIAAAACcBAABkcnMvZTJvRG9jLnhtbFBLBQYAAAAABgAGAFkBAACzBQAA&#10;AAA=&#10;">
                      <v:fill on="f" focussize="0,0"/>
                      <v:stroke weight="1pt" color="#FF0000 [3204]" miterlimit="8" joinstyle="miter" endarrow="open"/>
                      <v:imagedata o:title=""/>
                      <o:lock v:ext="edit" aspectratio="f"/>
                    </v:shape>
                  </w:pict>
                </mc:Fallback>
              </mc:AlternateContent>
            </w:r>
            <w:r>
              <w:rPr>
                <w:rFonts w:hint="default" w:ascii="Times New Roman" w:hAnsi="Times New Roman" w:eastAsia="宋体" w:cs="Times New Roman"/>
              </w:rPr>
              <w:drawing>
                <wp:inline distT="0" distB="0" distL="114300" distR="114300">
                  <wp:extent cx="4565015" cy="3223895"/>
                  <wp:effectExtent l="0" t="0" r="6985" b="146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8"/>
                          <a:stretch>
                            <a:fillRect/>
                          </a:stretch>
                        </pic:blipFill>
                        <pic:spPr>
                          <a:xfrm>
                            <a:off x="0" y="0"/>
                            <a:ext cx="4565015" cy="3223895"/>
                          </a:xfrm>
                          <a:prstGeom prst="rect">
                            <a:avLst/>
                          </a:prstGeom>
                          <a:noFill/>
                          <a:ln>
                            <a:noFill/>
                          </a:ln>
                        </pic:spPr>
                      </pic:pic>
                    </a:graphicData>
                  </a:graphic>
                </wp:inline>
              </w:drawing>
            </w:r>
          </w:p>
          <w:p w14:paraId="02A34118">
            <w:pPr>
              <w:keepNext w:val="0"/>
              <w:keepLines w:val="0"/>
              <w:pageBreakBefore w:val="0"/>
              <w:kinsoku/>
              <w:wordWrap/>
              <w:overflowPunct/>
              <w:topLinePunct w:val="0"/>
              <w:autoSpaceDE/>
              <w:autoSpaceDN/>
              <w:bidi w:val="0"/>
              <w:spacing w:line="360" w:lineRule="auto"/>
              <w:jc w:val="center"/>
              <w:textAlignment w:val="auto"/>
              <w:rPr>
                <w:rFonts w:hint="default" w:ascii="Times New Roman" w:hAnsi="Times New Roman" w:eastAsia="宋体" w:cs="Times New Roman"/>
                <w:b/>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4"/>
                <w:highlight w:val="none"/>
                <w:lang w:val="en-US" w:eastAsia="zh-CN"/>
                <w14:textFill>
                  <w14:solidFill>
                    <w14:schemeClr w14:val="tx1"/>
                  </w14:solidFill>
                </w14:textFill>
              </w:rPr>
              <w:t>图3-1 大气环境监测数据引用位置图</w:t>
            </w:r>
          </w:p>
          <w:p w14:paraId="37E09B2A">
            <w:pPr>
              <w:keepNext w:val="0"/>
              <w:keepLines w:val="0"/>
              <w:pageBreakBefore w:val="0"/>
              <w:kinsoku/>
              <w:wordWrap/>
              <w:overflowPunct/>
              <w:topLinePunct w:val="0"/>
              <w:autoSpaceDE/>
              <w:autoSpaceDN/>
              <w:bidi w:val="0"/>
              <w:spacing w:line="360" w:lineRule="auto"/>
              <w:ind w:firstLine="458" w:firstLineChars="190"/>
              <w:textAlignment w:val="auto"/>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2、</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地表水环境质量现状</w:t>
            </w:r>
          </w:p>
          <w:p w14:paraId="50366ED7">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根据《2023年芜湖市生态环境状况公报》：2023年，列入国家水质考核的10个地表水断面中，长江东西梁山、青弋江宝塔根、漳河澛港桥、黄浒河荻港、裕溪河裕溪口、青山河查湾、裕溪河三汊河、青山河三里埂、七星河乔木等9个断面水质年均值符合《地表水环境质量标准》（GB3838—2002）Ⅱ类标准，西河入裕溪河口断面水质年均值符合Ⅲ类标准，优良比例、达标率100%。</w:t>
            </w:r>
          </w:p>
          <w:p w14:paraId="2DDB61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芜湖市二水厂（长江）水源地、芜湖市四水厂（长江）水源地、芜湖市漳河备用水源地、湾沚区自来水厂（青弋江）水源地、繁昌区新港自来水厂（长江）水源地、芜湖市三山水厂繁昌芦南水厂（长江）饮用水水源地、无为市西河备用水源地、无为市高沟（长江）水源地、无为市泥汊（长江）水源地、南陵县二水厂（青弋江）水源地等10个县级以上饮用水水源地水质均达到《地表水环境质量。</w:t>
            </w:r>
            <w:r>
              <w:rPr>
                <w:rFonts w:hint="default" w:ascii="Times New Roman" w:hAnsi="Times New Roman" w:eastAsia="宋体" w:cs="Times New Roman"/>
                <w:sz w:val="24"/>
                <w:szCs w:val="24"/>
              </w:rPr>
              <w:t>标准》（GB3838-2002）Ⅲ类标准，水质达标率100%。本项目废水接管芜湖市城南污水处理厂，处理后尾水水质优于《城镇污水处 理厂污染物排放标准》（GB18918-2002）表1中一级A标准排入长江。根据上述资料，长江水质现状符合国家《地表水环境质量标准》（GB3838-2002）III 类标准，地表水质量较好，水质达标。综上所述，区域地表水体均满足相应环境质量标准要求。</w:t>
            </w:r>
          </w:p>
          <w:p w14:paraId="36ACE0F4">
            <w:pPr>
              <w:keepNext w:val="0"/>
              <w:keepLines w:val="0"/>
              <w:pageBreakBefore w:val="0"/>
              <w:tabs>
                <w:tab w:val="left" w:pos="1418"/>
              </w:tabs>
              <w:kinsoku/>
              <w:wordWrap/>
              <w:overflowPunct/>
              <w:topLinePunct w:val="0"/>
              <w:autoSpaceDE/>
              <w:autoSpaceDN/>
              <w:bidi w:val="0"/>
              <w:adjustRightInd/>
              <w:snapToGrid/>
              <w:spacing w:line="360" w:lineRule="auto"/>
              <w:ind w:firstLine="426" w:firstLineChars="177"/>
              <w:textAlignment w:val="auto"/>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3、声环境质量现状</w:t>
            </w:r>
          </w:p>
          <w:p w14:paraId="5754831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aps w:val="0"/>
                <w:color w:val="000000" w:themeColor="text1"/>
                <w:sz w:val="24"/>
                <w:highlight w:val="none"/>
                <w14:textFill>
                  <w14:solidFill>
                    <w14:schemeClr w14:val="tx1"/>
                  </w14:solidFill>
                </w14:textFill>
              </w:rPr>
            </w:pPr>
            <w:r>
              <w:rPr>
                <w:rFonts w:hint="default" w:ascii="Times New Roman" w:hAnsi="Times New Roman" w:eastAsia="宋体" w:cs="Times New Roman"/>
                <w:bCs/>
                <w:caps w:val="0"/>
                <w:color w:val="000000" w:themeColor="text1"/>
                <w:sz w:val="24"/>
                <w:highlight w:val="none"/>
                <w14:textFill>
                  <w14:solidFill>
                    <w14:schemeClr w14:val="tx1"/>
                  </w14:solidFill>
                </w14:textFill>
              </w:rPr>
              <w:t>根据《建设项目环境影响报告表编制技术指南</w:t>
            </w:r>
            <w:r>
              <w:rPr>
                <w:rFonts w:hint="default" w:ascii="Times New Roman" w:hAnsi="Times New Roman" w:eastAsia="宋体" w:cs="Times New Roman"/>
                <w:bCs/>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bCs/>
                <w:caps w:val="0"/>
                <w:color w:val="000000" w:themeColor="text1"/>
                <w:sz w:val="24"/>
                <w:highlight w:val="none"/>
                <w14:textFill>
                  <w14:solidFill>
                    <w14:schemeClr w14:val="tx1"/>
                  </w14:solidFill>
                </w14:textFill>
              </w:rPr>
              <w:t>污染影响类</w:t>
            </w:r>
            <w:r>
              <w:rPr>
                <w:rFonts w:hint="default" w:ascii="Times New Roman" w:hAnsi="Times New Roman" w:eastAsia="宋体" w:cs="Times New Roman"/>
                <w:bCs/>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bCs/>
                <w:caps w:val="0"/>
                <w:color w:val="000000" w:themeColor="text1"/>
                <w:sz w:val="24"/>
                <w:highlight w:val="none"/>
                <w14:textFill>
                  <w14:solidFill>
                    <w14:schemeClr w14:val="tx1"/>
                  </w14:solidFill>
                </w14:textFill>
              </w:rPr>
              <w:t>试行</w:t>
            </w:r>
            <w:r>
              <w:rPr>
                <w:rFonts w:hint="default" w:ascii="Times New Roman" w:hAnsi="Times New Roman" w:eastAsia="宋体" w:cs="Times New Roman"/>
                <w:bCs/>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bCs/>
                <w:caps w:val="0"/>
                <w:color w:val="000000" w:themeColor="text1"/>
                <w:sz w:val="24"/>
                <w:highlight w:val="none"/>
                <w14:textFill>
                  <w14:solidFill>
                    <w14:schemeClr w14:val="tx1"/>
                  </w14:solidFill>
                </w14:textFill>
              </w:rPr>
              <w:t>》中“区域环境质量”的“3、声环境—厂界外周边50米范围内存在声环境保护目标的建设项目，应监测保护目标声环境质量现状并评价达标情况。各点位应监测昼夜间噪声，监测时间不少于1天，项目夜间不生产则仅监测昼间噪声”。</w:t>
            </w:r>
          </w:p>
          <w:p w14:paraId="6AA9890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aps w:val="0"/>
                <w:color w:val="000000" w:themeColor="text1"/>
                <w:sz w:val="24"/>
                <w:highlight w:val="none"/>
                <w14:textFill>
                  <w14:solidFill>
                    <w14:schemeClr w14:val="tx1"/>
                  </w14:solidFill>
                </w14:textFill>
              </w:rPr>
            </w:pPr>
            <w:r>
              <w:rPr>
                <w:rFonts w:hint="default" w:ascii="Times New Roman" w:hAnsi="Times New Roman" w:eastAsia="宋体" w:cs="Times New Roman"/>
                <w:bCs/>
                <w:caps w:val="0"/>
                <w:color w:val="000000" w:themeColor="text1"/>
                <w:sz w:val="24"/>
                <w:highlight w:val="none"/>
                <w14:textFill>
                  <w14:solidFill>
                    <w14:schemeClr w14:val="tx1"/>
                  </w14:solidFill>
                </w14:textFill>
              </w:rPr>
              <w:t>本项目厂界外周边50米范围内不存在声环境保护目标，故无需进行声环境现状监测。</w:t>
            </w:r>
          </w:p>
          <w:p w14:paraId="0FBBC926">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4、地下水、土壤环境</w:t>
            </w:r>
          </w:p>
          <w:p w14:paraId="55D82DD0">
            <w:pPr>
              <w:keepNext w:val="0"/>
              <w:keepLines w:val="0"/>
              <w:pageBreakBefore w:val="0"/>
              <w:widowControl/>
              <w:kinsoku/>
              <w:wordWrap/>
              <w:overflowPunct/>
              <w:topLinePunct w:val="0"/>
              <w:autoSpaceDE/>
              <w:autoSpaceDN/>
              <w:bidi w:val="0"/>
              <w:adjustRightInd/>
              <w:snapToGrid/>
              <w:spacing w:line="360" w:lineRule="auto"/>
              <w:ind w:firstLine="456" w:firstLineChars="190"/>
              <w:jc w:val="left"/>
              <w:textAlignment w:val="auto"/>
              <w:rPr>
                <w:rFonts w:hint="default" w:ascii="Times New Roman" w:hAnsi="Times New Roman" w:eastAsia="宋体" w:cs="Times New Roman"/>
                <w:color w:val="auto"/>
                <w:sz w:val="24"/>
                <w:szCs w:val="20"/>
                <w:highlight w:val="none"/>
              </w:rPr>
            </w:pPr>
            <w:r>
              <w:rPr>
                <w:rFonts w:hint="default" w:ascii="Times New Roman" w:hAnsi="Times New Roman" w:eastAsia="宋体" w:cs="Times New Roman"/>
                <w:color w:val="auto"/>
                <w:sz w:val="24"/>
                <w:szCs w:val="20"/>
                <w:highlight w:val="none"/>
              </w:rPr>
              <w:t>本项目营运期废气污染因子主要为非甲烷总烃</w:t>
            </w:r>
            <w:r>
              <w:rPr>
                <w:rFonts w:hint="default" w:ascii="Times New Roman" w:hAnsi="Times New Roman" w:eastAsia="宋体" w:cs="Times New Roman"/>
                <w:color w:val="auto"/>
                <w:sz w:val="24"/>
                <w:szCs w:val="20"/>
                <w:highlight w:val="none"/>
                <w:lang w:eastAsia="zh-CN"/>
              </w:rPr>
              <w:t>、</w:t>
            </w:r>
            <w:r>
              <w:rPr>
                <w:rFonts w:hint="default" w:ascii="Times New Roman" w:hAnsi="Times New Roman" w:eastAsia="宋体" w:cs="Times New Roman"/>
                <w:color w:val="auto"/>
                <w:sz w:val="24"/>
                <w:szCs w:val="20"/>
                <w:highlight w:val="none"/>
                <w:lang w:val="en-US" w:eastAsia="zh-CN"/>
              </w:rPr>
              <w:t>氨、颗粒物</w:t>
            </w:r>
            <w:r>
              <w:rPr>
                <w:rFonts w:hint="default" w:ascii="Times New Roman" w:hAnsi="Times New Roman" w:eastAsia="宋体" w:cs="Times New Roman"/>
                <w:color w:val="auto"/>
                <w:sz w:val="24"/>
                <w:szCs w:val="20"/>
                <w:highlight w:val="none"/>
              </w:rPr>
              <w:t>，不涉及持久性难降解挥发性有机物及重金属污染物，通过大气沉降对土壤造成影响很小。</w:t>
            </w:r>
          </w:p>
          <w:p w14:paraId="0C9CA941">
            <w:pPr>
              <w:keepNext w:val="0"/>
              <w:keepLines w:val="0"/>
              <w:pageBreakBefore w:val="0"/>
              <w:widowControl/>
              <w:kinsoku/>
              <w:wordWrap/>
              <w:overflowPunct/>
              <w:topLinePunct w:val="0"/>
              <w:autoSpaceDE/>
              <w:autoSpaceDN/>
              <w:bidi w:val="0"/>
              <w:adjustRightInd/>
              <w:snapToGrid/>
              <w:spacing w:line="360" w:lineRule="auto"/>
              <w:ind w:firstLine="456" w:firstLineChars="190"/>
              <w:jc w:val="left"/>
              <w:textAlignment w:val="auto"/>
              <w:rPr>
                <w:rFonts w:hint="default" w:ascii="Times New Roman" w:hAnsi="Times New Roman" w:eastAsia="宋体" w:cs="Times New Roman"/>
                <w:color w:val="auto"/>
                <w:sz w:val="24"/>
                <w:szCs w:val="20"/>
                <w:highlight w:val="none"/>
              </w:rPr>
            </w:pPr>
            <w:r>
              <w:rPr>
                <w:rFonts w:hint="default" w:ascii="Times New Roman" w:hAnsi="Times New Roman" w:eastAsia="宋体" w:cs="Times New Roman"/>
                <w:color w:val="auto"/>
                <w:sz w:val="24"/>
                <w:szCs w:val="20"/>
                <w:highlight w:val="none"/>
              </w:rPr>
              <w:t>本项目</w:t>
            </w:r>
            <w:r>
              <w:rPr>
                <w:rFonts w:hint="default" w:ascii="Times New Roman" w:hAnsi="Times New Roman" w:eastAsia="宋体" w:cs="Times New Roman"/>
                <w:color w:val="auto"/>
                <w:sz w:val="24"/>
                <w:szCs w:val="20"/>
                <w:highlight w:val="none"/>
                <w:lang w:val="en-US" w:eastAsia="zh-CN"/>
              </w:rPr>
              <w:t>原料库</w:t>
            </w:r>
            <w:r>
              <w:rPr>
                <w:rFonts w:hint="default" w:ascii="Times New Roman" w:hAnsi="Times New Roman" w:eastAsia="宋体" w:cs="Times New Roman"/>
                <w:color w:val="auto"/>
                <w:sz w:val="24"/>
                <w:szCs w:val="20"/>
                <w:highlight w:val="none"/>
              </w:rPr>
              <w:t>和危废暂存库采取防腐防渗措施，防止泄漏液体通过地表漫流或垂直入渗等途径进入土壤和地下水。</w:t>
            </w:r>
          </w:p>
          <w:p w14:paraId="5787C17D">
            <w:pPr>
              <w:keepNext w:val="0"/>
              <w:keepLines w:val="0"/>
              <w:pageBreakBefore w:val="0"/>
              <w:widowControl/>
              <w:kinsoku/>
              <w:wordWrap/>
              <w:overflowPunct/>
              <w:topLinePunct w:val="0"/>
              <w:autoSpaceDE/>
              <w:autoSpaceDN/>
              <w:bidi w:val="0"/>
              <w:adjustRightInd/>
              <w:snapToGrid/>
              <w:spacing w:line="360" w:lineRule="auto"/>
              <w:ind w:firstLine="456" w:firstLineChars="190"/>
              <w:jc w:val="left"/>
              <w:textAlignment w:val="auto"/>
              <w:rPr>
                <w:rFonts w:hint="default" w:ascii="Times New Roman" w:hAnsi="Times New Roman" w:eastAsia="宋体" w:cs="Times New Roman"/>
                <w:color w:val="000000" w:themeColor="text1"/>
                <w:sz w:val="24"/>
                <w:szCs w:val="20"/>
                <w:highlight w:val="none"/>
                <w14:textFill>
                  <w14:solidFill>
                    <w14:schemeClr w14:val="tx1"/>
                  </w14:solidFill>
                </w14:textFill>
              </w:rPr>
            </w:pPr>
            <w:r>
              <w:rPr>
                <w:rFonts w:hint="default" w:ascii="Times New Roman" w:hAnsi="Times New Roman" w:eastAsia="宋体" w:cs="Times New Roman"/>
                <w:color w:val="000000" w:themeColor="text1"/>
                <w:sz w:val="24"/>
                <w:szCs w:val="20"/>
                <w:highlight w:val="none"/>
                <w14:textFill>
                  <w14:solidFill>
                    <w14:schemeClr w14:val="tx1"/>
                  </w14:solidFill>
                </w14:textFill>
              </w:rPr>
              <w:t>综上所述，本项目对区域土壤、地下水环境无明显污染途径，根据《建设项目环境影响报告表编制技术指南（污染影响类）（试行）》的要求，可不开展土壤、地下水环境质量现状调查。</w:t>
            </w:r>
          </w:p>
          <w:p w14:paraId="460AEA5D">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highlight w:val="none"/>
                <w14:textFill>
                  <w14:solidFill>
                    <w14:schemeClr w14:val="tx1"/>
                  </w14:solidFill>
                </w14:textFill>
              </w:rPr>
              <w:t>、生态环境</w:t>
            </w:r>
          </w:p>
          <w:p w14:paraId="3C4871E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aps w:val="0"/>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szCs w:val="20"/>
                <w:highlight w:val="none"/>
                <w14:textFill>
                  <w14:solidFill>
                    <w14:schemeClr w14:val="tx1"/>
                  </w14:solidFill>
                </w14:textFill>
              </w:rPr>
              <w:t>本项目厂区用地范围内无生态环境保护目标，因此不进行生态现状调查。</w:t>
            </w:r>
          </w:p>
        </w:tc>
      </w:tr>
      <w:tr w14:paraId="6C038B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7" w:hRule="atLeast"/>
          <w:jc w:val="center"/>
        </w:trPr>
        <w:tc>
          <w:tcPr>
            <w:tcW w:w="772" w:type="dxa"/>
            <w:vAlign w:val="center"/>
          </w:tcPr>
          <w:p w14:paraId="43EB919D">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环境</w:t>
            </w:r>
          </w:p>
          <w:p w14:paraId="2217403F">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保护</w:t>
            </w:r>
          </w:p>
          <w:p w14:paraId="40952201">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目标</w:t>
            </w:r>
          </w:p>
        </w:tc>
        <w:tc>
          <w:tcPr>
            <w:tcW w:w="8053" w:type="dxa"/>
            <w:vAlign w:val="center"/>
          </w:tcPr>
          <w:p w14:paraId="05F42D2B">
            <w:pPr>
              <w:pStyle w:val="8"/>
              <w:spacing w:before="120" w:beforeLines="50" w:after="0" w:line="360" w:lineRule="auto"/>
              <w:ind w:left="0" w:leftChars="0" w:firstLine="480" w:firstLineChars="200"/>
              <w:jc w:val="left"/>
              <w:rPr>
                <w:rFonts w:hint="default" w:ascii="Times New Roman" w:hAnsi="Times New Roman" w:eastAsia="宋体" w:cs="Times New Roman"/>
                <w:caps w:val="0"/>
                <w:snapToGrid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项目</w:t>
            </w:r>
            <w:r>
              <w:rPr>
                <w:rFonts w:hint="default" w:ascii="Times New Roman" w:hAnsi="Times New Roman" w:eastAsia="宋体" w:cs="Times New Roman"/>
                <w:caps w:val="0"/>
                <w:snapToGrid w:val="0"/>
                <w:color w:val="000000" w:themeColor="text1"/>
                <w:highlight w:val="none"/>
                <w14:textFill>
                  <w14:solidFill>
                    <w14:schemeClr w14:val="tx1"/>
                  </w14:solidFill>
                </w14:textFill>
              </w:rPr>
              <w:t>位于</w:t>
            </w:r>
            <w:r>
              <w:rPr>
                <w:rFonts w:hint="default" w:ascii="Times New Roman" w:hAnsi="Times New Roman" w:eastAsia="宋体" w:cs="Times New Roman"/>
                <w:bCs/>
                <w:caps w:val="0"/>
                <w:color w:val="000000" w:themeColor="text1"/>
                <w:highlight w:val="none"/>
                <w14:textFill>
                  <w14:solidFill>
                    <w14:schemeClr w14:val="tx1"/>
                  </w14:solidFill>
                </w14:textFill>
              </w:rPr>
              <w:t>芜湖市弋江区高新技术开发区漳河路28号，</w:t>
            </w:r>
            <w:r>
              <w:rPr>
                <w:rFonts w:hint="default" w:ascii="Times New Roman" w:hAnsi="Times New Roman" w:eastAsia="宋体" w:cs="Times New Roman"/>
                <w:caps w:val="0"/>
                <w:snapToGrid w:val="0"/>
                <w:color w:val="000000" w:themeColor="text1"/>
                <w:highlight w:val="none"/>
                <w14:textFill>
                  <w14:solidFill>
                    <w14:schemeClr w14:val="tx1"/>
                  </w14:solidFill>
                </w14:textFill>
              </w:rPr>
              <w:t>通过对项目的实地勘查，评价范围内无自然保护区、风景名胜区、饮用水源保护区和文物古迹等需要特殊保护的环境敏感对象。</w:t>
            </w:r>
          </w:p>
          <w:p w14:paraId="3723B629">
            <w:pPr>
              <w:pStyle w:val="8"/>
              <w:spacing w:after="0" w:line="360" w:lineRule="auto"/>
              <w:ind w:left="0" w:leftChars="0" w:firstLine="480" w:firstLineChars="200"/>
              <w:jc w:val="left"/>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其主要环境保护目标如下：</w:t>
            </w:r>
          </w:p>
          <w:p w14:paraId="1D068D6A">
            <w:pPr>
              <w:pStyle w:val="8"/>
              <w:spacing w:after="0" w:line="360" w:lineRule="auto"/>
              <w:ind w:left="0" w:leftChars="0" w:firstLine="480" w:firstLineChars="200"/>
              <w:jc w:val="left"/>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1、大气环境</w:t>
            </w:r>
          </w:p>
          <w:p w14:paraId="646D4E0B">
            <w:pPr>
              <w:pStyle w:val="8"/>
              <w:spacing w:after="0" w:line="360" w:lineRule="auto"/>
              <w:ind w:left="0" w:leftChars="0" w:firstLine="480" w:firstLineChars="200"/>
              <w:jc w:val="left"/>
              <w:rPr>
                <w:rFonts w:hint="default" w:ascii="Times New Roman" w:hAnsi="Times New Roman" w:eastAsia="宋体" w:cs="Times New Roman"/>
                <w:caps w:val="0"/>
                <w:color w:val="000000" w:themeColor="text1"/>
                <w:highlight w:val="none"/>
                <w14:textFill>
                  <w14:solidFill>
                    <w14:schemeClr w14:val="tx1"/>
                  </w14:solidFill>
                </w14:textFill>
              </w:rPr>
            </w:pPr>
            <w:bookmarkStart w:id="6" w:name="_Hlk115189161"/>
            <w:r>
              <w:rPr>
                <w:rFonts w:hint="default" w:ascii="Times New Roman" w:hAnsi="Times New Roman" w:eastAsia="宋体" w:cs="Times New Roman"/>
                <w:caps w:val="0"/>
                <w:color w:val="000000" w:themeColor="text1"/>
                <w:highlight w:val="none"/>
                <w14:textFill>
                  <w14:solidFill>
                    <w14:schemeClr w14:val="tx1"/>
                  </w14:solidFill>
                </w14:textFill>
              </w:rPr>
              <w:t>项目厂界外500米范围</w:t>
            </w:r>
            <w:bookmarkEnd w:id="6"/>
            <w:r>
              <w:rPr>
                <w:rFonts w:hint="default" w:ascii="Times New Roman" w:hAnsi="Times New Roman" w:eastAsia="宋体" w:cs="Times New Roman"/>
                <w:caps w:val="0"/>
                <w:color w:val="000000" w:themeColor="text1"/>
                <w:highlight w:val="none"/>
                <w14:textFill>
                  <w14:solidFill>
                    <w14:schemeClr w14:val="tx1"/>
                  </w14:solidFill>
                </w14:textFill>
              </w:rPr>
              <w:t>内无自然保护区、风景名胜区、居住区、文化区和农村地区中人群较集中的区域等大气环境保护目标。</w:t>
            </w:r>
          </w:p>
          <w:p w14:paraId="2A0E7AA0">
            <w:pPr>
              <w:pStyle w:val="8"/>
              <w:spacing w:after="0" w:line="360" w:lineRule="auto"/>
              <w:ind w:left="0" w:leftChars="0" w:firstLine="480" w:firstLineChars="200"/>
              <w:jc w:val="left"/>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highlight w:val="none"/>
                <w14:textFill>
                  <w14:solidFill>
                    <w14:schemeClr w14:val="tx1"/>
                  </w14:solidFill>
                </w14:textFill>
              </w:rPr>
              <w:t>、</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地表水</w:t>
            </w:r>
            <w:r>
              <w:rPr>
                <w:rFonts w:hint="default" w:ascii="Times New Roman" w:hAnsi="Times New Roman" w:eastAsia="宋体" w:cs="Times New Roman"/>
                <w:caps w:val="0"/>
                <w:color w:val="000000" w:themeColor="text1"/>
                <w:highlight w:val="none"/>
                <w14:textFill>
                  <w14:solidFill>
                    <w14:schemeClr w14:val="tx1"/>
                  </w14:solidFill>
                </w14:textFill>
              </w:rPr>
              <w:t>环境</w:t>
            </w:r>
          </w:p>
          <w:p w14:paraId="51482146">
            <w:pPr>
              <w:pStyle w:val="8"/>
              <w:spacing w:after="0" w:line="360" w:lineRule="auto"/>
              <w:ind w:left="0" w:leftChars="0" w:firstLine="480" w:firstLineChars="200"/>
              <w:jc w:val="left"/>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项目</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周边地表水保护目标如下表所示</w:t>
            </w:r>
          </w:p>
          <w:p w14:paraId="0F9B20AD">
            <w:pPr>
              <w:adjustRightInd w:val="0"/>
              <w:snapToGrid w:val="0"/>
              <w:jc w:val="center"/>
              <w:rPr>
                <w:rFonts w:hint="default" w:ascii="Times New Roman" w:hAnsi="Times New Roman" w:eastAsia="宋体" w:cs="Times New Roman"/>
                <w:b/>
                <w:bCs/>
                <w:caps w:val="0"/>
                <w:color w:val="000000"/>
                <w:sz w:val="24"/>
                <w:szCs w:val="32"/>
              </w:rPr>
            </w:pPr>
            <w:r>
              <w:rPr>
                <w:rFonts w:hint="default" w:ascii="Times New Roman" w:hAnsi="Times New Roman" w:eastAsia="宋体" w:cs="Times New Roman"/>
                <w:b/>
                <w:bCs/>
                <w:caps w:val="0"/>
                <w:color w:val="000000"/>
                <w:sz w:val="24"/>
                <w:szCs w:val="32"/>
              </w:rPr>
              <w:t>表3-</w:t>
            </w:r>
            <w:r>
              <w:rPr>
                <w:rFonts w:hint="default" w:ascii="Times New Roman" w:hAnsi="Times New Roman" w:eastAsia="宋体" w:cs="Times New Roman"/>
                <w:b/>
                <w:bCs/>
                <w:caps w:val="0"/>
                <w:color w:val="000000"/>
                <w:sz w:val="24"/>
                <w:szCs w:val="32"/>
                <w:lang w:val="en-US" w:eastAsia="zh-CN"/>
              </w:rPr>
              <w:t>3</w:t>
            </w:r>
            <w:r>
              <w:rPr>
                <w:rFonts w:hint="default" w:ascii="Times New Roman" w:hAnsi="Times New Roman" w:eastAsia="宋体" w:cs="Times New Roman"/>
                <w:b/>
                <w:bCs/>
                <w:caps w:val="0"/>
                <w:color w:val="000000"/>
                <w:sz w:val="24"/>
                <w:szCs w:val="32"/>
              </w:rPr>
              <w:t xml:space="preserve">  主要环境保护目标</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6"/>
              <w:gridCol w:w="995"/>
              <w:gridCol w:w="600"/>
              <w:gridCol w:w="698"/>
              <w:gridCol w:w="919"/>
              <w:gridCol w:w="1134"/>
              <w:gridCol w:w="783"/>
              <w:gridCol w:w="2012"/>
            </w:tblGrid>
            <w:tr w14:paraId="3DCD3C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4" w:type="pct"/>
                  <w:vMerge w:val="restart"/>
                  <w:noWrap w:val="0"/>
                  <w:vAlign w:val="center"/>
                </w:tcPr>
                <w:p w14:paraId="7BB1B3F0">
                  <w:pPr>
                    <w:adjustRightInd w:val="0"/>
                    <w:snapToGrid w:val="0"/>
                    <w:jc w:val="center"/>
                    <w:rPr>
                      <w:rFonts w:hint="default" w:ascii="Times New Roman" w:hAnsi="Times New Roman" w:eastAsia="宋体" w:cs="Times New Roman"/>
                      <w:b/>
                      <w:bCs/>
                      <w:caps w:val="0"/>
                      <w:color w:val="000000"/>
                    </w:rPr>
                  </w:pPr>
                  <w:r>
                    <w:rPr>
                      <w:rFonts w:hint="default" w:ascii="Times New Roman" w:hAnsi="Times New Roman" w:eastAsia="宋体" w:cs="Times New Roman"/>
                      <w:b/>
                      <w:bCs/>
                      <w:caps w:val="0"/>
                      <w:color w:val="000000"/>
                    </w:rPr>
                    <w:t>环境要素</w:t>
                  </w:r>
                </w:p>
              </w:tc>
              <w:tc>
                <w:tcPr>
                  <w:tcW w:w="634" w:type="pct"/>
                  <w:vMerge w:val="restart"/>
                  <w:noWrap w:val="0"/>
                  <w:vAlign w:val="center"/>
                </w:tcPr>
                <w:p w14:paraId="362ACD65">
                  <w:pPr>
                    <w:adjustRightInd w:val="0"/>
                    <w:snapToGrid w:val="0"/>
                    <w:jc w:val="center"/>
                    <w:rPr>
                      <w:rFonts w:hint="default" w:ascii="Times New Roman" w:hAnsi="Times New Roman" w:eastAsia="宋体" w:cs="Times New Roman"/>
                      <w:b/>
                      <w:bCs/>
                      <w:caps w:val="0"/>
                      <w:color w:val="000000"/>
                    </w:rPr>
                  </w:pPr>
                  <w:r>
                    <w:rPr>
                      <w:rFonts w:hint="default" w:ascii="Times New Roman" w:hAnsi="Times New Roman" w:eastAsia="宋体" w:cs="Times New Roman"/>
                      <w:b/>
                      <w:bCs/>
                      <w:caps w:val="0"/>
                      <w:color w:val="000000"/>
                    </w:rPr>
                    <w:t>环境保护目标</w:t>
                  </w:r>
                </w:p>
              </w:tc>
              <w:tc>
                <w:tcPr>
                  <w:tcW w:w="828" w:type="pct"/>
                  <w:gridSpan w:val="2"/>
                  <w:noWrap w:val="0"/>
                  <w:vAlign w:val="center"/>
                </w:tcPr>
                <w:p w14:paraId="3BFD705B">
                  <w:pPr>
                    <w:adjustRightInd w:val="0"/>
                    <w:snapToGrid w:val="0"/>
                    <w:jc w:val="center"/>
                    <w:rPr>
                      <w:rFonts w:hint="default" w:ascii="Times New Roman" w:hAnsi="Times New Roman" w:eastAsia="宋体" w:cs="Times New Roman"/>
                      <w:b/>
                      <w:bCs/>
                      <w:caps w:val="0"/>
                      <w:color w:val="000000"/>
                    </w:rPr>
                  </w:pPr>
                  <w:r>
                    <w:rPr>
                      <w:rFonts w:hint="default" w:ascii="Times New Roman" w:hAnsi="Times New Roman" w:eastAsia="宋体" w:cs="Times New Roman"/>
                      <w:b/>
                      <w:bCs/>
                      <w:caps w:val="0"/>
                      <w:color w:val="000000"/>
                    </w:rPr>
                    <w:t>坐标</w:t>
                  </w:r>
                </w:p>
              </w:tc>
              <w:tc>
                <w:tcPr>
                  <w:tcW w:w="586" w:type="pct"/>
                  <w:vMerge w:val="restart"/>
                  <w:noWrap w:val="0"/>
                  <w:vAlign w:val="center"/>
                </w:tcPr>
                <w:p w14:paraId="5B4CA7C0">
                  <w:pPr>
                    <w:adjustRightInd w:val="0"/>
                    <w:snapToGrid w:val="0"/>
                    <w:jc w:val="center"/>
                    <w:rPr>
                      <w:rFonts w:hint="default" w:ascii="Times New Roman" w:hAnsi="Times New Roman" w:eastAsia="宋体" w:cs="Times New Roman"/>
                      <w:b/>
                      <w:bCs/>
                      <w:caps w:val="0"/>
                      <w:color w:val="000000"/>
                    </w:rPr>
                  </w:pPr>
                  <w:r>
                    <w:rPr>
                      <w:rFonts w:hint="default" w:ascii="Times New Roman" w:hAnsi="Times New Roman" w:eastAsia="宋体" w:cs="Times New Roman"/>
                      <w:b/>
                      <w:bCs/>
                      <w:caps w:val="0"/>
                      <w:color w:val="000000"/>
                    </w:rPr>
                    <w:t>相对厂址方位</w:t>
                  </w:r>
                </w:p>
              </w:tc>
              <w:tc>
                <w:tcPr>
                  <w:tcW w:w="723" w:type="pct"/>
                  <w:vMerge w:val="restart"/>
                  <w:noWrap w:val="0"/>
                  <w:vAlign w:val="center"/>
                </w:tcPr>
                <w:p w14:paraId="5A8A5B7D">
                  <w:pPr>
                    <w:adjustRightInd w:val="0"/>
                    <w:snapToGrid w:val="0"/>
                    <w:jc w:val="center"/>
                    <w:rPr>
                      <w:rFonts w:hint="default" w:ascii="Times New Roman" w:hAnsi="Times New Roman" w:eastAsia="宋体" w:cs="Times New Roman"/>
                      <w:b/>
                      <w:bCs/>
                      <w:caps w:val="0"/>
                      <w:color w:val="000000"/>
                    </w:rPr>
                  </w:pPr>
                  <w:r>
                    <w:rPr>
                      <w:rFonts w:hint="default" w:ascii="Times New Roman" w:hAnsi="Times New Roman" w:eastAsia="宋体" w:cs="Times New Roman"/>
                      <w:b/>
                      <w:bCs/>
                      <w:caps w:val="0"/>
                      <w:color w:val="000000"/>
                    </w:rPr>
                    <w:t>相对本项目距离</w:t>
                  </w:r>
                </w:p>
              </w:tc>
              <w:tc>
                <w:tcPr>
                  <w:tcW w:w="499" w:type="pct"/>
                  <w:vMerge w:val="restart"/>
                  <w:noWrap w:val="0"/>
                  <w:vAlign w:val="center"/>
                </w:tcPr>
                <w:p w14:paraId="0C979109">
                  <w:pPr>
                    <w:adjustRightInd w:val="0"/>
                    <w:snapToGrid w:val="0"/>
                    <w:jc w:val="center"/>
                    <w:rPr>
                      <w:rFonts w:hint="default" w:ascii="Times New Roman" w:hAnsi="Times New Roman" w:eastAsia="宋体" w:cs="Times New Roman"/>
                      <w:b/>
                      <w:bCs/>
                      <w:caps w:val="0"/>
                      <w:color w:val="000000"/>
                    </w:rPr>
                  </w:pPr>
                  <w:r>
                    <w:rPr>
                      <w:rFonts w:hint="default" w:ascii="Times New Roman" w:hAnsi="Times New Roman" w:eastAsia="宋体" w:cs="Times New Roman"/>
                      <w:b/>
                      <w:bCs/>
                      <w:caps w:val="0"/>
                      <w:color w:val="000000"/>
                    </w:rPr>
                    <w:t>规模</w:t>
                  </w:r>
                </w:p>
              </w:tc>
              <w:tc>
                <w:tcPr>
                  <w:tcW w:w="1283" w:type="pct"/>
                  <w:vMerge w:val="restart"/>
                  <w:noWrap w:val="0"/>
                  <w:vAlign w:val="center"/>
                </w:tcPr>
                <w:p w14:paraId="2B0920B6">
                  <w:pPr>
                    <w:adjustRightInd w:val="0"/>
                    <w:snapToGrid w:val="0"/>
                    <w:jc w:val="center"/>
                    <w:rPr>
                      <w:rFonts w:hint="default" w:ascii="Times New Roman" w:hAnsi="Times New Roman" w:eastAsia="宋体" w:cs="Times New Roman"/>
                      <w:b/>
                      <w:bCs/>
                      <w:caps w:val="0"/>
                      <w:color w:val="000000"/>
                    </w:rPr>
                  </w:pPr>
                  <w:r>
                    <w:rPr>
                      <w:rFonts w:hint="default" w:ascii="Times New Roman" w:hAnsi="Times New Roman" w:eastAsia="宋体" w:cs="Times New Roman"/>
                      <w:b/>
                      <w:bCs/>
                      <w:caps w:val="0"/>
                      <w:color w:val="000000"/>
                    </w:rPr>
                    <w:t>保护级别</w:t>
                  </w:r>
                </w:p>
              </w:tc>
            </w:tr>
            <w:tr w14:paraId="39C362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4" w:type="pct"/>
                  <w:vMerge w:val="continue"/>
                  <w:noWrap w:val="0"/>
                  <w:vAlign w:val="center"/>
                </w:tcPr>
                <w:p w14:paraId="63466A66">
                  <w:pPr>
                    <w:pStyle w:val="16"/>
                    <w:adjustRightInd w:val="0"/>
                    <w:snapToGrid w:val="0"/>
                    <w:ind w:left="0" w:leftChars="0"/>
                    <w:jc w:val="center"/>
                    <w:rPr>
                      <w:rFonts w:hint="default" w:ascii="Times New Roman" w:hAnsi="Times New Roman" w:eastAsia="宋体" w:cs="Times New Roman"/>
                      <w:caps w:val="0"/>
                      <w:color w:val="000000"/>
                    </w:rPr>
                  </w:pPr>
                </w:p>
              </w:tc>
              <w:tc>
                <w:tcPr>
                  <w:tcW w:w="634" w:type="pct"/>
                  <w:vMerge w:val="continue"/>
                  <w:noWrap w:val="0"/>
                  <w:vAlign w:val="center"/>
                </w:tcPr>
                <w:p w14:paraId="4BFC3861">
                  <w:pPr>
                    <w:adjustRightInd w:val="0"/>
                    <w:snapToGrid w:val="0"/>
                    <w:jc w:val="center"/>
                    <w:rPr>
                      <w:rFonts w:hint="default" w:ascii="Times New Roman" w:hAnsi="Times New Roman" w:eastAsia="宋体" w:cs="Times New Roman"/>
                      <w:caps w:val="0"/>
                      <w:color w:val="000000"/>
                    </w:rPr>
                  </w:pPr>
                </w:p>
              </w:tc>
              <w:tc>
                <w:tcPr>
                  <w:tcW w:w="382" w:type="pct"/>
                  <w:noWrap w:val="0"/>
                  <w:vAlign w:val="center"/>
                </w:tcPr>
                <w:p w14:paraId="29A0B723">
                  <w:pPr>
                    <w:adjustRightInd w:val="0"/>
                    <w:snapToGrid w:val="0"/>
                    <w:jc w:val="center"/>
                    <w:rPr>
                      <w:rFonts w:hint="default" w:ascii="Times New Roman" w:hAnsi="Times New Roman" w:eastAsia="宋体" w:cs="Times New Roman"/>
                      <w:b/>
                      <w:bCs/>
                      <w:caps w:val="0"/>
                      <w:color w:val="000000"/>
                    </w:rPr>
                  </w:pPr>
                  <w:r>
                    <w:rPr>
                      <w:rFonts w:hint="default" w:ascii="Times New Roman" w:hAnsi="Times New Roman" w:eastAsia="宋体" w:cs="Times New Roman"/>
                      <w:b/>
                      <w:bCs/>
                      <w:caps w:val="0"/>
                      <w:color w:val="000000"/>
                    </w:rPr>
                    <w:t>X</w:t>
                  </w:r>
                </w:p>
              </w:tc>
              <w:tc>
                <w:tcPr>
                  <w:tcW w:w="445" w:type="pct"/>
                  <w:noWrap w:val="0"/>
                  <w:vAlign w:val="center"/>
                </w:tcPr>
                <w:p w14:paraId="4860063E">
                  <w:pPr>
                    <w:adjustRightInd w:val="0"/>
                    <w:snapToGrid w:val="0"/>
                    <w:jc w:val="center"/>
                    <w:rPr>
                      <w:rFonts w:hint="default" w:ascii="Times New Roman" w:hAnsi="Times New Roman" w:eastAsia="宋体" w:cs="Times New Roman"/>
                      <w:b/>
                      <w:bCs/>
                      <w:caps w:val="0"/>
                      <w:color w:val="000000"/>
                    </w:rPr>
                  </w:pPr>
                  <w:r>
                    <w:rPr>
                      <w:rFonts w:hint="default" w:ascii="Times New Roman" w:hAnsi="Times New Roman" w:eastAsia="宋体" w:cs="Times New Roman"/>
                      <w:b/>
                      <w:bCs/>
                      <w:caps w:val="0"/>
                      <w:color w:val="000000"/>
                    </w:rPr>
                    <w:t>Y</w:t>
                  </w:r>
                </w:p>
              </w:tc>
              <w:tc>
                <w:tcPr>
                  <w:tcW w:w="586" w:type="pct"/>
                  <w:vMerge w:val="continue"/>
                  <w:noWrap w:val="0"/>
                  <w:vAlign w:val="center"/>
                </w:tcPr>
                <w:p w14:paraId="7BFDB22B">
                  <w:pPr>
                    <w:adjustRightInd w:val="0"/>
                    <w:snapToGrid w:val="0"/>
                    <w:jc w:val="center"/>
                    <w:rPr>
                      <w:rFonts w:hint="default" w:ascii="Times New Roman" w:hAnsi="Times New Roman" w:eastAsia="宋体" w:cs="Times New Roman"/>
                      <w:caps w:val="0"/>
                      <w:color w:val="000000"/>
                    </w:rPr>
                  </w:pPr>
                </w:p>
              </w:tc>
              <w:tc>
                <w:tcPr>
                  <w:tcW w:w="723" w:type="pct"/>
                  <w:vMerge w:val="continue"/>
                  <w:noWrap w:val="0"/>
                  <w:vAlign w:val="center"/>
                </w:tcPr>
                <w:p w14:paraId="0610FB4C">
                  <w:pPr>
                    <w:adjustRightInd w:val="0"/>
                    <w:snapToGrid w:val="0"/>
                    <w:jc w:val="center"/>
                    <w:rPr>
                      <w:rFonts w:hint="default" w:ascii="Times New Roman" w:hAnsi="Times New Roman" w:eastAsia="宋体" w:cs="Times New Roman"/>
                      <w:caps w:val="0"/>
                      <w:color w:val="000000"/>
                    </w:rPr>
                  </w:pPr>
                </w:p>
              </w:tc>
              <w:tc>
                <w:tcPr>
                  <w:tcW w:w="499" w:type="pct"/>
                  <w:vMerge w:val="continue"/>
                  <w:noWrap w:val="0"/>
                  <w:vAlign w:val="center"/>
                </w:tcPr>
                <w:p w14:paraId="504E0CED">
                  <w:pPr>
                    <w:adjustRightInd w:val="0"/>
                    <w:snapToGrid w:val="0"/>
                    <w:jc w:val="center"/>
                    <w:rPr>
                      <w:rFonts w:hint="default" w:ascii="Times New Roman" w:hAnsi="Times New Roman" w:eastAsia="宋体" w:cs="Times New Roman"/>
                      <w:caps w:val="0"/>
                      <w:color w:val="000000"/>
                    </w:rPr>
                  </w:pPr>
                </w:p>
              </w:tc>
              <w:tc>
                <w:tcPr>
                  <w:tcW w:w="1283" w:type="pct"/>
                  <w:vMerge w:val="continue"/>
                  <w:noWrap w:val="0"/>
                  <w:vAlign w:val="center"/>
                </w:tcPr>
                <w:p w14:paraId="1FE90CAB">
                  <w:pPr>
                    <w:adjustRightInd w:val="0"/>
                    <w:snapToGrid w:val="0"/>
                    <w:jc w:val="center"/>
                    <w:rPr>
                      <w:rFonts w:hint="default" w:ascii="Times New Roman" w:hAnsi="Times New Roman" w:eastAsia="宋体" w:cs="Times New Roman"/>
                      <w:caps w:val="0"/>
                      <w:color w:val="000000"/>
                    </w:rPr>
                  </w:pPr>
                </w:p>
              </w:tc>
            </w:tr>
            <w:tr w14:paraId="4CC8D2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4" w:type="pct"/>
                  <w:vMerge w:val="restart"/>
                  <w:noWrap w:val="0"/>
                  <w:vAlign w:val="center"/>
                </w:tcPr>
                <w:p w14:paraId="62BA0355">
                  <w:pPr>
                    <w:adjustRightInd w:val="0"/>
                    <w:snapToGrid w:val="0"/>
                    <w:jc w:val="center"/>
                    <w:rPr>
                      <w:rFonts w:hint="default" w:ascii="Times New Roman" w:hAnsi="Times New Roman" w:eastAsia="宋体" w:cs="Times New Roman"/>
                      <w:caps w:val="0"/>
                      <w:color w:val="000000"/>
                    </w:rPr>
                  </w:pPr>
                  <w:r>
                    <w:rPr>
                      <w:rFonts w:hint="default" w:ascii="Times New Roman" w:hAnsi="Times New Roman" w:eastAsia="宋体" w:cs="Times New Roman"/>
                      <w:caps w:val="0"/>
                      <w:color w:val="000000"/>
                    </w:rPr>
                    <w:t>水环境</w:t>
                  </w:r>
                </w:p>
              </w:tc>
              <w:tc>
                <w:tcPr>
                  <w:tcW w:w="634" w:type="pct"/>
                  <w:noWrap w:val="0"/>
                  <w:vAlign w:val="center"/>
                </w:tcPr>
                <w:p w14:paraId="3377F516">
                  <w:pPr>
                    <w:adjustRightInd w:val="0"/>
                    <w:snapToGrid w:val="0"/>
                    <w:jc w:val="center"/>
                    <w:rPr>
                      <w:rFonts w:hint="default" w:ascii="Times New Roman" w:hAnsi="Times New Roman" w:eastAsia="宋体" w:cs="Times New Roman"/>
                      <w:caps w:val="0"/>
                      <w:color w:val="000000"/>
                    </w:rPr>
                  </w:pPr>
                  <w:r>
                    <w:rPr>
                      <w:rFonts w:hint="default" w:ascii="Times New Roman" w:hAnsi="Times New Roman" w:eastAsia="宋体" w:cs="Times New Roman"/>
                      <w:caps w:val="0"/>
                      <w:color w:val="000000"/>
                    </w:rPr>
                    <w:t>长江</w:t>
                  </w:r>
                </w:p>
              </w:tc>
              <w:tc>
                <w:tcPr>
                  <w:tcW w:w="382" w:type="pct"/>
                  <w:noWrap w:val="0"/>
                  <w:vAlign w:val="center"/>
                </w:tcPr>
                <w:p w14:paraId="3E31FD22">
                  <w:pPr>
                    <w:adjustRightInd w:val="0"/>
                    <w:snapToGrid w:val="0"/>
                    <w:jc w:val="center"/>
                    <w:rPr>
                      <w:rFonts w:hint="default" w:ascii="Times New Roman" w:hAnsi="Times New Roman" w:eastAsia="宋体" w:cs="Times New Roman"/>
                      <w:caps w:val="0"/>
                      <w:color w:val="000000"/>
                    </w:rPr>
                  </w:pPr>
                  <w:r>
                    <w:rPr>
                      <w:rFonts w:hint="default" w:ascii="Times New Roman" w:hAnsi="Times New Roman" w:eastAsia="宋体" w:cs="Times New Roman"/>
                      <w:caps w:val="0"/>
                      <w:color w:val="000000"/>
                    </w:rPr>
                    <w:t>/</w:t>
                  </w:r>
                </w:p>
              </w:tc>
              <w:tc>
                <w:tcPr>
                  <w:tcW w:w="445" w:type="pct"/>
                  <w:noWrap w:val="0"/>
                  <w:vAlign w:val="center"/>
                </w:tcPr>
                <w:p w14:paraId="60E67AB0">
                  <w:pPr>
                    <w:adjustRightInd w:val="0"/>
                    <w:snapToGrid w:val="0"/>
                    <w:jc w:val="center"/>
                    <w:rPr>
                      <w:rFonts w:hint="default" w:ascii="Times New Roman" w:hAnsi="Times New Roman" w:eastAsia="宋体" w:cs="Times New Roman"/>
                      <w:caps w:val="0"/>
                      <w:color w:val="000000"/>
                    </w:rPr>
                  </w:pPr>
                  <w:r>
                    <w:rPr>
                      <w:rFonts w:hint="default" w:ascii="Times New Roman" w:hAnsi="Times New Roman" w:eastAsia="宋体" w:cs="Times New Roman"/>
                      <w:caps w:val="0"/>
                      <w:color w:val="000000"/>
                    </w:rPr>
                    <w:t>/</w:t>
                  </w:r>
                </w:p>
              </w:tc>
              <w:tc>
                <w:tcPr>
                  <w:tcW w:w="586" w:type="pct"/>
                  <w:noWrap w:val="0"/>
                  <w:vAlign w:val="center"/>
                </w:tcPr>
                <w:p w14:paraId="36C75D6B">
                  <w:pPr>
                    <w:adjustRightInd w:val="0"/>
                    <w:snapToGrid w:val="0"/>
                    <w:jc w:val="center"/>
                    <w:rPr>
                      <w:rFonts w:hint="default" w:ascii="Times New Roman" w:hAnsi="Times New Roman" w:eastAsia="宋体" w:cs="Times New Roman"/>
                      <w:caps w:val="0"/>
                      <w:color w:val="000000"/>
                      <w:lang w:val="en-US" w:eastAsia="zh-CN"/>
                    </w:rPr>
                  </w:pPr>
                  <w:r>
                    <w:rPr>
                      <w:rFonts w:hint="default" w:ascii="Times New Roman" w:hAnsi="Times New Roman" w:eastAsia="宋体" w:cs="Times New Roman"/>
                      <w:caps w:val="0"/>
                      <w:color w:val="000000"/>
                      <w:lang w:val="en-US" w:eastAsia="zh-CN"/>
                    </w:rPr>
                    <w:t>NW</w:t>
                  </w:r>
                </w:p>
              </w:tc>
              <w:tc>
                <w:tcPr>
                  <w:tcW w:w="723" w:type="pct"/>
                  <w:noWrap w:val="0"/>
                  <w:vAlign w:val="center"/>
                </w:tcPr>
                <w:p w14:paraId="2D78C63F">
                  <w:pPr>
                    <w:adjustRightInd w:val="0"/>
                    <w:snapToGrid w:val="0"/>
                    <w:jc w:val="center"/>
                    <w:rPr>
                      <w:rFonts w:hint="default" w:ascii="Times New Roman" w:hAnsi="Times New Roman" w:eastAsia="宋体" w:cs="Times New Roman"/>
                      <w:caps w:val="0"/>
                      <w:color w:val="000000"/>
                      <w:lang w:val="en-US" w:eastAsia="zh-CN"/>
                    </w:rPr>
                  </w:pPr>
                  <w:r>
                    <w:rPr>
                      <w:rFonts w:hint="default" w:ascii="Times New Roman" w:hAnsi="Times New Roman" w:eastAsia="宋体" w:cs="Times New Roman"/>
                      <w:caps w:val="0"/>
                      <w:color w:val="000000"/>
                      <w:lang w:val="en-US" w:eastAsia="zh-CN"/>
                    </w:rPr>
                    <w:t>4.7km</w:t>
                  </w:r>
                </w:p>
              </w:tc>
              <w:tc>
                <w:tcPr>
                  <w:tcW w:w="499" w:type="pct"/>
                  <w:noWrap w:val="0"/>
                  <w:vAlign w:val="center"/>
                </w:tcPr>
                <w:p w14:paraId="161E6A52">
                  <w:pPr>
                    <w:adjustRightInd w:val="0"/>
                    <w:snapToGrid w:val="0"/>
                    <w:jc w:val="center"/>
                    <w:rPr>
                      <w:rFonts w:hint="default" w:ascii="Times New Roman" w:hAnsi="Times New Roman" w:eastAsia="宋体" w:cs="Times New Roman"/>
                      <w:caps w:val="0"/>
                      <w:color w:val="000000"/>
                    </w:rPr>
                  </w:pPr>
                  <w:r>
                    <w:rPr>
                      <w:rFonts w:hint="default" w:ascii="Times New Roman" w:hAnsi="Times New Roman" w:eastAsia="宋体" w:cs="Times New Roman"/>
                      <w:caps w:val="0"/>
                      <w:color w:val="000000"/>
                    </w:rPr>
                    <w:t>大型</w:t>
                  </w:r>
                </w:p>
              </w:tc>
              <w:tc>
                <w:tcPr>
                  <w:tcW w:w="1283" w:type="pct"/>
                  <w:vMerge w:val="restart"/>
                  <w:noWrap w:val="0"/>
                  <w:vAlign w:val="center"/>
                </w:tcPr>
                <w:p w14:paraId="653739BD">
                  <w:pPr>
                    <w:pStyle w:val="98"/>
                    <w:rPr>
                      <w:rFonts w:hint="default" w:ascii="Times New Roman" w:hAnsi="Times New Roman" w:eastAsia="宋体" w:cs="Times New Roman"/>
                      <w:caps w:val="0"/>
                      <w:color w:val="000000"/>
                    </w:rPr>
                  </w:pPr>
                  <w:r>
                    <w:rPr>
                      <w:rFonts w:hint="default" w:ascii="Times New Roman" w:hAnsi="Times New Roman" w:eastAsia="宋体" w:cs="Times New Roman"/>
                      <w:caps w:val="0"/>
                      <w:color w:val="000000"/>
                      <w:sz w:val="21"/>
                      <w:szCs w:val="16"/>
                    </w:rPr>
                    <w:t>《地表水环境质量标准》（GB3838-2002）Ⅲ类水域功能区</w:t>
                  </w:r>
                </w:p>
              </w:tc>
            </w:tr>
            <w:tr w14:paraId="6DDBDC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4" w:type="pct"/>
                  <w:vMerge w:val="continue"/>
                  <w:noWrap w:val="0"/>
                  <w:vAlign w:val="center"/>
                </w:tcPr>
                <w:p w14:paraId="1102A132">
                  <w:pPr>
                    <w:adjustRightInd w:val="0"/>
                    <w:snapToGrid w:val="0"/>
                    <w:jc w:val="center"/>
                    <w:rPr>
                      <w:rFonts w:hint="default" w:ascii="Times New Roman" w:hAnsi="Times New Roman" w:eastAsia="宋体" w:cs="Times New Roman"/>
                      <w:caps w:val="0"/>
                      <w:color w:val="000000"/>
                    </w:rPr>
                  </w:pPr>
                </w:p>
              </w:tc>
              <w:tc>
                <w:tcPr>
                  <w:tcW w:w="634" w:type="pct"/>
                  <w:noWrap w:val="0"/>
                  <w:vAlign w:val="center"/>
                </w:tcPr>
                <w:p w14:paraId="36FAC330">
                  <w:pPr>
                    <w:adjustRightInd w:val="0"/>
                    <w:snapToGrid w:val="0"/>
                    <w:jc w:val="center"/>
                    <w:rPr>
                      <w:rFonts w:hint="default" w:ascii="Times New Roman" w:hAnsi="Times New Roman" w:eastAsia="宋体" w:cs="Times New Roman"/>
                      <w:caps w:val="0"/>
                      <w:color w:val="000000"/>
                      <w:lang w:val="en-US" w:eastAsia="zh-CN"/>
                    </w:rPr>
                  </w:pPr>
                  <w:r>
                    <w:rPr>
                      <w:rFonts w:hint="default" w:ascii="Times New Roman" w:hAnsi="Times New Roman" w:eastAsia="宋体" w:cs="Times New Roman"/>
                      <w:caps w:val="0"/>
                      <w:color w:val="000000"/>
                      <w:lang w:val="en-US" w:eastAsia="zh-CN"/>
                    </w:rPr>
                    <w:t>青弋江</w:t>
                  </w:r>
                </w:p>
              </w:tc>
              <w:tc>
                <w:tcPr>
                  <w:tcW w:w="382" w:type="pct"/>
                  <w:noWrap w:val="0"/>
                  <w:vAlign w:val="center"/>
                </w:tcPr>
                <w:p w14:paraId="0B6E1172">
                  <w:pPr>
                    <w:adjustRightInd w:val="0"/>
                    <w:snapToGrid w:val="0"/>
                    <w:jc w:val="center"/>
                    <w:rPr>
                      <w:rFonts w:hint="default" w:ascii="Times New Roman" w:hAnsi="Times New Roman" w:eastAsia="宋体" w:cs="Times New Roman"/>
                      <w:caps w:val="0"/>
                      <w:color w:val="000000"/>
                    </w:rPr>
                  </w:pPr>
                </w:p>
              </w:tc>
              <w:tc>
                <w:tcPr>
                  <w:tcW w:w="445" w:type="pct"/>
                  <w:noWrap w:val="0"/>
                  <w:vAlign w:val="center"/>
                </w:tcPr>
                <w:p w14:paraId="644E027E">
                  <w:pPr>
                    <w:adjustRightInd w:val="0"/>
                    <w:snapToGrid w:val="0"/>
                    <w:jc w:val="center"/>
                    <w:rPr>
                      <w:rFonts w:hint="default" w:ascii="Times New Roman" w:hAnsi="Times New Roman" w:eastAsia="宋体" w:cs="Times New Roman"/>
                      <w:caps w:val="0"/>
                      <w:color w:val="000000"/>
                    </w:rPr>
                  </w:pPr>
                </w:p>
              </w:tc>
              <w:tc>
                <w:tcPr>
                  <w:tcW w:w="586" w:type="pct"/>
                  <w:noWrap w:val="0"/>
                  <w:vAlign w:val="center"/>
                </w:tcPr>
                <w:p w14:paraId="6BCEA03D">
                  <w:pPr>
                    <w:adjustRightInd w:val="0"/>
                    <w:snapToGrid w:val="0"/>
                    <w:jc w:val="center"/>
                    <w:rPr>
                      <w:rFonts w:hint="default" w:ascii="Times New Roman" w:hAnsi="Times New Roman" w:eastAsia="宋体" w:cs="Times New Roman"/>
                      <w:caps w:val="0"/>
                      <w:color w:val="000000"/>
                      <w:lang w:val="en-US" w:eastAsia="zh-CN"/>
                    </w:rPr>
                  </w:pPr>
                  <w:r>
                    <w:rPr>
                      <w:rFonts w:hint="default" w:ascii="Times New Roman" w:hAnsi="Times New Roman" w:eastAsia="宋体" w:cs="Times New Roman"/>
                      <w:caps w:val="0"/>
                      <w:color w:val="000000"/>
                      <w:lang w:val="en-US" w:eastAsia="zh-CN"/>
                    </w:rPr>
                    <w:t>N</w:t>
                  </w:r>
                </w:p>
              </w:tc>
              <w:tc>
                <w:tcPr>
                  <w:tcW w:w="723" w:type="pct"/>
                  <w:noWrap w:val="0"/>
                  <w:vAlign w:val="center"/>
                </w:tcPr>
                <w:p w14:paraId="38B83446">
                  <w:pPr>
                    <w:adjustRightInd w:val="0"/>
                    <w:snapToGrid w:val="0"/>
                    <w:jc w:val="center"/>
                    <w:rPr>
                      <w:rFonts w:hint="default" w:ascii="Times New Roman" w:hAnsi="Times New Roman" w:eastAsia="宋体" w:cs="Times New Roman"/>
                      <w:caps w:val="0"/>
                      <w:color w:val="000000"/>
                      <w:lang w:val="en-US" w:eastAsia="zh-CN"/>
                    </w:rPr>
                  </w:pPr>
                  <w:r>
                    <w:rPr>
                      <w:rFonts w:hint="default" w:ascii="Times New Roman" w:hAnsi="Times New Roman" w:eastAsia="宋体" w:cs="Times New Roman"/>
                      <w:caps w:val="0"/>
                      <w:color w:val="000000"/>
                      <w:lang w:val="en-US" w:eastAsia="zh-CN"/>
                    </w:rPr>
                    <w:t>7km</w:t>
                  </w:r>
                </w:p>
              </w:tc>
              <w:tc>
                <w:tcPr>
                  <w:tcW w:w="499" w:type="pct"/>
                  <w:noWrap w:val="0"/>
                  <w:vAlign w:val="center"/>
                </w:tcPr>
                <w:p w14:paraId="2E9305BC">
                  <w:pPr>
                    <w:adjustRightInd w:val="0"/>
                    <w:snapToGrid w:val="0"/>
                    <w:jc w:val="center"/>
                    <w:rPr>
                      <w:rFonts w:hint="default" w:ascii="Times New Roman" w:hAnsi="Times New Roman" w:eastAsia="宋体" w:cs="Times New Roman"/>
                      <w:caps w:val="0"/>
                      <w:color w:val="000000"/>
                      <w:lang w:val="en-US" w:eastAsia="zh-CN"/>
                    </w:rPr>
                  </w:pPr>
                  <w:r>
                    <w:rPr>
                      <w:rFonts w:hint="default" w:ascii="Times New Roman" w:hAnsi="Times New Roman" w:eastAsia="宋体" w:cs="Times New Roman"/>
                      <w:caps w:val="0"/>
                      <w:color w:val="000000"/>
                      <w:lang w:val="en-US" w:eastAsia="zh-CN"/>
                    </w:rPr>
                    <w:t>中型</w:t>
                  </w:r>
                </w:p>
              </w:tc>
              <w:tc>
                <w:tcPr>
                  <w:tcW w:w="1283" w:type="pct"/>
                  <w:vMerge w:val="continue"/>
                  <w:noWrap w:val="0"/>
                  <w:vAlign w:val="center"/>
                </w:tcPr>
                <w:p w14:paraId="589DFFC0">
                  <w:pPr>
                    <w:pStyle w:val="98"/>
                    <w:rPr>
                      <w:rFonts w:hint="default" w:ascii="Times New Roman" w:hAnsi="Times New Roman" w:eastAsia="宋体" w:cs="Times New Roman"/>
                      <w:caps w:val="0"/>
                      <w:color w:val="000000"/>
                      <w:sz w:val="21"/>
                      <w:szCs w:val="16"/>
                    </w:rPr>
                  </w:pPr>
                </w:p>
              </w:tc>
            </w:tr>
            <w:tr w14:paraId="6A6887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4" w:type="pct"/>
                  <w:vMerge w:val="continue"/>
                  <w:noWrap w:val="0"/>
                  <w:vAlign w:val="center"/>
                </w:tcPr>
                <w:p w14:paraId="1EE43E36">
                  <w:pPr>
                    <w:adjustRightInd w:val="0"/>
                    <w:snapToGrid w:val="0"/>
                    <w:jc w:val="center"/>
                    <w:rPr>
                      <w:rFonts w:hint="default" w:ascii="Times New Roman" w:hAnsi="Times New Roman" w:eastAsia="宋体" w:cs="Times New Roman"/>
                      <w:caps w:val="0"/>
                      <w:color w:val="000000"/>
                    </w:rPr>
                  </w:pPr>
                </w:p>
              </w:tc>
              <w:tc>
                <w:tcPr>
                  <w:tcW w:w="634" w:type="pct"/>
                  <w:noWrap w:val="0"/>
                  <w:vAlign w:val="center"/>
                </w:tcPr>
                <w:p w14:paraId="00902977">
                  <w:pPr>
                    <w:adjustRightInd w:val="0"/>
                    <w:snapToGrid w:val="0"/>
                    <w:jc w:val="center"/>
                    <w:rPr>
                      <w:rFonts w:hint="default" w:ascii="Times New Roman" w:hAnsi="Times New Roman" w:eastAsia="宋体" w:cs="Times New Roman"/>
                      <w:caps w:val="0"/>
                      <w:color w:val="000000"/>
                      <w:lang w:val="en-US" w:eastAsia="zh-CN"/>
                    </w:rPr>
                  </w:pPr>
                  <w:r>
                    <w:rPr>
                      <w:rFonts w:hint="default" w:ascii="Times New Roman" w:hAnsi="Times New Roman" w:eastAsia="宋体" w:cs="Times New Roman"/>
                      <w:caps w:val="0"/>
                      <w:color w:val="000000"/>
                      <w:lang w:val="en-US" w:eastAsia="zh-CN"/>
                    </w:rPr>
                    <w:t>漳河</w:t>
                  </w:r>
                </w:p>
              </w:tc>
              <w:tc>
                <w:tcPr>
                  <w:tcW w:w="382" w:type="pct"/>
                  <w:noWrap w:val="0"/>
                  <w:vAlign w:val="center"/>
                </w:tcPr>
                <w:p w14:paraId="2C0C6B8E">
                  <w:pPr>
                    <w:adjustRightInd w:val="0"/>
                    <w:snapToGrid w:val="0"/>
                    <w:jc w:val="center"/>
                    <w:rPr>
                      <w:rFonts w:hint="default" w:ascii="Times New Roman" w:hAnsi="Times New Roman" w:eastAsia="宋体" w:cs="Times New Roman"/>
                      <w:caps w:val="0"/>
                      <w:color w:val="000000"/>
                    </w:rPr>
                  </w:pPr>
                  <w:r>
                    <w:rPr>
                      <w:rFonts w:hint="default" w:ascii="Times New Roman" w:hAnsi="Times New Roman" w:eastAsia="宋体" w:cs="Times New Roman"/>
                      <w:caps w:val="0"/>
                      <w:color w:val="000000"/>
                    </w:rPr>
                    <w:t>/</w:t>
                  </w:r>
                </w:p>
              </w:tc>
              <w:tc>
                <w:tcPr>
                  <w:tcW w:w="445" w:type="pct"/>
                  <w:noWrap w:val="0"/>
                  <w:vAlign w:val="center"/>
                </w:tcPr>
                <w:p w14:paraId="4F85C7F0">
                  <w:pPr>
                    <w:adjustRightInd w:val="0"/>
                    <w:snapToGrid w:val="0"/>
                    <w:jc w:val="center"/>
                    <w:rPr>
                      <w:rFonts w:hint="default" w:ascii="Times New Roman" w:hAnsi="Times New Roman" w:eastAsia="宋体" w:cs="Times New Roman"/>
                      <w:caps w:val="0"/>
                      <w:color w:val="000000"/>
                    </w:rPr>
                  </w:pPr>
                  <w:r>
                    <w:rPr>
                      <w:rFonts w:hint="default" w:ascii="Times New Roman" w:hAnsi="Times New Roman" w:eastAsia="宋体" w:cs="Times New Roman"/>
                      <w:caps w:val="0"/>
                      <w:color w:val="000000"/>
                    </w:rPr>
                    <w:t>/</w:t>
                  </w:r>
                </w:p>
              </w:tc>
              <w:tc>
                <w:tcPr>
                  <w:tcW w:w="586" w:type="pct"/>
                  <w:noWrap w:val="0"/>
                  <w:vAlign w:val="center"/>
                </w:tcPr>
                <w:p w14:paraId="48269E53">
                  <w:pPr>
                    <w:adjustRightInd w:val="0"/>
                    <w:snapToGrid w:val="0"/>
                    <w:jc w:val="center"/>
                    <w:rPr>
                      <w:rFonts w:hint="default" w:ascii="Times New Roman" w:hAnsi="Times New Roman" w:eastAsia="宋体" w:cs="Times New Roman"/>
                      <w:caps w:val="0"/>
                      <w:color w:val="000000"/>
                      <w:lang w:val="en-US" w:eastAsia="zh-CN"/>
                    </w:rPr>
                  </w:pPr>
                  <w:r>
                    <w:rPr>
                      <w:rFonts w:hint="default" w:ascii="Times New Roman" w:hAnsi="Times New Roman" w:eastAsia="宋体" w:cs="Times New Roman"/>
                      <w:caps w:val="0"/>
                      <w:color w:val="000000"/>
                      <w:lang w:val="en-US" w:eastAsia="zh-CN"/>
                    </w:rPr>
                    <w:t>W</w:t>
                  </w:r>
                </w:p>
              </w:tc>
              <w:tc>
                <w:tcPr>
                  <w:tcW w:w="723" w:type="pct"/>
                  <w:noWrap w:val="0"/>
                  <w:vAlign w:val="center"/>
                </w:tcPr>
                <w:p w14:paraId="5C4A685E">
                  <w:pPr>
                    <w:adjustRightInd w:val="0"/>
                    <w:snapToGrid w:val="0"/>
                    <w:jc w:val="center"/>
                    <w:rPr>
                      <w:rFonts w:hint="default" w:ascii="Times New Roman" w:hAnsi="Times New Roman" w:eastAsia="宋体" w:cs="Times New Roman"/>
                      <w:caps w:val="0"/>
                      <w:color w:val="000000"/>
                      <w:lang w:val="en-US" w:eastAsia="zh-CN"/>
                    </w:rPr>
                  </w:pPr>
                  <w:r>
                    <w:rPr>
                      <w:rFonts w:hint="default" w:ascii="Times New Roman" w:hAnsi="Times New Roman" w:eastAsia="宋体" w:cs="Times New Roman"/>
                      <w:caps w:val="0"/>
                      <w:color w:val="000000"/>
                      <w:lang w:val="en-US" w:eastAsia="zh-CN"/>
                    </w:rPr>
                    <w:t>0.8km</w:t>
                  </w:r>
                </w:p>
              </w:tc>
              <w:tc>
                <w:tcPr>
                  <w:tcW w:w="499" w:type="pct"/>
                  <w:noWrap w:val="0"/>
                  <w:vAlign w:val="center"/>
                </w:tcPr>
                <w:p w14:paraId="3F76F2AA">
                  <w:pPr>
                    <w:adjustRightInd w:val="0"/>
                    <w:snapToGrid w:val="0"/>
                    <w:jc w:val="center"/>
                    <w:rPr>
                      <w:rFonts w:hint="default" w:ascii="Times New Roman" w:hAnsi="Times New Roman" w:eastAsia="宋体" w:cs="Times New Roman"/>
                      <w:caps w:val="0"/>
                      <w:color w:val="000000"/>
                      <w:lang w:val="en-US" w:eastAsia="zh-CN"/>
                    </w:rPr>
                  </w:pPr>
                  <w:r>
                    <w:rPr>
                      <w:rFonts w:hint="default" w:ascii="Times New Roman" w:hAnsi="Times New Roman" w:eastAsia="宋体" w:cs="Times New Roman"/>
                      <w:caps w:val="0"/>
                      <w:color w:val="000000"/>
                      <w:lang w:val="en-US" w:eastAsia="zh-CN"/>
                    </w:rPr>
                    <w:t>中型</w:t>
                  </w:r>
                </w:p>
              </w:tc>
              <w:tc>
                <w:tcPr>
                  <w:tcW w:w="1283" w:type="pct"/>
                  <w:noWrap w:val="0"/>
                  <w:vAlign w:val="center"/>
                </w:tcPr>
                <w:p w14:paraId="2BB88C2B">
                  <w:pPr>
                    <w:pStyle w:val="98"/>
                    <w:rPr>
                      <w:rFonts w:hint="default" w:ascii="Times New Roman" w:hAnsi="Times New Roman" w:eastAsia="宋体" w:cs="Times New Roman"/>
                      <w:caps w:val="0"/>
                      <w:color w:val="000000"/>
                      <w:sz w:val="21"/>
                      <w:szCs w:val="16"/>
                    </w:rPr>
                  </w:pPr>
                  <w:r>
                    <w:rPr>
                      <w:rFonts w:hint="default" w:ascii="Times New Roman" w:hAnsi="Times New Roman" w:eastAsia="宋体" w:cs="Times New Roman"/>
                      <w:caps w:val="0"/>
                      <w:color w:val="000000"/>
                      <w:sz w:val="21"/>
                      <w:szCs w:val="16"/>
                      <w:lang w:eastAsia="zh-CN"/>
                    </w:rPr>
                    <w:t>《</w:t>
                  </w:r>
                  <w:r>
                    <w:rPr>
                      <w:rFonts w:hint="default" w:ascii="Times New Roman" w:hAnsi="Times New Roman" w:eastAsia="宋体" w:cs="Times New Roman"/>
                      <w:caps w:val="0"/>
                      <w:color w:val="000000"/>
                      <w:sz w:val="21"/>
                      <w:szCs w:val="16"/>
                    </w:rPr>
                    <w:t>地表水环境质量标准》（GB3838-2002）Ⅱ类水域功能区</w:t>
                  </w:r>
                </w:p>
              </w:tc>
            </w:tr>
          </w:tbl>
          <w:p w14:paraId="74CAD0E7">
            <w:pPr>
              <w:pStyle w:val="8"/>
              <w:spacing w:after="0" w:line="360" w:lineRule="auto"/>
              <w:ind w:left="0" w:leftChars="0" w:firstLine="480" w:firstLineChars="200"/>
              <w:jc w:val="left"/>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3</w:t>
            </w:r>
            <w:r>
              <w:rPr>
                <w:rFonts w:hint="default" w:ascii="Times New Roman" w:hAnsi="Times New Roman" w:eastAsia="宋体" w:cs="Times New Roman"/>
                <w:caps w:val="0"/>
                <w:color w:val="000000" w:themeColor="text1"/>
                <w:highlight w:val="none"/>
                <w14:textFill>
                  <w14:solidFill>
                    <w14:schemeClr w14:val="tx1"/>
                  </w14:solidFill>
                </w14:textFill>
              </w:rPr>
              <w:t>、声环境</w:t>
            </w:r>
          </w:p>
          <w:p w14:paraId="015DC6EA">
            <w:pPr>
              <w:pStyle w:val="8"/>
              <w:spacing w:after="0" w:line="360" w:lineRule="auto"/>
              <w:ind w:left="0" w:leftChars="0" w:firstLine="480" w:firstLineChars="200"/>
              <w:jc w:val="left"/>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项目厂界外50米范围内无声环境保护目标。</w:t>
            </w:r>
          </w:p>
          <w:p w14:paraId="67F8CDD6">
            <w:pPr>
              <w:pStyle w:val="8"/>
              <w:spacing w:after="0" w:line="360" w:lineRule="auto"/>
              <w:ind w:left="0" w:leftChars="0" w:firstLine="480" w:firstLineChars="200"/>
              <w:jc w:val="left"/>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4</w:t>
            </w:r>
            <w:r>
              <w:rPr>
                <w:rFonts w:hint="default" w:ascii="Times New Roman" w:hAnsi="Times New Roman" w:eastAsia="宋体" w:cs="Times New Roman"/>
                <w:caps w:val="0"/>
                <w:color w:val="000000" w:themeColor="text1"/>
                <w:highlight w:val="none"/>
                <w14:textFill>
                  <w14:solidFill>
                    <w14:schemeClr w14:val="tx1"/>
                  </w14:solidFill>
                </w14:textFill>
              </w:rPr>
              <w:t>、地下水环境</w:t>
            </w:r>
          </w:p>
          <w:p w14:paraId="398D87F2">
            <w:pPr>
              <w:pStyle w:val="8"/>
              <w:spacing w:after="0" w:line="360" w:lineRule="auto"/>
              <w:ind w:left="0" w:leftChars="0" w:firstLine="480" w:firstLineChars="200"/>
              <w:jc w:val="left"/>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项目厂界外500米范围内无地下水集中式饮用水水源和热水、矿泉水、温泉等特殊地下水资源，无地下水环境保护目标。</w:t>
            </w:r>
          </w:p>
          <w:p w14:paraId="476134C9">
            <w:pPr>
              <w:pStyle w:val="8"/>
              <w:spacing w:after="0" w:line="360" w:lineRule="auto"/>
              <w:ind w:left="0" w:leftChars="0" w:firstLine="480" w:firstLineChars="200"/>
              <w:jc w:val="left"/>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5</w:t>
            </w:r>
            <w:r>
              <w:rPr>
                <w:rFonts w:hint="default" w:ascii="Times New Roman" w:hAnsi="Times New Roman" w:eastAsia="宋体" w:cs="Times New Roman"/>
                <w:caps w:val="0"/>
                <w:color w:val="000000" w:themeColor="text1"/>
                <w:highlight w:val="none"/>
                <w14:textFill>
                  <w14:solidFill>
                    <w14:schemeClr w14:val="tx1"/>
                  </w14:solidFill>
                </w14:textFill>
              </w:rPr>
              <w:t>、生态环境</w:t>
            </w:r>
          </w:p>
          <w:p w14:paraId="6FF35C4B">
            <w:pPr>
              <w:spacing w:line="360" w:lineRule="auto"/>
              <w:ind w:firstLine="472"/>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本项目</w:t>
            </w:r>
            <w:r>
              <w:rPr>
                <w:rFonts w:hint="default" w:ascii="Times New Roman" w:hAnsi="Times New Roman" w:eastAsia="宋体" w:cs="Times New Roman"/>
                <w:caps w:val="0"/>
                <w:snapToGrid w:val="0"/>
                <w:color w:val="000000" w:themeColor="text1"/>
                <w:sz w:val="24"/>
                <w:highlight w:val="none"/>
                <w14:textFill>
                  <w14:solidFill>
                    <w14:schemeClr w14:val="tx1"/>
                  </w14:solidFill>
                </w14:textFill>
              </w:rPr>
              <w:t>位于</w:t>
            </w:r>
            <w:r>
              <w:rPr>
                <w:rFonts w:hint="default" w:ascii="Times New Roman" w:hAnsi="Times New Roman" w:eastAsia="宋体" w:cs="Times New Roman"/>
                <w:caps w:val="0"/>
                <w:color w:val="000000" w:themeColor="text1"/>
                <w:sz w:val="24"/>
                <w:highlight w:val="none"/>
                <w14:textFill>
                  <w14:solidFill>
                    <w14:schemeClr w14:val="tx1"/>
                  </w14:solidFill>
                </w14:textFill>
              </w:rPr>
              <w:t>芜湖市弋江区高新技术开发区漳河路28号，属于开发区内建设用地，用地范围内不涉及生态环境保护目标。</w:t>
            </w:r>
          </w:p>
        </w:tc>
      </w:tr>
      <w:tr w14:paraId="38E1D1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72" w:type="dxa"/>
            <w:tcMar>
              <w:left w:w="28" w:type="dxa"/>
              <w:right w:w="28" w:type="dxa"/>
            </w:tcMar>
            <w:vAlign w:val="center"/>
          </w:tcPr>
          <w:p w14:paraId="08E5686F">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污染</w:t>
            </w:r>
          </w:p>
          <w:p w14:paraId="2035BAF5">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物排</w:t>
            </w:r>
          </w:p>
          <w:p w14:paraId="7BEE565F">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放控</w:t>
            </w:r>
          </w:p>
          <w:p w14:paraId="0FF28E8C">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制标</w:t>
            </w:r>
          </w:p>
          <w:p w14:paraId="411BB2FD">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准</w:t>
            </w:r>
          </w:p>
        </w:tc>
        <w:tc>
          <w:tcPr>
            <w:tcW w:w="8053" w:type="dxa"/>
            <w:vAlign w:val="center"/>
          </w:tcPr>
          <w:p w14:paraId="6D3F1C4D">
            <w:pPr>
              <w:spacing w:before="120" w:beforeLines="50" w:line="360" w:lineRule="auto"/>
              <w:ind w:firstLine="482" w:firstLineChars="200"/>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1.废气</w:t>
            </w:r>
          </w:p>
          <w:p w14:paraId="49DBAED7">
            <w:pPr>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sz w:val="24"/>
                <w:szCs w:val="24"/>
              </w:rPr>
              <w:t>项目施工期扬尘排放执行安徽省《施工场地颗粒物排放标准》（DB34/4811-2024）表1中相关标准，具体见表</w:t>
            </w:r>
            <w:r>
              <w:rPr>
                <w:rFonts w:hint="default" w:ascii="Times New Roman" w:hAnsi="Times New Roman" w:eastAsia="宋体" w:cs="Times New Roman"/>
                <w:sz w:val="24"/>
                <w:szCs w:val="24"/>
                <w:lang w:val="en-US" w:eastAsia="zh-CN"/>
              </w:rPr>
              <w:t>3-4。</w:t>
            </w:r>
          </w:p>
          <w:p w14:paraId="643FAC7F">
            <w:pPr>
              <w:autoSpaceDE w:val="0"/>
              <w:autoSpaceDN w:val="0"/>
              <w:adjustRightInd w:val="0"/>
              <w:spacing w:line="360" w:lineRule="auto"/>
              <w:ind w:firstLine="480" w:firstLineChars="200"/>
              <w:jc w:val="left"/>
              <w:rPr>
                <w:rFonts w:ascii="Times New Roman" w:hAnsi="Times New Roman"/>
                <w:kern w:val="0"/>
                <w:sz w:val="24"/>
              </w:rPr>
            </w:pPr>
            <w:r>
              <w:rPr>
                <w:rFonts w:ascii="Times New Roman" w:hAnsi="Times New Roman"/>
                <w:kern w:val="0"/>
                <w:sz w:val="24"/>
              </w:rPr>
              <w:t>本项目运营期间废气中的</w:t>
            </w:r>
            <w:bookmarkStart w:id="7" w:name="OLE_LINK9"/>
            <w:r>
              <w:rPr>
                <w:rFonts w:ascii="Times New Roman" w:hAnsi="Times New Roman"/>
                <w:sz w:val="24"/>
              </w:rPr>
              <w:t>非甲烷总烃</w:t>
            </w:r>
            <w:r>
              <w:rPr>
                <w:rFonts w:ascii="Times New Roman" w:hAnsi="Times New Roman"/>
                <w:spacing w:val="7"/>
                <w:sz w:val="24"/>
              </w:rPr>
              <w:t>排放执行</w:t>
            </w:r>
            <w:r>
              <w:rPr>
                <w:rFonts w:ascii="Times New Roman" w:hAnsi="Times New Roman"/>
                <w:kern w:val="0"/>
                <w:sz w:val="24"/>
              </w:rPr>
              <w:t>安徽省《固定源挥发性有机物综合排放标准第6部分：其他行业》（DB34/4812.6-2024）表1塑料制品工业标准限值</w:t>
            </w:r>
            <w:r>
              <w:rPr>
                <w:rFonts w:ascii="Times New Roman" w:hAnsi="Times New Roman"/>
                <w:sz w:val="24"/>
              </w:rPr>
              <w:t>及表4厂区内</w:t>
            </w:r>
            <w:r>
              <w:rPr>
                <w:rFonts w:ascii="Times New Roman" w:hAnsi="Times New Roman"/>
                <w:sz w:val="24"/>
                <w:szCs w:val="20"/>
              </w:rPr>
              <w:t>无组织排放限</w:t>
            </w:r>
            <w:r>
              <w:rPr>
                <w:rFonts w:ascii="Times New Roman" w:hAnsi="Times New Roman"/>
                <w:kern w:val="0"/>
                <w:sz w:val="24"/>
              </w:rPr>
              <w:t>值，</w:t>
            </w:r>
            <w:r>
              <w:rPr>
                <w:rFonts w:ascii="Times New Roman" w:hAnsi="Times New Roman"/>
                <w:sz w:val="24"/>
              </w:rPr>
              <w:t>厂界非甲烷总烃无组织排放执行《合成树脂工业污染物排放标准》（GB31572-2015）</w:t>
            </w:r>
            <w:r>
              <w:rPr>
                <w:rFonts w:hint="eastAsia" w:ascii="Times New Roman" w:hAnsi="Times New Roman"/>
                <w:sz w:val="24"/>
                <w:lang w:eastAsia="zh-CN"/>
              </w:rPr>
              <w:t>（</w:t>
            </w:r>
            <w:r>
              <w:rPr>
                <w:rFonts w:ascii="Times New Roman" w:hAnsi="Times New Roman"/>
                <w:sz w:val="24"/>
              </w:rPr>
              <w:t>含2024年修改单</w:t>
            </w:r>
            <w:r>
              <w:rPr>
                <w:rFonts w:hint="eastAsia" w:ascii="Times New Roman" w:hAnsi="Times New Roman"/>
                <w:sz w:val="24"/>
                <w:lang w:eastAsia="zh-CN"/>
              </w:rPr>
              <w:t>）</w:t>
            </w:r>
            <w:r>
              <w:rPr>
                <w:rFonts w:ascii="Times New Roman" w:hAnsi="Times New Roman"/>
                <w:sz w:val="24"/>
              </w:rPr>
              <w:t>中表9企业边界大气污染物浓度限值</w:t>
            </w:r>
            <w:bookmarkEnd w:id="7"/>
            <w:r>
              <w:rPr>
                <w:rFonts w:ascii="Times New Roman" w:hAnsi="Times New Roman"/>
                <w:sz w:val="24"/>
              </w:rPr>
              <w:t>。</w:t>
            </w:r>
            <w:r>
              <w:rPr>
                <w:rFonts w:ascii="Times New Roman" w:hAnsi="Times New Roman"/>
                <w:kern w:val="0"/>
                <w:sz w:val="24"/>
              </w:rPr>
              <w:t xml:space="preserve"> </w:t>
            </w:r>
          </w:p>
          <w:p w14:paraId="2F204C14">
            <w:pPr>
              <w:adjustRightInd w:val="0"/>
              <w:snapToGrid w:val="0"/>
              <w:spacing w:line="360" w:lineRule="auto"/>
              <w:ind w:firstLine="480" w:firstLineChars="200"/>
              <w:rPr>
                <w:rFonts w:ascii="Times New Roman" w:hAnsi="Times New Roman"/>
                <w:kern w:val="0"/>
                <w:sz w:val="24"/>
                <w:lang w:bidi="ar"/>
              </w:rPr>
            </w:pPr>
            <w:r>
              <w:rPr>
                <w:rFonts w:ascii="Times New Roman" w:hAnsi="Times New Roman"/>
                <w:sz w:val="24"/>
              </w:rPr>
              <w:t>颗粒物无组织排放执行《合成树脂工业污染物排放标准》（GB31572-2015）</w:t>
            </w:r>
            <w:r>
              <w:rPr>
                <w:rFonts w:hint="eastAsia" w:ascii="Times New Roman" w:hAnsi="Times New Roman"/>
                <w:sz w:val="24"/>
                <w:lang w:eastAsia="zh-CN"/>
              </w:rPr>
              <w:t>（</w:t>
            </w:r>
            <w:r>
              <w:rPr>
                <w:rFonts w:ascii="Times New Roman" w:hAnsi="Times New Roman"/>
                <w:sz w:val="24"/>
              </w:rPr>
              <w:t>含2024年修改单）表9企业边界大气污染物浓度限值，氨有组织排放执行《合成树脂工业污染物排放标准》（GB31572-2015）</w:t>
            </w:r>
            <w:r>
              <w:rPr>
                <w:rFonts w:hint="eastAsia" w:ascii="Times New Roman" w:hAnsi="Times New Roman"/>
                <w:sz w:val="24"/>
                <w:lang w:eastAsia="zh-CN"/>
              </w:rPr>
              <w:t>（</w:t>
            </w:r>
            <w:r>
              <w:rPr>
                <w:rFonts w:ascii="Times New Roman" w:hAnsi="Times New Roman"/>
                <w:sz w:val="24"/>
              </w:rPr>
              <w:t>含2024年修改单）表5大气污染物特别排放限值，氨无组织排放执行</w:t>
            </w:r>
            <w:r>
              <w:rPr>
                <w:rFonts w:ascii="Times New Roman" w:hAnsi="Times New Roman"/>
                <w:kern w:val="0"/>
                <w:sz w:val="24"/>
                <w:lang w:bidi="ar"/>
              </w:rPr>
              <w:t>《恶臭污染物排放标准》（GB14554-93）表1中标准限值要求；臭气浓度</w:t>
            </w:r>
            <w:r>
              <w:rPr>
                <w:rFonts w:ascii="Times New Roman" w:hAnsi="Times New Roman"/>
                <w:sz w:val="24"/>
              </w:rPr>
              <w:t>排放</w:t>
            </w:r>
            <w:r>
              <w:rPr>
                <w:rFonts w:ascii="Times New Roman" w:hAnsi="Times New Roman"/>
                <w:kern w:val="0"/>
                <w:sz w:val="24"/>
                <w:lang w:bidi="ar"/>
              </w:rPr>
              <w:t>执行《恶臭污染物排放标准》（GB14554-93）表1和表2中标准限值要求。具体标准见下表。</w:t>
            </w:r>
          </w:p>
          <w:p w14:paraId="09AD16E2">
            <w:pPr>
              <w:pStyle w:val="56"/>
              <w:spacing w:beforeLines="0" w:afterLines="0" w:line="240" w:lineRule="auto"/>
              <w:ind w:left="643" w:hanging="643" w:hangingChars="267"/>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表3-</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 xml:space="preserve">4 </w:t>
            </w:r>
            <w:r>
              <w:rPr>
                <w:rFonts w:hint="default" w:ascii="Times New Roman" w:hAnsi="Times New Roman" w:eastAsia="宋体" w:cs="Times New Roman"/>
                <w:caps w:val="0"/>
                <w:color w:val="000000" w:themeColor="text1"/>
                <w:highlight w:val="none"/>
                <w14:textFill>
                  <w14:solidFill>
                    <w14:schemeClr w14:val="tx1"/>
                  </w14:solidFill>
                </w14:textFill>
              </w:rPr>
              <w:t xml:space="preserve"> </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施工期扬尘排放限值</w:t>
            </w:r>
          </w:p>
          <w:tbl>
            <w:tblPr>
              <w:tblStyle w:val="21"/>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44"/>
              <w:gridCol w:w="2037"/>
              <w:gridCol w:w="2038"/>
              <w:gridCol w:w="2609"/>
            </w:tblGrid>
            <w:tr w14:paraId="15DB34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57" w:hRule="exact"/>
                <w:jc w:val="center"/>
              </w:trPr>
              <w:tc>
                <w:tcPr>
                  <w:tcW w:w="730" w:type="pct"/>
                  <w:tcBorders>
                    <w:tl2br w:val="nil"/>
                    <w:tr2bl w:val="nil"/>
                  </w:tcBorders>
                  <w:vAlign w:val="center"/>
                </w:tcPr>
                <w:p w14:paraId="76AC7C1F">
                  <w:pPr>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污染物</w:t>
                  </w:r>
                </w:p>
              </w:tc>
              <w:tc>
                <w:tcPr>
                  <w:tcW w:w="1301" w:type="pct"/>
                  <w:tcBorders>
                    <w:tl2br w:val="nil"/>
                    <w:tr2bl w:val="nil"/>
                  </w:tcBorders>
                  <w:vAlign w:val="center"/>
                </w:tcPr>
                <w:p w14:paraId="365FE26F">
                  <w:pPr>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浓度</w:t>
                  </w: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限值</w:t>
                  </w:r>
                  <w: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（µg/m</w:t>
                  </w:r>
                  <w:r>
                    <w:rPr>
                      <w:rFonts w:hint="default" w:ascii="Times New Roman" w:hAnsi="Times New Roman" w:eastAsia="宋体" w:cs="Times New Roman"/>
                      <w:b/>
                      <w:bCs/>
                      <w:caps w:val="0"/>
                      <w:color w:val="000000" w:themeColor="text1"/>
                      <w:sz w:val="21"/>
                      <w:szCs w:val="21"/>
                      <w:highlight w:val="none"/>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w:t>
                  </w:r>
                </w:p>
              </w:tc>
              <w:tc>
                <w:tcPr>
                  <w:tcW w:w="1301" w:type="pct"/>
                  <w:tcBorders>
                    <w:tl2br w:val="nil"/>
                    <w:tr2bl w:val="nil"/>
                  </w:tcBorders>
                  <w:vAlign w:val="center"/>
                </w:tcPr>
                <w:p w14:paraId="18742A38">
                  <w:pPr>
                    <w:jc w:val="cente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aps w:val="0"/>
                      <w:color w:val="000000" w:themeColor="text1"/>
                      <w:sz w:val="21"/>
                      <w:szCs w:val="21"/>
                      <w:highlight w:val="none"/>
                      <w:lang w:val="en-US" w:eastAsia="zh-CN"/>
                      <w14:textFill>
                        <w14:solidFill>
                          <w14:schemeClr w14:val="tx1"/>
                        </w14:solidFill>
                      </w14:textFill>
                    </w:rPr>
                    <w:t>达标判定依据</w:t>
                  </w:r>
                </w:p>
              </w:tc>
              <w:tc>
                <w:tcPr>
                  <w:tcW w:w="1666" w:type="pct"/>
                  <w:tcBorders>
                    <w:tl2br w:val="nil"/>
                    <w:tr2bl w:val="nil"/>
                  </w:tcBorders>
                  <w:vAlign w:val="center"/>
                </w:tcPr>
                <w:p w14:paraId="303A7C14">
                  <w:pPr>
                    <w:jc w:val="cente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lang w:val="en-US" w:eastAsia="zh-CN"/>
                      <w14:textFill>
                        <w14:solidFill>
                          <w14:schemeClr w14:val="tx1"/>
                        </w14:solidFill>
                      </w14:textFill>
                    </w:rPr>
                    <w:t>执行标准</w:t>
                  </w:r>
                </w:p>
              </w:tc>
            </w:tr>
            <w:tr w14:paraId="6D56BB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41" w:hRule="atLeast"/>
                <w:jc w:val="center"/>
              </w:trPr>
              <w:tc>
                <w:tcPr>
                  <w:tcW w:w="730" w:type="pct"/>
                  <w:vMerge w:val="restart"/>
                  <w:tcBorders>
                    <w:tl2br w:val="nil"/>
                    <w:tr2bl w:val="nil"/>
                  </w:tcBorders>
                  <w:vAlign w:val="center"/>
                </w:tcPr>
                <w:p w14:paraId="3564473D">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TSP</w:t>
                  </w:r>
                </w:p>
              </w:tc>
              <w:tc>
                <w:tcPr>
                  <w:tcW w:w="1301" w:type="pct"/>
                  <w:tcBorders>
                    <w:tl2br w:val="nil"/>
                    <w:tr2bl w:val="nil"/>
                  </w:tcBorders>
                  <w:vAlign w:val="center"/>
                </w:tcPr>
                <w:p w14:paraId="62530B19">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1000</w:t>
                  </w:r>
                </w:p>
              </w:tc>
              <w:tc>
                <w:tcPr>
                  <w:tcW w:w="1301" w:type="pct"/>
                  <w:tcBorders>
                    <w:tl2br w:val="nil"/>
                    <w:tr2bl w:val="nil"/>
                  </w:tcBorders>
                  <w:vAlign w:val="center"/>
                </w:tcPr>
                <w:p w14:paraId="000CE455">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超标次数≤1次/日</w:t>
                  </w:r>
                </w:p>
              </w:tc>
              <w:tc>
                <w:tcPr>
                  <w:tcW w:w="1666" w:type="pct"/>
                  <w:vMerge w:val="restart"/>
                  <w:tcBorders>
                    <w:tl2br w:val="nil"/>
                    <w:tr2bl w:val="nil"/>
                  </w:tcBorders>
                  <w:vAlign w:val="center"/>
                </w:tcPr>
                <w:p w14:paraId="39E55E42">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eastAsia="zh-CN"/>
                      <w14:textFill>
                        <w14:solidFill>
                          <w14:schemeClr w14:val="tx1"/>
                        </w14:solidFill>
                      </w14:textFill>
                    </w:rPr>
                    <w:t>安徽省《施工场地颗粒物排放标准》（DB34/4811-2024）</w:t>
                  </w:r>
                </w:p>
              </w:tc>
            </w:tr>
            <w:tr w14:paraId="487633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71" w:hRule="atLeast"/>
                <w:jc w:val="center"/>
              </w:trPr>
              <w:tc>
                <w:tcPr>
                  <w:tcW w:w="730" w:type="pct"/>
                  <w:vMerge w:val="continue"/>
                  <w:tcBorders>
                    <w:tl2br w:val="nil"/>
                    <w:tr2bl w:val="nil"/>
                  </w:tcBorders>
                  <w:vAlign w:val="center"/>
                </w:tcPr>
                <w:p w14:paraId="50C10C59">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p>
              </w:tc>
              <w:tc>
                <w:tcPr>
                  <w:tcW w:w="1301" w:type="pct"/>
                  <w:tcBorders>
                    <w:tl2br w:val="nil"/>
                    <w:tr2bl w:val="nil"/>
                  </w:tcBorders>
                  <w:vAlign w:val="center"/>
                </w:tcPr>
                <w:p w14:paraId="755AADCE">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500</w:t>
                  </w:r>
                </w:p>
              </w:tc>
              <w:tc>
                <w:tcPr>
                  <w:tcW w:w="1301" w:type="pct"/>
                  <w:tcBorders>
                    <w:tl2br w:val="nil"/>
                    <w:tr2bl w:val="nil"/>
                  </w:tcBorders>
                  <w:vAlign w:val="center"/>
                </w:tcPr>
                <w:p w14:paraId="6895331D">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超标次数≤6次/日</w:t>
                  </w:r>
                </w:p>
              </w:tc>
              <w:tc>
                <w:tcPr>
                  <w:tcW w:w="1666" w:type="pct"/>
                  <w:vMerge w:val="continue"/>
                  <w:tcBorders>
                    <w:tl2br w:val="nil"/>
                    <w:tr2bl w:val="nil"/>
                  </w:tcBorders>
                  <w:vAlign w:val="center"/>
                </w:tcPr>
                <w:p w14:paraId="457CBEAA">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r>
          </w:tbl>
          <w:p w14:paraId="5FE7DA6E">
            <w:pPr>
              <w:jc w:val="center"/>
              <w:rPr>
                <w:rFonts w:ascii="Times New Roman" w:hAnsi="Times New Roman"/>
                <w:b/>
                <w:kern w:val="0"/>
                <w:sz w:val="24"/>
              </w:rPr>
            </w:pPr>
            <w:r>
              <w:rPr>
                <w:rFonts w:ascii="Times New Roman" w:hAnsi="Times New Roman"/>
                <w:b/>
                <w:kern w:val="0"/>
                <w:sz w:val="24"/>
              </w:rPr>
              <w:t>表3-</w:t>
            </w:r>
            <w:r>
              <w:rPr>
                <w:rFonts w:hint="eastAsia" w:ascii="Times New Roman" w:hAnsi="Times New Roman"/>
                <w:b/>
                <w:kern w:val="0"/>
                <w:sz w:val="24"/>
                <w:lang w:val="en-US" w:eastAsia="zh-CN"/>
              </w:rPr>
              <w:t>5</w:t>
            </w:r>
            <w:r>
              <w:rPr>
                <w:rFonts w:ascii="Times New Roman" w:hAnsi="Times New Roman"/>
                <w:b/>
                <w:kern w:val="0"/>
                <w:sz w:val="24"/>
              </w:rPr>
              <w:t xml:space="preserve"> 本项目有组织</w:t>
            </w:r>
            <w:r>
              <w:rPr>
                <w:rFonts w:ascii="Times New Roman" w:hAnsi="Times New Roman"/>
                <w:b/>
                <w:sz w:val="24"/>
              </w:rPr>
              <w:t>废气排放</w:t>
            </w:r>
            <w:r>
              <w:rPr>
                <w:rFonts w:ascii="Times New Roman" w:hAnsi="Times New Roman"/>
                <w:b/>
                <w:kern w:val="0"/>
                <w:sz w:val="24"/>
              </w:rPr>
              <w:t>限值</w:t>
            </w:r>
          </w:p>
          <w:tbl>
            <w:tblPr>
              <w:tblStyle w:val="21"/>
              <w:tblW w:w="797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4"/>
              <w:gridCol w:w="1546"/>
              <w:gridCol w:w="1349"/>
              <w:gridCol w:w="1065"/>
              <w:gridCol w:w="3023"/>
            </w:tblGrid>
            <w:tr w14:paraId="0F8B4C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994" w:type="dxa"/>
                  <w:tcBorders>
                    <w:tl2br w:val="nil"/>
                    <w:tr2bl w:val="nil"/>
                  </w:tcBorders>
                  <w:noWrap w:val="0"/>
                  <w:vAlign w:val="center"/>
                </w:tcPr>
                <w:p w14:paraId="52EF26BE">
                  <w:pPr>
                    <w:jc w:val="center"/>
                    <w:rPr>
                      <w:rFonts w:ascii="Times New Roman" w:hAnsi="Times New Roman"/>
                      <w:b/>
                      <w:szCs w:val="21"/>
                    </w:rPr>
                  </w:pPr>
                  <w:r>
                    <w:rPr>
                      <w:rFonts w:ascii="Times New Roman" w:hAnsi="Times New Roman"/>
                      <w:b/>
                      <w:szCs w:val="21"/>
                    </w:rPr>
                    <w:t>污染物项目</w:t>
                  </w:r>
                </w:p>
              </w:tc>
              <w:tc>
                <w:tcPr>
                  <w:tcW w:w="1546" w:type="dxa"/>
                  <w:tcBorders>
                    <w:tl2br w:val="nil"/>
                    <w:tr2bl w:val="nil"/>
                  </w:tcBorders>
                  <w:noWrap w:val="0"/>
                  <w:vAlign w:val="center"/>
                </w:tcPr>
                <w:p w14:paraId="0C9F7F30">
                  <w:pPr>
                    <w:jc w:val="center"/>
                    <w:rPr>
                      <w:rFonts w:ascii="Times New Roman" w:hAnsi="Times New Roman"/>
                      <w:b/>
                      <w:szCs w:val="21"/>
                    </w:rPr>
                  </w:pPr>
                  <w:r>
                    <w:rPr>
                      <w:rFonts w:ascii="Times New Roman" w:hAnsi="Times New Roman"/>
                      <w:b/>
                      <w:szCs w:val="21"/>
                    </w:rPr>
                    <w:t>最高允许排放浓度mg/m</w:t>
                  </w:r>
                  <w:r>
                    <w:rPr>
                      <w:rFonts w:ascii="Times New Roman" w:hAnsi="Times New Roman"/>
                      <w:b/>
                      <w:szCs w:val="21"/>
                      <w:vertAlign w:val="superscript"/>
                    </w:rPr>
                    <w:t>3</w:t>
                  </w:r>
                </w:p>
              </w:tc>
              <w:tc>
                <w:tcPr>
                  <w:tcW w:w="1349" w:type="dxa"/>
                  <w:tcBorders>
                    <w:tl2br w:val="nil"/>
                    <w:tr2bl w:val="nil"/>
                  </w:tcBorders>
                  <w:noWrap w:val="0"/>
                  <w:vAlign w:val="center"/>
                </w:tcPr>
                <w:p w14:paraId="57558869">
                  <w:pPr>
                    <w:jc w:val="center"/>
                    <w:rPr>
                      <w:rFonts w:ascii="Times New Roman" w:hAnsi="Times New Roman"/>
                      <w:b/>
                      <w:szCs w:val="21"/>
                    </w:rPr>
                  </w:pPr>
                  <w:r>
                    <w:rPr>
                      <w:rFonts w:ascii="Times New Roman" w:hAnsi="Times New Roman"/>
                      <w:b/>
                      <w:szCs w:val="21"/>
                    </w:rPr>
                    <w:t>最高允许排放速率kg/h</w:t>
                  </w:r>
                </w:p>
              </w:tc>
              <w:tc>
                <w:tcPr>
                  <w:tcW w:w="1065" w:type="dxa"/>
                  <w:tcBorders>
                    <w:tl2br w:val="nil"/>
                    <w:tr2bl w:val="nil"/>
                  </w:tcBorders>
                  <w:noWrap w:val="0"/>
                  <w:vAlign w:val="center"/>
                </w:tcPr>
                <w:p w14:paraId="68E29600">
                  <w:pPr>
                    <w:jc w:val="center"/>
                    <w:rPr>
                      <w:rFonts w:ascii="Times New Roman" w:hAnsi="Times New Roman"/>
                      <w:b/>
                      <w:szCs w:val="21"/>
                    </w:rPr>
                  </w:pPr>
                  <w:r>
                    <w:rPr>
                      <w:rFonts w:ascii="Times New Roman" w:hAnsi="Times New Roman"/>
                      <w:b/>
                      <w:szCs w:val="21"/>
                    </w:rPr>
                    <w:t>排气筒高度（m）</w:t>
                  </w:r>
                </w:p>
              </w:tc>
              <w:tc>
                <w:tcPr>
                  <w:tcW w:w="3023" w:type="dxa"/>
                  <w:tcBorders>
                    <w:tl2br w:val="nil"/>
                    <w:tr2bl w:val="nil"/>
                  </w:tcBorders>
                  <w:noWrap w:val="0"/>
                  <w:vAlign w:val="center"/>
                </w:tcPr>
                <w:p w14:paraId="69A1141C">
                  <w:pPr>
                    <w:jc w:val="center"/>
                    <w:rPr>
                      <w:rFonts w:ascii="Times New Roman" w:hAnsi="Times New Roman"/>
                      <w:szCs w:val="21"/>
                    </w:rPr>
                  </w:pPr>
                  <w:bookmarkStart w:id="8" w:name="OLE_LINK18"/>
                  <w:r>
                    <w:rPr>
                      <w:rFonts w:ascii="Times New Roman" w:hAnsi="Times New Roman"/>
                      <w:b/>
                      <w:szCs w:val="21"/>
                    </w:rPr>
                    <w:t>标准来源</w:t>
                  </w:r>
                  <w:bookmarkEnd w:id="8"/>
                </w:p>
              </w:tc>
            </w:tr>
            <w:tr w14:paraId="32700F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994" w:type="dxa"/>
                  <w:tcBorders>
                    <w:tl2br w:val="nil"/>
                    <w:tr2bl w:val="nil"/>
                  </w:tcBorders>
                  <w:noWrap w:val="0"/>
                  <w:vAlign w:val="center"/>
                </w:tcPr>
                <w:p w14:paraId="0F8C9F16">
                  <w:pPr>
                    <w:adjustRightInd w:val="0"/>
                    <w:snapToGrid w:val="0"/>
                    <w:jc w:val="center"/>
                    <w:rPr>
                      <w:rFonts w:ascii="Times New Roman" w:hAnsi="Times New Roman"/>
                      <w:szCs w:val="21"/>
                    </w:rPr>
                  </w:pPr>
                  <w:bookmarkStart w:id="9" w:name="OLE_LINK12"/>
                  <w:r>
                    <w:rPr>
                      <w:rFonts w:ascii="Times New Roman" w:hAnsi="Times New Roman"/>
                      <w:szCs w:val="21"/>
                    </w:rPr>
                    <w:t>非甲烷总烃</w:t>
                  </w:r>
                  <w:bookmarkEnd w:id="9"/>
                </w:p>
              </w:tc>
              <w:tc>
                <w:tcPr>
                  <w:tcW w:w="1546" w:type="dxa"/>
                  <w:tcBorders>
                    <w:tl2br w:val="nil"/>
                    <w:tr2bl w:val="nil"/>
                  </w:tcBorders>
                  <w:noWrap w:val="0"/>
                  <w:vAlign w:val="center"/>
                </w:tcPr>
                <w:p w14:paraId="2825858D">
                  <w:pPr>
                    <w:adjustRightInd w:val="0"/>
                    <w:snapToGrid w:val="0"/>
                    <w:jc w:val="center"/>
                    <w:rPr>
                      <w:rFonts w:ascii="Times New Roman" w:hAnsi="Times New Roman"/>
                      <w:szCs w:val="21"/>
                    </w:rPr>
                  </w:pPr>
                  <w:r>
                    <w:rPr>
                      <w:rFonts w:ascii="Times New Roman" w:hAnsi="Times New Roman"/>
                      <w:szCs w:val="21"/>
                    </w:rPr>
                    <w:t>40</w:t>
                  </w:r>
                </w:p>
              </w:tc>
              <w:tc>
                <w:tcPr>
                  <w:tcW w:w="1349" w:type="dxa"/>
                  <w:tcBorders>
                    <w:tl2br w:val="nil"/>
                    <w:tr2bl w:val="nil"/>
                  </w:tcBorders>
                  <w:noWrap w:val="0"/>
                  <w:vAlign w:val="center"/>
                </w:tcPr>
                <w:p w14:paraId="05CA8856">
                  <w:pPr>
                    <w:adjustRightInd w:val="0"/>
                    <w:snapToGrid w:val="0"/>
                    <w:jc w:val="center"/>
                    <w:rPr>
                      <w:rFonts w:ascii="Times New Roman" w:hAnsi="Times New Roman"/>
                      <w:szCs w:val="21"/>
                    </w:rPr>
                  </w:pPr>
                  <w:r>
                    <w:rPr>
                      <w:rFonts w:ascii="Times New Roman" w:hAnsi="Times New Roman"/>
                      <w:szCs w:val="21"/>
                    </w:rPr>
                    <w:t>1.6</w:t>
                  </w:r>
                </w:p>
              </w:tc>
              <w:tc>
                <w:tcPr>
                  <w:tcW w:w="1065" w:type="dxa"/>
                  <w:tcBorders>
                    <w:tl2br w:val="nil"/>
                    <w:tr2bl w:val="nil"/>
                  </w:tcBorders>
                  <w:noWrap w:val="0"/>
                  <w:vAlign w:val="center"/>
                </w:tcPr>
                <w:p w14:paraId="3FDB43AC">
                  <w:pPr>
                    <w:jc w:val="center"/>
                    <w:rPr>
                      <w:rFonts w:ascii="Times New Roman" w:hAnsi="Times New Roman"/>
                      <w:szCs w:val="21"/>
                    </w:rPr>
                  </w:pPr>
                  <w:r>
                    <w:rPr>
                      <w:rFonts w:ascii="Times New Roman" w:hAnsi="Times New Roman"/>
                      <w:szCs w:val="21"/>
                    </w:rPr>
                    <w:t>15</w:t>
                  </w:r>
                </w:p>
              </w:tc>
              <w:tc>
                <w:tcPr>
                  <w:tcW w:w="3023" w:type="dxa"/>
                  <w:tcBorders>
                    <w:tl2br w:val="nil"/>
                    <w:tr2bl w:val="nil"/>
                  </w:tcBorders>
                  <w:noWrap w:val="0"/>
                  <w:vAlign w:val="center"/>
                </w:tcPr>
                <w:p w14:paraId="69021FF9">
                  <w:pPr>
                    <w:jc w:val="center"/>
                    <w:rPr>
                      <w:rFonts w:ascii="Times New Roman" w:hAnsi="Times New Roman"/>
                      <w:szCs w:val="21"/>
                    </w:rPr>
                  </w:pPr>
                  <w:r>
                    <w:rPr>
                      <w:rFonts w:ascii="Times New Roman" w:hAnsi="Times New Roman"/>
                      <w:szCs w:val="21"/>
                    </w:rPr>
                    <w:t>安徽省《固定源挥发性有机物综合排放标准 第6部分：其他行业》（DB34/ 4812.6-2024）表1相关标准限值</w:t>
                  </w:r>
                </w:p>
              </w:tc>
            </w:tr>
            <w:tr w14:paraId="3396B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2" w:hRule="atLeast"/>
                <w:jc w:val="center"/>
              </w:trPr>
              <w:tc>
                <w:tcPr>
                  <w:tcW w:w="994" w:type="dxa"/>
                  <w:tcBorders>
                    <w:tl2br w:val="nil"/>
                    <w:tr2bl w:val="nil"/>
                  </w:tcBorders>
                  <w:noWrap w:val="0"/>
                  <w:vAlign w:val="center"/>
                </w:tcPr>
                <w:p w14:paraId="3417ED4B">
                  <w:pPr>
                    <w:adjustRightInd w:val="0"/>
                    <w:spacing w:line="360" w:lineRule="exact"/>
                    <w:jc w:val="center"/>
                    <w:textAlignment w:val="baseline"/>
                    <w:rPr>
                      <w:rFonts w:ascii="Times New Roman" w:hAnsi="Times New Roman"/>
                      <w:szCs w:val="21"/>
                    </w:rPr>
                  </w:pPr>
                  <w:r>
                    <w:rPr>
                      <w:rFonts w:ascii="Times New Roman" w:hAnsi="Times New Roman"/>
                      <w:szCs w:val="21"/>
                    </w:rPr>
                    <w:t>氨</w:t>
                  </w:r>
                </w:p>
              </w:tc>
              <w:tc>
                <w:tcPr>
                  <w:tcW w:w="1546" w:type="dxa"/>
                  <w:tcBorders>
                    <w:tl2br w:val="nil"/>
                    <w:tr2bl w:val="nil"/>
                  </w:tcBorders>
                  <w:noWrap w:val="0"/>
                  <w:vAlign w:val="center"/>
                </w:tcPr>
                <w:p w14:paraId="7C04A8CE">
                  <w:pPr>
                    <w:spacing w:line="360" w:lineRule="exact"/>
                    <w:jc w:val="center"/>
                    <w:rPr>
                      <w:rFonts w:ascii="Times New Roman" w:hAnsi="Times New Roman"/>
                      <w:szCs w:val="21"/>
                    </w:rPr>
                  </w:pPr>
                  <w:r>
                    <w:rPr>
                      <w:rFonts w:ascii="Times New Roman" w:hAnsi="Times New Roman"/>
                      <w:szCs w:val="21"/>
                    </w:rPr>
                    <w:t>20</w:t>
                  </w:r>
                </w:p>
              </w:tc>
              <w:tc>
                <w:tcPr>
                  <w:tcW w:w="1349" w:type="dxa"/>
                  <w:tcBorders>
                    <w:tl2br w:val="nil"/>
                    <w:tr2bl w:val="nil"/>
                  </w:tcBorders>
                  <w:noWrap w:val="0"/>
                  <w:vAlign w:val="center"/>
                </w:tcPr>
                <w:p w14:paraId="43E2BB9F">
                  <w:pPr>
                    <w:adjustRightInd w:val="0"/>
                    <w:snapToGrid w:val="0"/>
                    <w:jc w:val="center"/>
                    <w:rPr>
                      <w:rFonts w:ascii="Times New Roman" w:hAnsi="Times New Roman"/>
                      <w:szCs w:val="21"/>
                    </w:rPr>
                  </w:pPr>
                  <w:r>
                    <w:rPr>
                      <w:rFonts w:ascii="Times New Roman" w:hAnsi="Times New Roman"/>
                      <w:szCs w:val="21"/>
                    </w:rPr>
                    <w:t>/</w:t>
                  </w:r>
                </w:p>
              </w:tc>
              <w:tc>
                <w:tcPr>
                  <w:tcW w:w="1065" w:type="dxa"/>
                  <w:tcBorders>
                    <w:tl2br w:val="nil"/>
                    <w:tr2bl w:val="nil"/>
                  </w:tcBorders>
                  <w:noWrap w:val="0"/>
                  <w:vAlign w:val="center"/>
                </w:tcPr>
                <w:p w14:paraId="0E5F99FC">
                  <w:pPr>
                    <w:jc w:val="center"/>
                    <w:rPr>
                      <w:rFonts w:ascii="Times New Roman" w:hAnsi="Times New Roman"/>
                      <w:szCs w:val="21"/>
                    </w:rPr>
                  </w:pPr>
                  <w:r>
                    <w:rPr>
                      <w:rFonts w:ascii="Times New Roman" w:hAnsi="Times New Roman"/>
                      <w:szCs w:val="21"/>
                    </w:rPr>
                    <w:t>15</w:t>
                  </w:r>
                </w:p>
              </w:tc>
              <w:tc>
                <w:tcPr>
                  <w:tcW w:w="3023" w:type="dxa"/>
                  <w:vMerge w:val="restart"/>
                  <w:tcBorders>
                    <w:tl2br w:val="nil"/>
                    <w:tr2bl w:val="nil"/>
                  </w:tcBorders>
                  <w:noWrap w:val="0"/>
                  <w:vAlign w:val="center"/>
                </w:tcPr>
                <w:p w14:paraId="609B5B66">
                  <w:pPr>
                    <w:jc w:val="center"/>
                    <w:rPr>
                      <w:rFonts w:ascii="Times New Roman" w:hAnsi="Times New Roman"/>
                      <w:szCs w:val="21"/>
                    </w:rPr>
                  </w:pPr>
                  <w:r>
                    <w:rPr>
                      <w:rFonts w:ascii="Times New Roman" w:hAnsi="Times New Roman"/>
                      <w:szCs w:val="21"/>
                    </w:rPr>
                    <w:t>《合成树脂工业污染物排放标准》（GB31572-2015）</w:t>
                  </w:r>
                  <w:r>
                    <w:rPr>
                      <w:rFonts w:hint="eastAsia" w:ascii="Times New Roman" w:hAnsi="Times New Roman"/>
                      <w:szCs w:val="21"/>
                      <w:lang w:eastAsia="zh-CN"/>
                    </w:rPr>
                    <w:t>（</w:t>
                  </w:r>
                  <w:r>
                    <w:rPr>
                      <w:rFonts w:ascii="Times New Roman" w:hAnsi="Times New Roman"/>
                      <w:szCs w:val="21"/>
                    </w:rPr>
                    <w:t>含2024年修改单</w:t>
                  </w:r>
                  <w:r>
                    <w:rPr>
                      <w:rFonts w:hint="eastAsia" w:ascii="Times New Roman" w:hAnsi="Times New Roman"/>
                      <w:szCs w:val="21"/>
                      <w:lang w:eastAsia="zh-CN"/>
                    </w:rPr>
                    <w:t>）</w:t>
                  </w:r>
                  <w:r>
                    <w:rPr>
                      <w:rFonts w:ascii="Times New Roman" w:hAnsi="Times New Roman"/>
                      <w:szCs w:val="21"/>
                    </w:rPr>
                    <w:t>表5大气污染物特别排放限值</w:t>
                  </w:r>
                </w:p>
              </w:tc>
            </w:tr>
            <w:tr w14:paraId="48321C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954" w:type="dxa"/>
                  <w:gridSpan w:val="4"/>
                  <w:tcBorders>
                    <w:tl2br w:val="nil"/>
                    <w:tr2bl w:val="nil"/>
                  </w:tcBorders>
                  <w:noWrap w:val="0"/>
                  <w:vAlign w:val="center"/>
                </w:tcPr>
                <w:p w14:paraId="60DA32D6">
                  <w:pPr>
                    <w:jc w:val="center"/>
                    <w:rPr>
                      <w:rFonts w:ascii="Times New Roman" w:hAnsi="Times New Roman"/>
                      <w:b/>
                      <w:szCs w:val="21"/>
                    </w:rPr>
                  </w:pPr>
                  <w:r>
                    <w:rPr>
                      <w:rFonts w:ascii="Times New Roman" w:hAnsi="Times New Roman"/>
                      <w:b/>
                      <w:szCs w:val="21"/>
                    </w:rPr>
                    <w:t>单位产品非甲烷总烃排放量（kg/t产品）：0.3</w:t>
                  </w:r>
                </w:p>
              </w:tc>
              <w:tc>
                <w:tcPr>
                  <w:tcW w:w="3023" w:type="dxa"/>
                  <w:vMerge w:val="continue"/>
                  <w:tcBorders>
                    <w:tl2br w:val="nil"/>
                    <w:tr2bl w:val="nil"/>
                  </w:tcBorders>
                  <w:noWrap w:val="0"/>
                  <w:vAlign w:val="center"/>
                </w:tcPr>
                <w:p w14:paraId="1575DC41">
                  <w:pPr>
                    <w:jc w:val="center"/>
                    <w:rPr>
                      <w:rFonts w:ascii="Times New Roman" w:hAnsi="Times New Roman"/>
                      <w:b/>
                      <w:szCs w:val="21"/>
                    </w:rPr>
                  </w:pPr>
                </w:p>
              </w:tc>
            </w:tr>
          </w:tbl>
          <w:p w14:paraId="0FC705F7">
            <w:pPr>
              <w:adjustRightInd w:val="0"/>
              <w:snapToGrid w:val="0"/>
              <w:jc w:val="center"/>
              <w:rPr>
                <w:rFonts w:ascii="Times New Roman" w:hAnsi="Times New Roman"/>
                <w:b/>
                <w:sz w:val="24"/>
              </w:rPr>
            </w:pPr>
            <w:r>
              <w:rPr>
                <w:rFonts w:ascii="Times New Roman" w:hAnsi="Times New Roman"/>
                <w:b/>
                <w:sz w:val="24"/>
              </w:rPr>
              <w:t>表3-</w:t>
            </w:r>
            <w:r>
              <w:rPr>
                <w:rFonts w:hint="eastAsia" w:ascii="Times New Roman" w:hAnsi="Times New Roman"/>
                <w:b/>
                <w:sz w:val="24"/>
                <w:lang w:val="en-US" w:eastAsia="zh-CN"/>
              </w:rPr>
              <w:t>6</w:t>
            </w:r>
            <w:r>
              <w:rPr>
                <w:rFonts w:ascii="Times New Roman" w:hAnsi="Times New Roman"/>
                <w:b/>
                <w:sz w:val="24"/>
              </w:rPr>
              <w:t xml:space="preserve">  </w:t>
            </w:r>
            <w:bookmarkStart w:id="10" w:name="OLE_LINK8"/>
            <w:r>
              <w:rPr>
                <w:rFonts w:ascii="Times New Roman" w:hAnsi="Times New Roman"/>
                <w:b/>
                <w:sz w:val="24"/>
              </w:rPr>
              <w:t>本项目无组织废气排放限值</w:t>
            </w:r>
            <w:bookmarkEnd w:id="10"/>
            <w:r>
              <w:rPr>
                <w:rFonts w:ascii="Times New Roman" w:hAnsi="Times New Roman"/>
                <w:b/>
                <w:kern w:val="24"/>
                <w:sz w:val="24"/>
              </w:rPr>
              <w:t xml:space="preserve"> （单位：mg/m</w:t>
            </w:r>
            <w:r>
              <w:rPr>
                <w:rFonts w:ascii="Times New Roman" w:hAnsi="Times New Roman"/>
                <w:b/>
                <w:kern w:val="24"/>
                <w:sz w:val="24"/>
                <w:vertAlign w:val="superscript"/>
              </w:rPr>
              <w:t>3</w:t>
            </w:r>
            <w:r>
              <w:rPr>
                <w:rFonts w:ascii="Times New Roman" w:hAnsi="Times New Roman"/>
                <w:b/>
                <w:kern w:val="24"/>
                <w:sz w:val="24"/>
              </w:rPr>
              <w:t>）</w:t>
            </w:r>
          </w:p>
          <w:tbl>
            <w:tblPr>
              <w:tblStyle w:val="21"/>
              <w:tblW w:w="79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68"/>
              <w:gridCol w:w="695"/>
              <w:gridCol w:w="1752"/>
              <w:gridCol w:w="1087"/>
              <w:gridCol w:w="3316"/>
            </w:tblGrid>
            <w:tr w14:paraId="04964E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674" w:type="pct"/>
                  <w:tcBorders>
                    <w:tl2br w:val="nil"/>
                    <w:tr2bl w:val="nil"/>
                  </w:tcBorders>
                  <w:noWrap/>
                  <w:vAlign w:val="center"/>
                </w:tcPr>
                <w:p w14:paraId="1B51457C">
                  <w:pPr>
                    <w:jc w:val="center"/>
                    <w:rPr>
                      <w:rFonts w:ascii="Times New Roman" w:hAnsi="Times New Roman"/>
                      <w:b/>
                      <w:bCs/>
                      <w:kern w:val="0"/>
                      <w:szCs w:val="21"/>
                    </w:rPr>
                  </w:pPr>
                  <w:r>
                    <w:rPr>
                      <w:rFonts w:ascii="Times New Roman" w:hAnsi="Times New Roman"/>
                      <w:b/>
                      <w:bCs/>
                      <w:kern w:val="0"/>
                      <w:szCs w:val="21"/>
                    </w:rPr>
                    <w:t>污染物项目</w:t>
                  </w:r>
                </w:p>
              </w:tc>
              <w:tc>
                <w:tcPr>
                  <w:tcW w:w="438" w:type="pct"/>
                  <w:tcBorders>
                    <w:tl2br w:val="nil"/>
                    <w:tr2bl w:val="nil"/>
                  </w:tcBorders>
                  <w:noWrap/>
                  <w:vAlign w:val="center"/>
                </w:tcPr>
                <w:p w14:paraId="4026BA2C">
                  <w:pPr>
                    <w:jc w:val="center"/>
                    <w:rPr>
                      <w:rFonts w:ascii="Times New Roman" w:hAnsi="Times New Roman"/>
                      <w:b/>
                      <w:bCs/>
                      <w:kern w:val="0"/>
                      <w:szCs w:val="21"/>
                    </w:rPr>
                  </w:pPr>
                  <w:r>
                    <w:rPr>
                      <w:rFonts w:ascii="Times New Roman" w:hAnsi="Times New Roman"/>
                      <w:b/>
                      <w:bCs/>
                      <w:kern w:val="0"/>
                      <w:szCs w:val="21"/>
                    </w:rPr>
                    <w:t>特别排放限值</w:t>
                  </w:r>
                </w:p>
              </w:tc>
              <w:tc>
                <w:tcPr>
                  <w:tcW w:w="1106" w:type="pct"/>
                  <w:tcBorders>
                    <w:tl2br w:val="nil"/>
                    <w:tr2bl w:val="nil"/>
                  </w:tcBorders>
                  <w:noWrap/>
                  <w:vAlign w:val="center"/>
                </w:tcPr>
                <w:p w14:paraId="377B6339">
                  <w:pPr>
                    <w:jc w:val="center"/>
                    <w:rPr>
                      <w:rFonts w:ascii="Times New Roman" w:hAnsi="Times New Roman"/>
                      <w:b/>
                      <w:bCs/>
                      <w:kern w:val="0"/>
                      <w:szCs w:val="21"/>
                    </w:rPr>
                  </w:pPr>
                  <w:r>
                    <w:rPr>
                      <w:rFonts w:ascii="Times New Roman" w:hAnsi="Times New Roman"/>
                      <w:b/>
                      <w:bCs/>
                      <w:kern w:val="0"/>
                      <w:szCs w:val="21"/>
                    </w:rPr>
                    <w:t>限值含义</w:t>
                  </w:r>
                </w:p>
              </w:tc>
              <w:tc>
                <w:tcPr>
                  <w:tcW w:w="686" w:type="pct"/>
                  <w:tcBorders>
                    <w:tl2br w:val="nil"/>
                    <w:tr2bl w:val="nil"/>
                  </w:tcBorders>
                  <w:noWrap/>
                  <w:vAlign w:val="center"/>
                </w:tcPr>
                <w:p w14:paraId="2212E7B7">
                  <w:pPr>
                    <w:jc w:val="center"/>
                    <w:rPr>
                      <w:rFonts w:ascii="Times New Roman" w:hAnsi="Times New Roman"/>
                      <w:b/>
                      <w:bCs/>
                      <w:kern w:val="0"/>
                      <w:szCs w:val="21"/>
                    </w:rPr>
                  </w:pPr>
                  <w:r>
                    <w:rPr>
                      <w:rFonts w:ascii="Times New Roman" w:hAnsi="Times New Roman"/>
                      <w:b/>
                      <w:bCs/>
                      <w:kern w:val="0"/>
                      <w:szCs w:val="21"/>
                    </w:rPr>
                    <w:t>无组织排放监控位置</w:t>
                  </w:r>
                </w:p>
              </w:tc>
              <w:tc>
                <w:tcPr>
                  <w:tcW w:w="2093" w:type="pct"/>
                  <w:tcBorders>
                    <w:tl2br w:val="nil"/>
                    <w:tr2bl w:val="nil"/>
                  </w:tcBorders>
                  <w:noWrap/>
                  <w:vAlign w:val="center"/>
                </w:tcPr>
                <w:p w14:paraId="40A4E8B7">
                  <w:pPr>
                    <w:jc w:val="center"/>
                    <w:rPr>
                      <w:rFonts w:ascii="Times New Roman" w:hAnsi="Times New Roman"/>
                      <w:b/>
                      <w:bCs/>
                      <w:kern w:val="0"/>
                      <w:szCs w:val="21"/>
                    </w:rPr>
                  </w:pPr>
                  <w:r>
                    <w:rPr>
                      <w:rFonts w:ascii="Times New Roman" w:hAnsi="Times New Roman"/>
                      <w:b/>
                      <w:szCs w:val="21"/>
                    </w:rPr>
                    <w:t>标准来源</w:t>
                  </w:r>
                </w:p>
              </w:tc>
            </w:tr>
            <w:tr w14:paraId="7775F8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674" w:type="pct"/>
                  <w:vMerge w:val="restart"/>
                  <w:tcBorders>
                    <w:tl2br w:val="nil"/>
                    <w:tr2bl w:val="nil"/>
                  </w:tcBorders>
                  <w:noWrap/>
                  <w:vAlign w:val="center"/>
                </w:tcPr>
                <w:p w14:paraId="6E06C0BF">
                  <w:pPr>
                    <w:jc w:val="center"/>
                    <w:rPr>
                      <w:rFonts w:ascii="Times New Roman" w:hAnsi="Times New Roman"/>
                      <w:kern w:val="0"/>
                      <w:szCs w:val="21"/>
                    </w:rPr>
                  </w:pPr>
                  <w:r>
                    <w:rPr>
                      <w:rFonts w:ascii="Times New Roman" w:hAnsi="Times New Roman"/>
                      <w:szCs w:val="21"/>
                    </w:rPr>
                    <w:t>非甲烷总烃</w:t>
                  </w:r>
                </w:p>
              </w:tc>
              <w:tc>
                <w:tcPr>
                  <w:tcW w:w="438" w:type="pct"/>
                  <w:tcBorders>
                    <w:tl2br w:val="nil"/>
                    <w:tr2bl w:val="nil"/>
                  </w:tcBorders>
                  <w:noWrap/>
                  <w:vAlign w:val="center"/>
                </w:tcPr>
                <w:p w14:paraId="2FA8A94F">
                  <w:pPr>
                    <w:jc w:val="center"/>
                    <w:rPr>
                      <w:rFonts w:ascii="Times New Roman" w:hAnsi="Times New Roman"/>
                      <w:kern w:val="0"/>
                      <w:szCs w:val="21"/>
                    </w:rPr>
                  </w:pPr>
                  <w:r>
                    <w:rPr>
                      <w:rFonts w:ascii="Times New Roman" w:hAnsi="Times New Roman"/>
                      <w:kern w:val="0"/>
                      <w:szCs w:val="21"/>
                    </w:rPr>
                    <w:t>6</w:t>
                  </w:r>
                </w:p>
              </w:tc>
              <w:tc>
                <w:tcPr>
                  <w:tcW w:w="1106" w:type="pct"/>
                  <w:tcBorders>
                    <w:tl2br w:val="nil"/>
                    <w:tr2bl w:val="nil"/>
                  </w:tcBorders>
                  <w:noWrap/>
                  <w:vAlign w:val="center"/>
                </w:tcPr>
                <w:p w14:paraId="092203AF">
                  <w:pPr>
                    <w:jc w:val="center"/>
                    <w:rPr>
                      <w:rFonts w:ascii="Times New Roman" w:hAnsi="Times New Roman"/>
                      <w:kern w:val="0"/>
                      <w:szCs w:val="21"/>
                    </w:rPr>
                  </w:pPr>
                  <w:r>
                    <w:rPr>
                      <w:rFonts w:ascii="Times New Roman" w:hAnsi="Times New Roman"/>
                      <w:kern w:val="0"/>
                      <w:szCs w:val="21"/>
                    </w:rPr>
                    <w:t>监控点处1h平均浓度值</w:t>
                  </w:r>
                </w:p>
              </w:tc>
              <w:tc>
                <w:tcPr>
                  <w:tcW w:w="686" w:type="pct"/>
                  <w:vMerge w:val="restart"/>
                  <w:tcBorders>
                    <w:tl2br w:val="nil"/>
                    <w:tr2bl w:val="nil"/>
                  </w:tcBorders>
                  <w:noWrap/>
                  <w:vAlign w:val="center"/>
                </w:tcPr>
                <w:p w14:paraId="7B6A2E20">
                  <w:pPr>
                    <w:jc w:val="center"/>
                    <w:rPr>
                      <w:rFonts w:ascii="Times New Roman" w:hAnsi="Times New Roman"/>
                      <w:kern w:val="0"/>
                      <w:szCs w:val="21"/>
                    </w:rPr>
                  </w:pPr>
                  <w:r>
                    <w:rPr>
                      <w:rFonts w:ascii="Times New Roman" w:hAnsi="Times New Roman"/>
                      <w:kern w:val="0"/>
                      <w:szCs w:val="21"/>
                    </w:rPr>
                    <w:t>在厂房外设置监控点</w:t>
                  </w:r>
                </w:p>
              </w:tc>
              <w:tc>
                <w:tcPr>
                  <w:tcW w:w="2093" w:type="pct"/>
                  <w:vMerge w:val="restart"/>
                  <w:tcBorders>
                    <w:tl2br w:val="nil"/>
                    <w:tr2bl w:val="nil"/>
                  </w:tcBorders>
                  <w:noWrap/>
                  <w:vAlign w:val="center"/>
                </w:tcPr>
                <w:p w14:paraId="27C733F7">
                  <w:pPr>
                    <w:jc w:val="center"/>
                    <w:rPr>
                      <w:rFonts w:ascii="Times New Roman" w:hAnsi="Times New Roman"/>
                      <w:kern w:val="0"/>
                      <w:szCs w:val="21"/>
                    </w:rPr>
                  </w:pPr>
                  <w:r>
                    <w:rPr>
                      <w:rFonts w:ascii="Times New Roman" w:hAnsi="Times New Roman"/>
                      <w:szCs w:val="21"/>
                    </w:rPr>
                    <w:t>安徽省《固定源挥发性有机物综合排放标准 第6部分：其他行业》（DB34/ 4812.6-2024）表4相关标准限值</w:t>
                  </w:r>
                </w:p>
              </w:tc>
            </w:tr>
            <w:tr w14:paraId="6CF1B3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674" w:type="pct"/>
                  <w:vMerge w:val="continue"/>
                  <w:tcBorders>
                    <w:tl2br w:val="nil"/>
                    <w:tr2bl w:val="nil"/>
                  </w:tcBorders>
                  <w:noWrap/>
                  <w:vAlign w:val="center"/>
                </w:tcPr>
                <w:p w14:paraId="35EC6972">
                  <w:pPr>
                    <w:jc w:val="center"/>
                    <w:rPr>
                      <w:rFonts w:ascii="Times New Roman" w:hAnsi="Times New Roman"/>
                      <w:kern w:val="0"/>
                      <w:szCs w:val="21"/>
                    </w:rPr>
                  </w:pPr>
                </w:p>
              </w:tc>
              <w:tc>
                <w:tcPr>
                  <w:tcW w:w="438" w:type="pct"/>
                  <w:tcBorders>
                    <w:tl2br w:val="nil"/>
                    <w:tr2bl w:val="nil"/>
                  </w:tcBorders>
                  <w:noWrap/>
                  <w:vAlign w:val="center"/>
                </w:tcPr>
                <w:p w14:paraId="53A9EADB">
                  <w:pPr>
                    <w:jc w:val="center"/>
                    <w:rPr>
                      <w:rFonts w:ascii="Times New Roman" w:hAnsi="Times New Roman"/>
                      <w:kern w:val="0"/>
                      <w:szCs w:val="21"/>
                    </w:rPr>
                  </w:pPr>
                  <w:r>
                    <w:rPr>
                      <w:rFonts w:ascii="Times New Roman" w:hAnsi="Times New Roman"/>
                      <w:kern w:val="0"/>
                      <w:szCs w:val="21"/>
                    </w:rPr>
                    <w:t>20</w:t>
                  </w:r>
                </w:p>
              </w:tc>
              <w:tc>
                <w:tcPr>
                  <w:tcW w:w="1106" w:type="pct"/>
                  <w:tcBorders>
                    <w:tl2br w:val="nil"/>
                    <w:tr2bl w:val="nil"/>
                  </w:tcBorders>
                  <w:noWrap/>
                  <w:vAlign w:val="center"/>
                </w:tcPr>
                <w:p w14:paraId="6BA6002B">
                  <w:pPr>
                    <w:jc w:val="center"/>
                    <w:rPr>
                      <w:rFonts w:ascii="Times New Roman" w:hAnsi="Times New Roman"/>
                      <w:kern w:val="0"/>
                      <w:szCs w:val="21"/>
                    </w:rPr>
                  </w:pPr>
                  <w:r>
                    <w:rPr>
                      <w:rFonts w:ascii="Times New Roman" w:hAnsi="Times New Roman"/>
                      <w:kern w:val="0"/>
                      <w:szCs w:val="21"/>
                    </w:rPr>
                    <w:t>监控点处任意一次浓度值</w:t>
                  </w:r>
                </w:p>
              </w:tc>
              <w:tc>
                <w:tcPr>
                  <w:tcW w:w="686" w:type="pct"/>
                  <w:vMerge w:val="continue"/>
                  <w:tcBorders>
                    <w:tl2br w:val="nil"/>
                    <w:tr2bl w:val="nil"/>
                  </w:tcBorders>
                  <w:noWrap/>
                  <w:vAlign w:val="center"/>
                </w:tcPr>
                <w:p w14:paraId="79C6C72C">
                  <w:pPr>
                    <w:jc w:val="center"/>
                    <w:rPr>
                      <w:rFonts w:ascii="Times New Roman" w:hAnsi="Times New Roman"/>
                      <w:kern w:val="0"/>
                      <w:szCs w:val="21"/>
                    </w:rPr>
                  </w:pPr>
                </w:p>
              </w:tc>
              <w:tc>
                <w:tcPr>
                  <w:tcW w:w="2093" w:type="pct"/>
                  <w:vMerge w:val="continue"/>
                  <w:tcBorders>
                    <w:tl2br w:val="nil"/>
                    <w:tr2bl w:val="nil"/>
                  </w:tcBorders>
                  <w:noWrap/>
                  <w:vAlign w:val="center"/>
                </w:tcPr>
                <w:p w14:paraId="603F58D9">
                  <w:pPr>
                    <w:jc w:val="center"/>
                    <w:rPr>
                      <w:rFonts w:ascii="Times New Roman" w:hAnsi="Times New Roman"/>
                      <w:kern w:val="0"/>
                      <w:szCs w:val="21"/>
                    </w:rPr>
                  </w:pPr>
                </w:p>
              </w:tc>
            </w:tr>
            <w:tr w14:paraId="25DBED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674" w:type="pct"/>
                  <w:vMerge w:val="continue"/>
                  <w:tcBorders>
                    <w:tl2br w:val="nil"/>
                    <w:tr2bl w:val="nil"/>
                  </w:tcBorders>
                  <w:noWrap/>
                  <w:vAlign w:val="center"/>
                </w:tcPr>
                <w:p w14:paraId="45195B0C">
                  <w:pPr>
                    <w:jc w:val="center"/>
                    <w:rPr>
                      <w:rFonts w:ascii="Times New Roman" w:hAnsi="Times New Roman"/>
                      <w:kern w:val="0"/>
                      <w:szCs w:val="21"/>
                    </w:rPr>
                  </w:pPr>
                </w:p>
              </w:tc>
              <w:tc>
                <w:tcPr>
                  <w:tcW w:w="438" w:type="pct"/>
                  <w:tcBorders>
                    <w:tl2br w:val="nil"/>
                    <w:tr2bl w:val="nil"/>
                  </w:tcBorders>
                  <w:noWrap/>
                  <w:vAlign w:val="center"/>
                </w:tcPr>
                <w:p w14:paraId="5B7F720E">
                  <w:pPr>
                    <w:jc w:val="center"/>
                    <w:rPr>
                      <w:rFonts w:ascii="Times New Roman" w:hAnsi="Times New Roman"/>
                      <w:kern w:val="0"/>
                      <w:szCs w:val="21"/>
                    </w:rPr>
                  </w:pPr>
                  <w:r>
                    <w:rPr>
                      <w:rFonts w:ascii="Times New Roman" w:hAnsi="Times New Roman"/>
                      <w:kern w:val="0"/>
                      <w:szCs w:val="21"/>
                    </w:rPr>
                    <w:t>4.0</w:t>
                  </w:r>
                </w:p>
              </w:tc>
              <w:tc>
                <w:tcPr>
                  <w:tcW w:w="1106" w:type="pct"/>
                  <w:vMerge w:val="restart"/>
                  <w:tcBorders>
                    <w:tl2br w:val="nil"/>
                    <w:tr2bl w:val="nil"/>
                  </w:tcBorders>
                  <w:noWrap/>
                  <w:vAlign w:val="center"/>
                </w:tcPr>
                <w:p w14:paraId="3B2EDEA4">
                  <w:pPr>
                    <w:jc w:val="center"/>
                    <w:rPr>
                      <w:rFonts w:ascii="Times New Roman" w:hAnsi="Times New Roman"/>
                      <w:kern w:val="0"/>
                      <w:szCs w:val="21"/>
                    </w:rPr>
                  </w:pPr>
                  <w:r>
                    <w:rPr>
                      <w:rFonts w:ascii="Times New Roman" w:hAnsi="Times New Roman"/>
                      <w:spacing w:val="-4"/>
                      <w:szCs w:val="21"/>
                    </w:rPr>
                    <w:t>企业边界任何1h大气污染物平均浓度</w:t>
                  </w:r>
                </w:p>
              </w:tc>
              <w:tc>
                <w:tcPr>
                  <w:tcW w:w="686" w:type="pct"/>
                  <w:vMerge w:val="restart"/>
                  <w:tcBorders>
                    <w:tl2br w:val="nil"/>
                    <w:tr2bl w:val="nil"/>
                  </w:tcBorders>
                  <w:noWrap/>
                  <w:vAlign w:val="center"/>
                </w:tcPr>
                <w:p w14:paraId="0D07C936">
                  <w:pPr>
                    <w:jc w:val="center"/>
                    <w:rPr>
                      <w:rFonts w:ascii="Times New Roman" w:hAnsi="Times New Roman"/>
                      <w:kern w:val="0"/>
                      <w:szCs w:val="21"/>
                    </w:rPr>
                  </w:pPr>
                  <w:bookmarkStart w:id="11" w:name="OLE_LINK15"/>
                  <w:r>
                    <w:rPr>
                      <w:rFonts w:ascii="Times New Roman" w:hAnsi="Times New Roman"/>
                      <w:spacing w:val="-4"/>
                      <w:szCs w:val="21"/>
                    </w:rPr>
                    <w:t>企业边界</w:t>
                  </w:r>
                  <w:bookmarkEnd w:id="11"/>
                </w:p>
              </w:tc>
              <w:tc>
                <w:tcPr>
                  <w:tcW w:w="2093" w:type="pct"/>
                  <w:vMerge w:val="restart"/>
                  <w:tcBorders>
                    <w:tl2br w:val="nil"/>
                    <w:tr2bl w:val="nil"/>
                  </w:tcBorders>
                  <w:noWrap/>
                  <w:vAlign w:val="center"/>
                </w:tcPr>
                <w:p w14:paraId="70C3F615">
                  <w:pPr>
                    <w:jc w:val="center"/>
                    <w:rPr>
                      <w:rFonts w:ascii="Times New Roman" w:hAnsi="Times New Roman"/>
                      <w:spacing w:val="-4"/>
                      <w:szCs w:val="21"/>
                    </w:rPr>
                  </w:pPr>
                  <w:r>
                    <w:rPr>
                      <w:rFonts w:ascii="Times New Roman" w:hAnsi="Times New Roman"/>
                      <w:szCs w:val="21"/>
                    </w:rPr>
                    <w:t>《合成树脂工业污染物排放标准》（GB31572-2015）</w:t>
                  </w:r>
                  <w:r>
                    <w:rPr>
                      <w:rFonts w:hint="eastAsia" w:ascii="Times New Roman" w:hAnsi="Times New Roman"/>
                      <w:szCs w:val="21"/>
                      <w:lang w:eastAsia="zh-CN"/>
                    </w:rPr>
                    <w:t>（</w:t>
                  </w:r>
                  <w:r>
                    <w:rPr>
                      <w:rFonts w:ascii="Times New Roman" w:hAnsi="Times New Roman"/>
                      <w:szCs w:val="21"/>
                    </w:rPr>
                    <w:t>含2024年修改单</w:t>
                  </w:r>
                  <w:r>
                    <w:rPr>
                      <w:rFonts w:hint="eastAsia" w:ascii="Times New Roman" w:hAnsi="Times New Roman"/>
                      <w:szCs w:val="21"/>
                      <w:lang w:eastAsia="zh-CN"/>
                    </w:rPr>
                    <w:t>）</w:t>
                  </w:r>
                  <w:r>
                    <w:rPr>
                      <w:rFonts w:ascii="Times New Roman" w:hAnsi="Times New Roman"/>
                      <w:szCs w:val="21"/>
                    </w:rPr>
                    <w:t>中表9企业边界大气污染物浓度限值</w:t>
                  </w:r>
                </w:p>
              </w:tc>
            </w:tr>
            <w:tr w14:paraId="12DBF2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79" w:hRule="atLeast"/>
                <w:jc w:val="center"/>
              </w:trPr>
              <w:tc>
                <w:tcPr>
                  <w:tcW w:w="674" w:type="pct"/>
                  <w:tcBorders>
                    <w:tl2br w:val="nil"/>
                    <w:tr2bl w:val="nil"/>
                  </w:tcBorders>
                  <w:noWrap/>
                  <w:vAlign w:val="center"/>
                </w:tcPr>
                <w:p w14:paraId="4FB79642">
                  <w:pPr>
                    <w:jc w:val="center"/>
                    <w:rPr>
                      <w:rFonts w:ascii="Times New Roman" w:hAnsi="Times New Roman"/>
                      <w:kern w:val="0"/>
                      <w:szCs w:val="21"/>
                    </w:rPr>
                  </w:pPr>
                  <w:r>
                    <w:rPr>
                      <w:rFonts w:ascii="Times New Roman" w:hAnsi="Times New Roman"/>
                      <w:kern w:val="0"/>
                      <w:szCs w:val="21"/>
                    </w:rPr>
                    <w:t>颗粒物</w:t>
                  </w:r>
                </w:p>
              </w:tc>
              <w:tc>
                <w:tcPr>
                  <w:tcW w:w="438" w:type="pct"/>
                  <w:tcBorders>
                    <w:tl2br w:val="nil"/>
                    <w:tr2bl w:val="nil"/>
                  </w:tcBorders>
                  <w:noWrap/>
                  <w:vAlign w:val="center"/>
                </w:tcPr>
                <w:p w14:paraId="7CC3D15D">
                  <w:pPr>
                    <w:jc w:val="center"/>
                    <w:rPr>
                      <w:rFonts w:ascii="Times New Roman" w:hAnsi="Times New Roman"/>
                      <w:kern w:val="0"/>
                      <w:szCs w:val="21"/>
                    </w:rPr>
                  </w:pPr>
                  <w:r>
                    <w:rPr>
                      <w:rFonts w:ascii="Times New Roman" w:hAnsi="Times New Roman"/>
                      <w:kern w:val="0"/>
                      <w:szCs w:val="21"/>
                    </w:rPr>
                    <w:t>1.0</w:t>
                  </w:r>
                </w:p>
              </w:tc>
              <w:tc>
                <w:tcPr>
                  <w:tcW w:w="1106" w:type="pct"/>
                  <w:vMerge w:val="continue"/>
                  <w:tcBorders>
                    <w:tl2br w:val="nil"/>
                    <w:tr2bl w:val="nil"/>
                  </w:tcBorders>
                  <w:noWrap/>
                  <w:vAlign w:val="center"/>
                </w:tcPr>
                <w:p w14:paraId="192C8840">
                  <w:pPr>
                    <w:jc w:val="center"/>
                    <w:rPr>
                      <w:rFonts w:ascii="Times New Roman" w:hAnsi="Times New Roman"/>
                      <w:spacing w:val="-4"/>
                      <w:szCs w:val="21"/>
                    </w:rPr>
                  </w:pPr>
                </w:p>
              </w:tc>
              <w:tc>
                <w:tcPr>
                  <w:tcW w:w="686" w:type="pct"/>
                  <w:vMerge w:val="continue"/>
                  <w:tcBorders>
                    <w:tl2br w:val="nil"/>
                    <w:tr2bl w:val="nil"/>
                  </w:tcBorders>
                  <w:noWrap/>
                  <w:vAlign w:val="center"/>
                </w:tcPr>
                <w:p w14:paraId="54A250DE">
                  <w:pPr>
                    <w:jc w:val="center"/>
                    <w:rPr>
                      <w:rFonts w:ascii="Times New Roman" w:hAnsi="Times New Roman"/>
                      <w:spacing w:val="-4"/>
                      <w:szCs w:val="21"/>
                    </w:rPr>
                  </w:pPr>
                </w:p>
              </w:tc>
              <w:tc>
                <w:tcPr>
                  <w:tcW w:w="2093" w:type="pct"/>
                  <w:vMerge w:val="continue"/>
                  <w:tcBorders>
                    <w:tl2br w:val="nil"/>
                    <w:tr2bl w:val="nil"/>
                  </w:tcBorders>
                  <w:noWrap/>
                  <w:vAlign w:val="center"/>
                </w:tcPr>
                <w:p w14:paraId="07BE6BC2">
                  <w:pPr>
                    <w:jc w:val="center"/>
                    <w:rPr>
                      <w:rFonts w:ascii="Times New Roman" w:hAnsi="Times New Roman"/>
                      <w:spacing w:val="-4"/>
                      <w:szCs w:val="21"/>
                    </w:rPr>
                  </w:pPr>
                </w:p>
              </w:tc>
            </w:tr>
          </w:tbl>
          <w:p w14:paraId="1989B190">
            <w:pPr>
              <w:ind w:firstLine="482"/>
              <w:jc w:val="center"/>
              <w:rPr>
                <w:rFonts w:ascii="Times New Roman" w:hAnsi="Times New Roman"/>
                <w:b/>
                <w:kern w:val="0"/>
                <w:sz w:val="24"/>
              </w:rPr>
            </w:pPr>
            <w:r>
              <w:rPr>
                <w:rFonts w:ascii="Times New Roman" w:hAnsi="Times New Roman"/>
                <w:b/>
                <w:kern w:val="0"/>
                <w:sz w:val="24"/>
              </w:rPr>
              <w:t>表3-</w:t>
            </w:r>
            <w:r>
              <w:rPr>
                <w:rFonts w:hint="eastAsia" w:ascii="Times New Roman" w:hAnsi="Times New Roman"/>
                <w:b/>
                <w:kern w:val="0"/>
                <w:sz w:val="24"/>
                <w:lang w:val="en-US" w:eastAsia="zh-CN"/>
              </w:rPr>
              <w:t>7</w:t>
            </w:r>
            <w:r>
              <w:rPr>
                <w:rFonts w:ascii="Times New Roman" w:hAnsi="Times New Roman"/>
                <w:b/>
                <w:kern w:val="0"/>
                <w:sz w:val="24"/>
              </w:rPr>
              <w:t xml:space="preserve"> 《恶臭污染物排放标准》（GB14554-93）</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1763"/>
              <w:gridCol w:w="1918"/>
              <w:gridCol w:w="2728"/>
            </w:tblGrid>
            <w:tr w14:paraId="0F3B1F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0" w:type="pct"/>
                  <w:tcBorders>
                    <w:tl2br w:val="nil"/>
                    <w:tr2bl w:val="nil"/>
                  </w:tcBorders>
                  <w:noWrap w:val="0"/>
                  <w:vAlign w:val="center"/>
                </w:tcPr>
                <w:p w14:paraId="1078F8E5">
                  <w:pPr>
                    <w:jc w:val="center"/>
                    <w:rPr>
                      <w:rFonts w:ascii="Times New Roman" w:hAnsi="Times New Roman"/>
                      <w:szCs w:val="21"/>
                    </w:rPr>
                  </w:pPr>
                  <w:r>
                    <w:rPr>
                      <w:rFonts w:ascii="Times New Roman" w:hAnsi="Times New Roman"/>
                      <w:b/>
                      <w:bCs/>
                      <w:szCs w:val="21"/>
                    </w:rPr>
                    <w:t>污染物</w:t>
                  </w:r>
                </w:p>
              </w:tc>
              <w:tc>
                <w:tcPr>
                  <w:tcW w:w="1125" w:type="pct"/>
                  <w:tcBorders>
                    <w:tl2br w:val="nil"/>
                    <w:tr2bl w:val="nil"/>
                  </w:tcBorders>
                  <w:noWrap w:val="0"/>
                  <w:vAlign w:val="center"/>
                </w:tcPr>
                <w:p w14:paraId="0096AB30">
                  <w:pPr>
                    <w:autoSpaceDE w:val="0"/>
                    <w:autoSpaceDN w:val="0"/>
                    <w:jc w:val="center"/>
                    <w:rPr>
                      <w:rFonts w:ascii="Times New Roman" w:hAnsi="Times New Roman"/>
                      <w:b/>
                      <w:szCs w:val="21"/>
                    </w:rPr>
                  </w:pPr>
                  <w:r>
                    <w:rPr>
                      <w:rFonts w:ascii="Times New Roman" w:hAnsi="Times New Roman"/>
                      <w:b/>
                      <w:szCs w:val="21"/>
                    </w:rPr>
                    <w:t>排气筒高度（m）</w:t>
                  </w:r>
                </w:p>
              </w:tc>
              <w:tc>
                <w:tcPr>
                  <w:tcW w:w="1224" w:type="pct"/>
                  <w:tcBorders>
                    <w:tl2br w:val="nil"/>
                    <w:tr2bl w:val="nil"/>
                  </w:tcBorders>
                  <w:noWrap w:val="0"/>
                  <w:vAlign w:val="center"/>
                </w:tcPr>
                <w:p w14:paraId="362F7F63">
                  <w:pPr>
                    <w:autoSpaceDE w:val="0"/>
                    <w:autoSpaceDN w:val="0"/>
                    <w:jc w:val="center"/>
                    <w:rPr>
                      <w:rFonts w:ascii="Times New Roman" w:hAnsi="Times New Roman"/>
                      <w:b/>
                      <w:szCs w:val="21"/>
                    </w:rPr>
                  </w:pPr>
                  <w:r>
                    <w:rPr>
                      <w:rFonts w:ascii="Times New Roman" w:hAnsi="Times New Roman"/>
                      <w:b/>
                      <w:szCs w:val="21"/>
                    </w:rPr>
                    <w:t>排放量（kg/h）</w:t>
                  </w:r>
                </w:p>
              </w:tc>
              <w:tc>
                <w:tcPr>
                  <w:tcW w:w="1741" w:type="pct"/>
                  <w:tcBorders>
                    <w:tl2br w:val="nil"/>
                    <w:tr2bl w:val="nil"/>
                  </w:tcBorders>
                  <w:noWrap w:val="0"/>
                  <w:vAlign w:val="center"/>
                </w:tcPr>
                <w:p w14:paraId="75B4125B">
                  <w:pPr>
                    <w:autoSpaceDE w:val="0"/>
                    <w:autoSpaceDN w:val="0"/>
                    <w:jc w:val="center"/>
                    <w:rPr>
                      <w:rFonts w:ascii="Times New Roman" w:hAnsi="Times New Roman"/>
                      <w:b/>
                      <w:szCs w:val="21"/>
                    </w:rPr>
                  </w:pPr>
                  <w:r>
                    <w:rPr>
                      <w:rFonts w:ascii="Times New Roman" w:hAnsi="Times New Roman"/>
                      <w:b/>
                      <w:szCs w:val="21"/>
                    </w:rPr>
                    <w:t>厂界标准值（二级）（mg/m</w:t>
                  </w:r>
                  <w:r>
                    <w:rPr>
                      <w:rFonts w:ascii="Times New Roman" w:hAnsi="Times New Roman"/>
                      <w:b/>
                      <w:szCs w:val="21"/>
                      <w:vertAlign w:val="superscript"/>
                    </w:rPr>
                    <w:t>3</w:t>
                  </w:r>
                  <w:r>
                    <w:rPr>
                      <w:rFonts w:ascii="Times New Roman" w:hAnsi="Times New Roman"/>
                      <w:b/>
                      <w:szCs w:val="21"/>
                    </w:rPr>
                    <w:t>）</w:t>
                  </w:r>
                </w:p>
              </w:tc>
            </w:tr>
            <w:tr w14:paraId="1CD08A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0" w:type="pct"/>
                  <w:tcBorders>
                    <w:tl2br w:val="nil"/>
                    <w:tr2bl w:val="nil"/>
                  </w:tcBorders>
                  <w:noWrap w:val="0"/>
                  <w:vAlign w:val="center"/>
                </w:tcPr>
                <w:p w14:paraId="32AA9A0C">
                  <w:pPr>
                    <w:jc w:val="center"/>
                    <w:rPr>
                      <w:rFonts w:ascii="Times New Roman" w:hAnsi="Times New Roman"/>
                      <w:szCs w:val="21"/>
                    </w:rPr>
                  </w:pPr>
                  <w:r>
                    <w:rPr>
                      <w:rFonts w:ascii="Times New Roman" w:hAnsi="Times New Roman"/>
                      <w:szCs w:val="21"/>
                    </w:rPr>
                    <w:t>氨</w:t>
                  </w:r>
                </w:p>
              </w:tc>
              <w:tc>
                <w:tcPr>
                  <w:tcW w:w="1125" w:type="pct"/>
                  <w:tcBorders>
                    <w:tl2br w:val="nil"/>
                    <w:tr2bl w:val="nil"/>
                  </w:tcBorders>
                  <w:noWrap w:val="0"/>
                  <w:vAlign w:val="center"/>
                </w:tcPr>
                <w:p w14:paraId="799D9D16">
                  <w:pPr>
                    <w:spacing w:line="360" w:lineRule="exact"/>
                    <w:jc w:val="center"/>
                    <w:rPr>
                      <w:rFonts w:ascii="Times New Roman" w:hAnsi="Times New Roman"/>
                      <w:szCs w:val="21"/>
                    </w:rPr>
                  </w:pPr>
                  <w:r>
                    <w:rPr>
                      <w:rFonts w:ascii="Times New Roman" w:hAnsi="Times New Roman"/>
                      <w:szCs w:val="21"/>
                    </w:rPr>
                    <w:t>/</w:t>
                  </w:r>
                </w:p>
              </w:tc>
              <w:tc>
                <w:tcPr>
                  <w:tcW w:w="1224" w:type="pct"/>
                  <w:tcBorders>
                    <w:tl2br w:val="nil"/>
                    <w:tr2bl w:val="nil"/>
                  </w:tcBorders>
                  <w:noWrap w:val="0"/>
                  <w:vAlign w:val="center"/>
                </w:tcPr>
                <w:p w14:paraId="775C16C3">
                  <w:pPr>
                    <w:spacing w:line="360" w:lineRule="exact"/>
                    <w:jc w:val="center"/>
                    <w:rPr>
                      <w:rFonts w:ascii="Times New Roman" w:hAnsi="Times New Roman"/>
                      <w:szCs w:val="21"/>
                    </w:rPr>
                  </w:pPr>
                  <w:r>
                    <w:rPr>
                      <w:rFonts w:ascii="Times New Roman" w:hAnsi="Times New Roman"/>
                      <w:szCs w:val="21"/>
                    </w:rPr>
                    <w:t>/</w:t>
                  </w:r>
                </w:p>
              </w:tc>
              <w:tc>
                <w:tcPr>
                  <w:tcW w:w="1741" w:type="pct"/>
                  <w:tcBorders>
                    <w:tl2br w:val="nil"/>
                    <w:tr2bl w:val="nil"/>
                  </w:tcBorders>
                  <w:noWrap w:val="0"/>
                  <w:vAlign w:val="center"/>
                </w:tcPr>
                <w:p w14:paraId="1ADD50ED">
                  <w:pPr>
                    <w:spacing w:line="360" w:lineRule="exact"/>
                    <w:jc w:val="center"/>
                    <w:rPr>
                      <w:rFonts w:ascii="Times New Roman" w:hAnsi="Times New Roman"/>
                      <w:szCs w:val="21"/>
                    </w:rPr>
                  </w:pPr>
                  <w:r>
                    <w:rPr>
                      <w:rFonts w:ascii="Times New Roman" w:hAnsi="Times New Roman"/>
                      <w:szCs w:val="21"/>
                    </w:rPr>
                    <w:t>1.5</w:t>
                  </w:r>
                </w:p>
              </w:tc>
            </w:tr>
            <w:tr w14:paraId="5CF741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0" w:type="pct"/>
                  <w:tcBorders>
                    <w:tl2br w:val="nil"/>
                    <w:tr2bl w:val="nil"/>
                  </w:tcBorders>
                  <w:noWrap w:val="0"/>
                  <w:vAlign w:val="center"/>
                </w:tcPr>
                <w:p w14:paraId="70C8E56F">
                  <w:pPr>
                    <w:jc w:val="center"/>
                    <w:rPr>
                      <w:rFonts w:ascii="Times New Roman" w:hAnsi="Times New Roman"/>
                      <w:szCs w:val="21"/>
                    </w:rPr>
                  </w:pPr>
                  <w:r>
                    <w:rPr>
                      <w:rFonts w:ascii="Times New Roman" w:hAnsi="Times New Roman"/>
                      <w:szCs w:val="21"/>
                    </w:rPr>
                    <w:t>臭气浓度</w:t>
                  </w:r>
                </w:p>
              </w:tc>
              <w:tc>
                <w:tcPr>
                  <w:tcW w:w="1125" w:type="pct"/>
                  <w:tcBorders>
                    <w:tl2br w:val="nil"/>
                    <w:tr2bl w:val="nil"/>
                  </w:tcBorders>
                  <w:noWrap w:val="0"/>
                  <w:vAlign w:val="center"/>
                </w:tcPr>
                <w:p w14:paraId="0BD98311">
                  <w:pPr>
                    <w:autoSpaceDE w:val="0"/>
                    <w:autoSpaceDN w:val="0"/>
                    <w:jc w:val="center"/>
                    <w:rPr>
                      <w:rFonts w:ascii="Times New Roman" w:hAnsi="Times New Roman"/>
                      <w:szCs w:val="21"/>
                    </w:rPr>
                  </w:pPr>
                  <w:r>
                    <w:rPr>
                      <w:rFonts w:ascii="Times New Roman" w:hAnsi="Times New Roman"/>
                      <w:szCs w:val="21"/>
                    </w:rPr>
                    <w:t>15</w:t>
                  </w:r>
                </w:p>
              </w:tc>
              <w:tc>
                <w:tcPr>
                  <w:tcW w:w="1224" w:type="pct"/>
                  <w:tcBorders>
                    <w:tl2br w:val="nil"/>
                    <w:tr2bl w:val="nil"/>
                  </w:tcBorders>
                  <w:noWrap w:val="0"/>
                  <w:vAlign w:val="center"/>
                </w:tcPr>
                <w:p w14:paraId="710EAD3F">
                  <w:pPr>
                    <w:autoSpaceDE w:val="0"/>
                    <w:autoSpaceDN w:val="0"/>
                    <w:jc w:val="center"/>
                    <w:rPr>
                      <w:rFonts w:ascii="Times New Roman" w:hAnsi="Times New Roman"/>
                      <w:szCs w:val="21"/>
                    </w:rPr>
                  </w:pPr>
                  <w:r>
                    <w:rPr>
                      <w:rFonts w:ascii="Times New Roman" w:hAnsi="Times New Roman"/>
                      <w:szCs w:val="21"/>
                    </w:rPr>
                    <w:t>2000（无量纲）</w:t>
                  </w:r>
                </w:p>
              </w:tc>
              <w:tc>
                <w:tcPr>
                  <w:tcW w:w="1741" w:type="pct"/>
                  <w:tcBorders>
                    <w:tl2br w:val="nil"/>
                    <w:tr2bl w:val="nil"/>
                  </w:tcBorders>
                  <w:noWrap w:val="0"/>
                  <w:vAlign w:val="center"/>
                </w:tcPr>
                <w:p w14:paraId="235E0126">
                  <w:pPr>
                    <w:snapToGrid w:val="0"/>
                    <w:ind w:left="42" w:leftChars="20" w:right="42" w:rightChars="20"/>
                    <w:jc w:val="center"/>
                    <w:rPr>
                      <w:rFonts w:ascii="Times New Roman" w:hAnsi="Times New Roman"/>
                      <w:szCs w:val="21"/>
                    </w:rPr>
                  </w:pPr>
                  <w:r>
                    <w:rPr>
                      <w:rFonts w:ascii="Times New Roman" w:hAnsi="Times New Roman"/>
                      <w:szCs w:val="21"/>
                    </w:rPr>
                    <w:t>20（无量纲）</w:t>
                  </w:r>
                </w:p>
              </w:tc>
            </w:tr>
          </w:tbl>
          <w:p w14:paraId="47C2A5E7">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p>
          <w:p w14:paraId="6C4AB71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2.废水</w:t>
            </w:r>
          </w:p>
          <w:p w14:paraId="4CC7672C">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项目排水采用雨、污分流制；</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冷却水循环使用，不外排</w:t>
            </w:r>
            <w:r>
              <w:rPr>
                <w:rFonts w:hint="eastAsia" w:cs="Times New Roman"/>
                <w:caps w:val="0"/>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潮湿废水经沉淀池处理后每周排放一次，生活污水经隔油池+化粪池预处理，经处理后的潮湿废水与生活污水一并经市政管网排入芜湖市城南污水处理厂处理</w:t>
            </w: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，尾水排入长江</w:t>
            </w:r>
            <w:r>
              <w:rPr>
                <w:rFonts w:hint="default" w:ascii="Times New Roman" w:hAnsi="Times New Roman" w:eastAsia="宋体" w:cs="Times New Roman"/>
                <w:caps w:val="0"/>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芜湖段</w:t>
            </w:r>
            <w:r>
              <w:rPr>
                <w:rFonts w:hint="default" w:ascii="Times New Roman" w:hAnsi="Times New Roman" w:eastAsia="宋体" w:cs="Times New Roman"/>
                <w:caps w:val="0"/>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废水排放执行</w:t>
            </w: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《污水综合排放标准》（GB8978-1996）表4中的三级标准，出水标准执行《城镇污水处理厂污染物排放标准》（GB18918-2002）表1中一级A标准，具体标准值见表3-</w:t>
            </w:r>
            <w:r>
              <w:rPr>
                <w:rFonts w:hint="eastAsia" w:cs="Times New Roman"/>
                <w:caps w:val="0"/>
                <w:color w:val="000000" w:themeColor="text1"/>
                <w:kern w:val="0"/>
                <w:sz w:val="24"/>
                <w:highlight w:val="none"/>
                <w:lang w:val="en-US" w:eastAsia="zh-CN"/>
                <w14:textFill>
                  <w14:solidFill>
                    <w14:schemeClr w14:val="tx1"/>
                  </w14:solidFill>
                </w14:textFill>
              </w:rPr>
              <w:t>8</w:t>
            </w: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w:t>
            </w:r>
          </w:p>
          <w:p w14:paraId="1F8E2A08">
            <w:pPr>
              <w:widowControl/>
              <w:adjustRightInd w:val="0"/>
              <w:spacing w:line="440" w:lineRule="exact"/>
              <w:ind w:firstLine="482" w:firstLineChars="200"/>
              <w:jc w:val="center"/>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表3-</w:t>
            </w:r>
            <w:r>
              <w:rPr>
                <w:rFonts w:hint="eastAsia" w:cs="Times New Roman"/>
                <w:b/>
                <w:caps w:val="0"/>
                <w:color w:val="000000" w:themeColor="text1"/>
                <w:sz w:val="24"/>
                <w:highlight w:val="none"/>
                <w:lang w:val="en-US" w:eastAsia="zh-CN"/>
                <w14:textFill>
                  <w14:solidFill>
                    <w14:schemeClr w14:val="tx1"/>
                  </w14:solidFill>
                </w14:textFill>
              </w:rPr>
              <w:t>8</w:t>
            </w:r>
            <w:r>
              <w:rPr>
                <w:rFonts w:hint="default" w:ascii="Times New Roman" w:hAnsi="Times New Roman" w:eastAsia="宋体" w:cs="Times New Roman"/>
                <w:b/>
                <w:caps w:val="0"/>
                <w:color w:val="000000" w:themeColor="text1"/>
                <w:sz w:val="24"/>
                <w:highlight w:val="none"/>
                <w14:textFill>
                  <w14:solidFill>
                    <w14:schemeClr w14:val="tx1"/>
                  </w14:solidFill>
                </w14:textFill>
              </w:rPr>
              <w:t xml:space="preserve">  污水排放标准  单位：mg/L，pH 为无量纲</w:t>
            </w:r>
          </w:p>
          <w:tbl>
            <w:tblPr>
              <w:tblStyle w:val="21"/>
              <w:tblW w:w="781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20"/>
              <w:gridCol w:w="663"/>
              <w:gridCol w:w="884"/>
              <w:gridCol w:w="973"/>
              <w:gridCol w:w="708"/>
              <w:gridCol w:w="869"/>
              <w:gridCol w:w="999"/>
            </w:tblGrid>
            <w:tr w14:paraId="0DA16E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740" w:type="pct"/>
                  <w:tcBorders>
                    <w:tl2br w:val="nil"/>
                    <w:tr2bl w:val="nil"/>
                  </w:tcBorders>
                  <w:noWrap w:val="0"/>
                  <w:vAlign w:val="center"/>
                </w:tcPr>
                <w:p w14:paraId="70DD10AF">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污染物</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排放</w:t>
                  </w:r>
                  <w:r>
                    <w:rPr>
                      <w:rFonts w:hint="default" w:ascii="Times New Roman" w:hAnsi="Times New Roman" w:eastAsia="宋体" w:cs="Times New Roman"/>
                      <w:caps w:val="0"/>
                      <w:color w:val="000000" w:themeColor="text1"/>
                      <w:szCs w:val="21"/>
                      <w:highlight w:val="none"/>
                      <w14:textFill>
                        <w14:solidFill>
                          <w14:schemeClr w14:val="tx1"/>
                        </w14:solidFill>
                      </w14:textFill>
                    </w:rPr>
                    <w:t>标准</w:t>
                  </w:r>
                </w:p>
              </w:tc>
              <w:tc>
                <w:tcPr>
                  <w:tcW w:w="424" w:type="pct"/>
                  <w:tcBorders>
                    <w:tl2br w:val="nil"/>
                    <w:tr2bl w:val="nil"/>
                  </w:tcBorders>
                  <w:noWrap w:val="0"/>
                  <w:vAlign w:val="center"/>
                </w:tcPr>
                <w:p w14:paraId="1A4690C9">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pH</w:t>
                  </w:r>
                </w:p>
              </w:tc>
              <w:tc>
                <w:tcPr>
                  <w:tcW w:w="565" w:type="pct"/>
                  <w:tcBorders>
                    <w:tl2br w:val="nil"/>
                    <w:tr2bl w:val="nil"/>
                  </w:tcBorders>
                  <w:noWrap w:val="0"/>
                  <w:vAlign w:val="center"/>
                </w:tcPr>
                <w:p w14:paraId="17E5974F">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COD</w:t>
                  </w:r>
                </w:p>
              </w:tc>
              <w:tc>
                <w:tcPr>
                  <w:tcW w:w="622" w:type="pct"/>
                  <w:tcBorders>
                    <w:tl2br w:val="nil"/>
                    <w:tr2bl w:val="nil"/>
                  </w:tcBorders>
                  <w:noWrap w:val="0"/>
                  <w:vAlign w:val="center"/>
                </w:tcPr>
                <w:p w14:paraId="669FEF72">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BOD</w:t>
                  </w:r>
                  <w:r>
                    <w:rPr>
                      <w:rFonts w:hint="default" w:ascii="Times New Roman" w:hAnsi="Times New Roman" w:eastAsia="宋体" w:cs="Times New Roman"/>
                      <w:caps w:val="0"/>
                      <w:color w:val="000000" w:themeColor="text1"/>
                      <w:szCs w:val="21"/>
                      <w:highlight w:val="none"/>
                      <w:vertAlign w:val="subscript"/>
                      <w14:textFill>
                        <w14:solidFill>
                          <w14:schemeClr w14:val="tx1"/>
                        </w14:solidFill>
                      </w14:textFill>
                    </w:rPr>
                    <w:t>5</w:t>
                  </w:r>
                </w:p>
              </w:tc>
              <w:tc>
                <w:tcPr>
                  <w:tcW w:w="452" w:type="pct"/>
                  <w:tcBorders>
                    <w:tl2br w:val="nil"/>
                    <w:tr2bl w:val="nil"/>
                  </w:tcBorders>
                  <w:noWrap w:val="0"/>
                  <w:vAlign w:val="center"/>
                </w:tcPr>
                <w:p w14:paraId="262F60A2">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SS</w:t>
                  </w:r>
                </w:p>
              </w:tc>
              <w:tc>
                <w:tcPr>
                  <w:tcW w:w="555" w:type="pct"/>
                  <w:tcBorders>
                    <w:tl2br w:val="nil"/>
                    <w:tr2bl w:val="nil"/>
                  </w:tcBorders>
                  <w:noWrap w:val="0"/>
                  <w:vAlign w:val="center"/>
                </w:tcPr>
                <w:p w14:paraId="051E21C6">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氨氮</w:t>
                  </w:r>
                </w:p>
              </w:tc>
              <w:tc>
                <w:tcPr>
                  <w:tcW w:w="639" w:type="pct"/>
                  <w:tcBorders>
                    <w:tl2br w:val="nil"/>
                    <w:tr2bl w:val="nil"/>
                  </w:tcBorders>
                  <w:noWrap w:val="0"/>
                  <w:vAlign w:val="center"/>
                </w:tcPr>
                <w:p w14:paraId="224B9AEA">
                  <w:pPr>
                    <w:adjustRightIn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动植物油</w:t>
                  </w:r>
                </w:p>
              </w:tc>
            </w:tr>
            <w:tr w14:paraId="011F29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740" w:type="pct"/>
                  <w:tcBorders>
                    <w:tl2br w:val="nil"/>
                    <w:tr2bl w:val="nil"/>
                  </w:tcBorders>
                  <w:noWrap w:val="0"/>
                  <w:vAlign w:val="center"/>
                </w:tcPr>
                <w:p w14:paraId="1FF83DEB">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GB8978-1996表4三级标准</w:t>
                  </w:r>
                </w:p>
              </w:tc>
              <w:tc>
                <w:tcPr>
                  <w:tcW w:w="424" w:type="pct"/>
                  <w:tcBorders>
                    <w:tl2br w:val="nil"/>
                    <w:tr2bl w:val="nil"/>
                  </w:tcBorders>
                  <w:noWrap w:val="0"/>
                  <w:vAlign w:val="center"/>
                </w:tcPr>
                <w:p w14:paraId="544E3C50">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6-9</w:t>
                  </w:r>
                </w:p>
              </w:tc>
              <w:tc>
                <w:tcPr>
                  <w:tcW w:w="565" w:type="pct"/>
                  <w:tcBorders>
                    <w:tl2br w:val="nil"/>
                    <w:tr2bl w:val="nil"/>
                  </w:tcBorders>
                  <w:noWrap w:val="0"/>
                  <w:vAlign w:val="center"/>
                </w:tcPr>
                <w:p w14:paraId="42117F59">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500</w:t>
                  </w:r>
                </w:p>
              </w:tc>
              <w:tc>
                <w:tcPr>
                  <w:tcW w:w="622" w:type="pct"/>
                  <w:tcBorders>
                    <w:tl2br w:val="nil"/>
                    <w:tr2bl w:val="nil"/>
                  </w:tcBorders>
                  <w:noWrap w:val="0"/>
                  <w:vAlign w:val="center"/>
                </w:tcPr>
                <w:p w14:paraId="28AE2114">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300</w:t>
                  </w:r>
                </w:p>
              </w:tc>
              <w:tc>
                <w:tcPr>
                  <w:tcW w:w="452" w:type="pct"/>
                  <w:tcBorders>
                    <w:tl2br w:val="nil"/>
                    <w:tr2bl w:val="nil"/>
                  </w:tcBorders>
                  <w:noWrap w:val="0"/>
                  <w:vAlign w:val="center"/>
                </w:tcPr>
                <w:p w14:paraId="7222842A">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400</w:t>
                  </w:r>
                </w:p>
              </w:tc>
              <w:tc>
                <w:tcPr>
                  <w:tcW w:w="555" w:type="pct"/>
                  <w:tcBorders>
                    <w:tl2br w:val="nil"/>
                    <w:tr2bl w:val="nil"/>
                  </w:tcBorders>
                  <w:noWrap w:val="0"/>
                  <w:vAlign w:val="center"/>
                </w:tcPr>
                <w:p w14:paraId="0327CC7B">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w:t>
                  </w:r>
                </w:p>
              </w:tc>
              <w:tc>
                <w:tcPr>
                  <w:tcW w:w="639" w:type="pct"/>
                  <w:tcBorders>
                    <w:tl2br w:val="nil"/>
                    <w:tr2bl w:val="nil"/>
                  </w:tcBorders>
                  <w:noWrap w:val="0"/>
                  <w:vAlign w:val="center"/>
                </w:tcPr>
                <w:p w14:paraId="6E4FEAFF">
                  <w:pPr>
                    <w:adjustRightIn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100</w:t>
                  </w:r>
                </w:p>
              </w:tc>
            </w:tr>
            <w:tr w14:paraId="668CC9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40" w:type="pct"/>
                  <w:tcBorders>
                    <w:tl2br w:val="nil"/>
                    <w:tr2bl w:val="nil"/>
                  </w:tcBorders>
                  <w:noWrap w:val="0"/>
                  <w:vAlign w:val="center"/>
                </w:tcPr>
                <w:p w14:paraId="52C27452">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GB18918-2002）表1一级A标准</w:t>
                  </w:r>
                </w:p>
              </w:tc>
              <w:tc>
                <w:tcPr>
                  <w:tcW w:w="424" w:type="pct"/>
                  <w:tcBorders>
                    <w:tl2br w:val="nil"/>
                    <w:tr2bl w:val="nil"/>
                  </w:tcBorders>
                  <w:noWrap w:val="0"/>
                  <w:vAlign w:val="center"/>
                </w:tcPr>
                <w:p w14:paraId="2094B330">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6-9</w:t>
                  </w:r>
                </w:p>
              </w:tc>
              <w:tc>
                <w:tcPr>
                  <w:tcW w:w="565" w:type="pct"/>
                  <w:tcBorders>
                    <w:tl2br w:val="nil"/>
                    <w:tr2bl w:val="nil"/>
                  </w:tcBorders>
                  <w:noWrap w:val="0"/>
                  <w:vAlign w:val="center"/>
                </w:tcPr>
                <w:p w14:paraId="33676FB0">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50</w:t>
                  </w:r>
                </w:p>
              </w:tc>
              <w:tc>
                <w:tcPr>
                  <w:tcW w:w="622" w:type="pct"/>
                  <w:tcBorders>
                    <w:tl2br w:val="nil"/>
                    <w:tr2bl w:val="nil"/>
                  </w:tcBorders>
                  <w:noWrap w:val="0"/>
                  <w:vAlign w:val="center"/>
                </w:tcPr>
                <w:p w14:paraId="05E82AF2">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10</w:t>
                  </w:r>
                </w:p>
              </w:tc>
              <w:tc>
                <w:tcPr>
                  <w:tcW w:w="452" w:type="pct"/>
                  <w:tcBorders>
                    <w:tl2br w:val="nil"/>
                    <w:tr2bl w:val="nil"/>
                  </w:tcBorders>
                  <w:noWrap w:val="0"/>
                  <w:vAlign w:val="center"/>
                </w:tcPr>
                <w:p w14:paraId="41FD6B17">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10</w:t>
                  </w:r>
                </w:p>
              </w:tc>
              <w:tc>
                <w:tcPr>
                  <w:tcW w:w="555" w:type="pct"/>
                  <w:tcBorders>
                    <w:tl2br w:val="nil"/>
                    <w:tr2bl w:val="nil"/>
                  </w:tcBorders>
                  <w:noWrap w:val="0"/>
                  <w:vAlign w:val="center"/>
                </w:tcPr>
                <w:p w14:paraId="2F239CCC">
                  <w:pPr>
                    <w:adjustRightIn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5（8）</w:t>
                  </w:r>
                </w:p>
              </w:tc>
              <w:tc>
                <w:tcPr>
                  <w:tcW w:w="639" w:type="pct"/>
                  <w:tcBorders>
                    <w:tl2br w:val="nil"/>
                    <w:tr2bl w:val="nil"/>
                  </w:tcBorders>
                  <w:noWrap w:val="0"/>
                  <w:vAlign w:val="center"/>
                </w:tcPr>
                <w:p w14:paraId="5A3DD563">
                  <w:pPr>
                    <w:adjustRightIn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1</w:t>
                  </w:r>
                </w:p>
              </w:tc>
            </w:tr>
          </w:tbl>
          <w:p w14:paraId="3D169A10">
            <w:pPr>
              <w:widowControl/>
              <w:adjustRightInd w:val="0"/>
              <w:snapToGrid w:val="0"/>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*注：括号外数值水温&gt;12℃时的控制指标，括号内数值为水温≤12℃时的控制指标。</w:t>
            </w:r>
          </w:p>
          <w:p w14:paraId="22F8025A">
            <w:pPr>
              <w:spacing w:line="360" w:lineRule="auto"/>
              <w:ind w:firstLine="472" w:firstLineChars="196"/>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3.噪声</w:t>
            </w:r>
          </w:p>
          <w:p w14:paraId="681C8CB3">
            <w:pPr>
              <w:spacing w:line="360" w:lineRule="auto"/>
              <w:ind w:left="-2" w:leftChars="-1"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项目施工期噪声执行《建筑施工场界环境噪声排放标准》（GB 12523－2011）；</w:t>
            </w:r>
            <w:r>
              <w:rPr>
                <w:rFonts w:hint="eastAsia" w:cs="Times New Roman"/>
                <w:caps w:val="0"/>
                <w:color w:val="000000" w:themeColor="text1"/>
                <w:sz w:val="24"/>
                <w:highlight w:val="none"/>
                <w:lang w:val="en-US" w:eastAsia="zh-CN"/>
                <w14:textFill>
                  <w14:solidFill>
                    <w14:schemeClr w14:val="tx1"/>
                  </w14:solidFill>
                </w14:textFill>
              </w:rPr>
              <w:t>对照《《芜湖市声环境功能区划分方案》，</w:t>
            </w:r>
            <w:r>
              <w:rPr>
                <w:rFonts w:hint="default" w:ascii="Times New Roman" w:hAnsi="Times New Roman" w:eastAsia="宋体" w:cs="Times New Roman"/>
                <w:caps w:val="0"/>
                <w:color w:val="000000" w:themeColor="text1"/>
                <w:sz w:val="24"/>
                <w:highlight w:val="none"/>
                <w14:textFill>
                  <w14:solidFill>
                    <w14:schemeClr w14:val="tx1"/>
                  </w14:solidFill>
                </w14:textFill>
              </w:rPr>
              <w:t>项目运营期</w:t>
            </w:r>
            <w:r>
              <w:rPr>
                <w:rFonts w:hint="eastAsia" w:cs="Times New Roman"/>
                <w:caps w:val="0"/>
                <w:color w:val="000000" w:themeColor="text1"/>
                <w:sz w:val="24"/>
                <w:highlight w:val="none"/>
                <w:lang w:val="en-US" w:eastAsia="zh-CN"/>
                <w14:textFill>
                  <w14:solidFill>
                    <w14:schemeClr w14:val="tx1"/>
                  </w14:solidFill>
                </w14:textFill>
              </w:rPr>
              <w:t>西</w:t>
            </w:r>
            <w:r>
              <w:rPr>
                <w:rFonts w:hint="default" w:ascii="Times New Roman" w:hAnsi="Times New Roman" w:eastAsia="宋体" w:cs="Times New Roman"/>
                <w:caps w:val="0"/>
                <w:color w:val="000000" w:themeColor="text1"/>
                <w:sz w:val="24"/>
                <w:highlight w:val="none"/>
                <w14:textFill>
                  <w14:solidFill>
                    <w14:schemeClr w14:val="tx1"/>
                  </w14:solidFill>
                </w14:textFill>
              </w:rPr>
              <w:t>厂界噪声执行《工业企业厂界环境噪声排放标准》（</w:t>
            </w:r>
            <w:r>
              <w:rPr>
                <w:rFonts w:hint="default" w:ascii="Times New Roman" w:hAnsi="Times New Roman" w:eastAsia="宋体" w:cs="Times New Roman"/>
                <w:bCs/>
                <w:caps w:val="0"/>
                <w:color w:val="000000" w:themeColor="text1"/>
                <w:sz w:val="24"/>
                <w:highlight w:val="none"/>
                <w14:textFill>
                  <w14:solidFill>
                    <w14:schemeClr w14:val="tx1"/>
                  </w14:solidFill>
                </w14:textFill>
              </w:rPr>
              <w:t>GB12348-2008）</w:t>
            </w:r>
            <w:r>
              <w:rPr>
                <w:rFonts w:hint="default" w:ascii="Times New Roman" w:hAnsi="Times New Roman" w:eastAsia="宋体" w:cs="Times New Roman"/>
                <w:caps w:val="0"/>
                <w:color w:val="000000" w:themeColor="text1"/>
                <w:sz w:val="24"/>
                <w:highlight w:val="none"/>
                <w14:textFill>
                  <w14:solidFill>
                    <w14:schemeClr w14:val="tx1"/>
                  </w14:solidFill>
                </w14:textFill>
              </w:rPr>
              <w:t>中的</w:t>
            </w:r>
            <w:r>
              <w:rPr>
                <w:rFonts w:hint="eastAsia" w:cs="Times New Roman"/>
                <w:caps w:val="0"/>
                <w:color w:val="000000" w:themeColor="text1"/>
                <w:sz w:val="24"/>
                <w:highlight w:val="none"/>
                <w:lang w:val="en-US" w:eastAsia="zh-CN"/>
                <w14:textFill>
                  <w14:solidFill>
                    <w14:schemeClr w14:val="tx1"/>
                  </w14:solidFill>
                </w14:textFill>
              </w:rPr>
              <w:t>4a</w:t>
            </w:r>
            <w:r>
              <w:rPr>
                <w:rFonts w:hint="default" w:ascii="Times New Roman" w:hAnsi="Times New Roman" w:eastAsia="宋体" w:cs="Times New Roman"/>
                <w:caps w:val="0"/>
                <w:color w:val="000000" w:themeColor="text1"/>
                <w:sz w:val="24"/>
                <w:highlight w:val="none"/>
                <w14:textFill>
                  <w14:solidFill>
                    <w14:schemeClr w14:val="tx1"/>
                  </w14:solidFill>
                </w14:textFill>
              </w:rPr>
              <w:t>类标准</w:t>
            </w:r>
            <w:r>
              <w:rPr>
                <w:rFonts w:hint="eastAsia" w:cs="Times New Roman"/>
                <w:caps w:val="0"/>
                <w:color w:val="000000" w:themeColor="text1"/>
                <w:sz w:val="24"/>
                <w:highlight w:val="none"/>
                <w:lang w:eastAsia="zh-CN"/>
                <w14:textFill>
                  <w14:solidFill>
                    <w14:schemeClr w14:val="tx1"/>
                  </w14:solidFill>
                </w14:textFill>
              </w:rPr>
              <w:t>，</w:t>
            </w:r>
            <w:r>
              <w:rPr>
                <w:rFonts w:hint="eastAsia" w:cs="Times New Roman"/>
                <w:caps w:val="0"/>
                <w:color w:val="000000" w:themeColor="text1"/>
                <w:sz w:val="24"/>
                <w:highlight w:val="none"/>
                <w:lang w:val="en-US" w:eastAsia="zh-CN"/>
                <w14:textFill>
                  <w14:solidFill>
                    <w14:schemeClr w14:val="tx1"/>
                  </w14:solidFill>
                </w14:textFill>
              </w:rPr>
              <w:t>其余厂界厂界执行3类标准</w:t>
            </w:r>
            <w:r>
              <w:rPr>
                <w:rFonts w:hint="default" w:ascii="Times New Roman" w:hAnsi="Times New Roman" w:eastAsia="宋体" w:cs="Times New Roman"/>
                <w:caps w:val="0"/>
                <w:color w:val="000000" w:themeColor="text1"/>
                <w:sz w:val="24"/>
                <w:highlight w:val="none"/>
                <w14:textFill>
                  <w14:solidFill>
                    <w14:schemeClr w14:val="tx1"/>
                  </w14:solidFill>
                </w14:textFill>
              </w:rPr>
              <w:t>。</w:t>
            </w:r>
          </w:p>
          <w:p w14:paraId="704EB243">
            <w:pPr>
              <w:pStyle w:val="56"/>
              <w:spacing w:beforeLines="0" w:afterLines="0" w:line="240" w:lineRule="auto"/>
              <w:ind w:left="643" w:hanging="643" w:hangingChars="267"/>
              <w:rPr>
                <w:rFonts w:hint="default" w:ascii="Times New Roman" w:hAnsi="Times New Roman" w:eastAsia="宋体" w:cs="Times New Roman"/>
                <w:caps w:val="0"/>
                <w:color w:val="000000" w:themeColor="text1"/>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表3-</w:t>
            </w:r>
            <w:r>
              <w:rPr>
                <w:rFonts w:hint="eastAsia" w:cs="Times New Roman"/>
                <w:caps w:val="0"/>
                <w:color w:val="000000" w:themeColor="text1"/>
                <w:highlight w:val="none"/>
                <w:lang w:val="en-US" w:eastAsia="zh-CN"/>
                <w14:textFill>
                  <w14:solidFill>
                    <w14:schemeClr w14:val="tx1"/>
                  </w14:solidFill>
                </w14:textFill>
              </w:rPr>
              <w:t>9</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highlight w:val="none"/>
                <w14:textFill>
                  <w14:solidFill>
                    <w14:schemeClr w14:val="tx1"/>
                  </w14:solidFill>
                </w14:textFill>
              </w:rPr>
              <w:t xml:space="preserve"> 项目环境噪声排放标准     单位：dB</w:t>
            </w:r>
            <w:r>
              <w:rPr>
                <w:rFonts w:hint="default" w:ascii="Times New Roman" w:hAnsi="Times New Roman" w:eastAsia="宋体" w:cs="Times New Roman"/>
                <w:caps w:val="0"/>
                <w:color w:val="000000" w:themeColor="text1"/>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highlight w:val="none"/>
                <w14:textFill>
                  <w14:solidFill>
                    <w14:schemeClr w14:val="tx1"/>
                  </w14:solidFill>
                </w14:textFill>
              </w:rPr>
              <w:t>A</w:t>
            </w:r>
            <w:r>
              <w:rPr>
                <w:rFonts w:hint="default" w:ascii="Times New Roman" w:hAnsi="Times New Roman" w:eastAsia="宋体" w:cs="Times New Roman"/>
                <w:caps w:val="0"/>
                <w:color w:val="000000" w:themeColor="text1"/>
                <w:highlight w:val="none"/>
                <w:lang w:eastAsia="zh-CN"/>
                <w14:textFill>
                  <w14:solidFill>
                    <w14:schemeClr w14:val="tx1"/>
                  </w14:solidFill>
                </w14:textFill>
              </w:rPr>
              <w:t>）</w:t>
            </w:r>
          </w:p>
          <w:tbl>
            <w:tblPr>
              <w:tblStyle w:val="21"/>
              <w:tblW w:w="782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4"/>
              <w:gridCol w:w="780"/>
              <w:gridCol w:w="1170"/>
              <w:gridCol w:w="1097"/>
              <w:gridCol w:w="1200"/>
              <w:gridCol w:w="2796"/>
            </w:tblGrid>
            <w:tr w14:paraId="206459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84" w:type="dxa"/>
                  <w:vMerge w:val="restart"/>
                  <w:tcBorders>
                    <w:tl2br w:val="nil"/>
                    <w:tr2bl w:val="nil"/>
                  </w:tcBorders>
                  <w:vAlign w:val="center"/>
                </w:tcPr>
                <w:p w14:paraId="4389A1E9">
                  <w:pPr>
                    <w:jc w:val="center"/>
                    <w:rPr>
                      <w:rFonts w:hint="default" w:ascii="Times New Roman" w:hAnsi="Times New Roman" w:eastAsia="宋体" w:cs="Times New Roman"/>
                      <w:b/>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aps w:val="0"/>
                      <w:color w:val="000000" w:themeColor="text1"/>
                      <w:szCs w:val="21"/>
                      <w:highlight w:val="none"/>
                      <w:lang w:eastAsia="zh-CN"/>
                      <w14:textFill>
                        <w14:solidFill>
                          <w14:schemeClr w14:val="tx1"/>
                        </w14:solidFill>
                      </w14:textFill>
                    </w:rPr>
                    <w:t>/</w:t>
                  </w:r>
                </w:p>
              </w:tc>
              <w:tc>
                <w:tcPr>
                  <w:tcW w:w="780" w:type="dxa"/>
                  <w:vMerge w:val="restart"/>
                  <w:tcBorders>
                    <w:tl2br w:val="nil"/>
                    <w:tr2bl w:val="nil"/>
                  </w:tcBorders>
                  <w:vAlign w:val="center"/>
                </w:tcPr>
                <w:p w14:paraId="61DCEA84">
                  <w:pPr>
                    <w:jc w:val="cente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类别</w:t>
                  </w:r>
                </w:p>
              </w:tc>
              <w:tc>
                <w:tcPr>
                  <w:tcW w:w="1170" w:type="dxa"/>
                  <w:vMerge w:val="restart"/>
                  <w:tcBorders>
                    <w:tl2br w:val="nil"/>
                    <w:tr2bl w:val="nil"/>
                  </w:tcBorders>
                  <w:vAlign w:val="center"/>
                </w:tcPr>
                <w:p w14:paraId="3B358877">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eastAsia" w:cs="Times New Roman"/>
                      <w:b/>
                      <w:caps w:val="0"/>
                      <w:color w:val="000000" w:themeColor="text1"/>
                      <w:szCs w:val="21"/>
                      <w:highlight w:val="none"/>
                      <w:lang w:val="en-US" w:eastAsia="zh-CN"/>
                      <w14:textFill>
                        <w14:solidFill>
                          <w14:schemeClr w14:val="tx1"/>
                        </w14:solidFill>
                      </w14:textFill>
                    </w:rPr>
                    <w:t>方位</w:t>
                  </w:r>
                </w:p>
              </w:tc>
              <w:tc>
                <w:tcPr>
                  <w:tcW w:w="2297" w:type="dxa"/>
                  <w:gridSpan w:val="2"/>
                  <w:tcBorders>
                    <w:tl2br w:val="nil"/>
                    <w:tr2bl w:val="nil"/>
                  </w:tcBorders>
                  <w:vAlign w:val="center"/>
                </w:tcPr>
                <w:p w14:paraId="725021BD">
                  <w:pPr>
                    <w:jc w:val="center"/>
                    <w:rPr>
                      <w:rFonts w:hint="default" w:ascii="Times New Roman" w:hAnsi="Times New Roman" w:eastAsia="宋体" w:cs="Times New Roman"/>
                      <w:b/>
                      <w:cap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标准值dB</w:t>
                  </w:r>
                  <w:r>
                    <w:rPr>
                      <w:rFonts w:hint="default" w:ascii="Times New Roman" w:hAnsi="Times New Roman" w:eastAsia="宋体" w:cs="Times New Roman"/>
                      <w:b/>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caps w:val="0"/>
                      <w:color w:val="000000" w:themeColor="text1"/>
                      <w:szCs w:val="21"/>
                      <w:highlight w:val="none"/>
                      <w14:textFill>
                        <w14:solidFill>
                          <w14:schemeClr w14:val="tx1"/>
                        </w14:solidFill>
                      </w14:textFill>
                    </w:rPr>
                    <w:t>A</w:t>
                  </w:r>
                  <w:r>
                    <w:rPr>
                      <w:rFonts w:hint="default" w:ascii="Times New Roman" w:hAnsi="Times New Roman" w:eastAsia="宋体" w:cs="Times New Roman"/>
                      <w:b/>
                      <w:caps w:val="0"/>
                      <w:color w:val="000000" w:themeColor="text1"/>
                      <w:szCs w:val="21"/>
                      <w:highlight w:val="none"/>
                      <w:lang w:eastAsia="zh-CN"/>
                      <w14:textFill>
                        <w14:solidFill>
                          <w14:schemeClr w14:val="tx1"/>
                        </w14:solidFill>
                      </w14:textFill>
                    </w:rPr>
                    <w:t>）</w:t>
                  </w:r>
                </w:p>
              </w:tc>
              <w:tc>
                <w:tcPr>
                  <w:tcW w:w="2796" w:type="dxa"/>
                  <w:vMerge w:val="restart"/>
                  <w:tcBorders>
                    <w:tl2br w:val="nil"/>
                    <w:tr2bl w:val="nil"/>
                  </w:tcBorders>
                  <w:vAlign w:val="center"/>
                </w:tcPr>
                <w:p w14:paraId="2B7E60E2">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标准来源</w:t>
                  </w:r>
                </w:p>
              </w:tc>
            </w:tr>
            <w:tr w14:paraId="3E62E6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84" w:type="dxa"/>
                  <w:vMerge w:val="continue"/>
                  <w:tcBorders>
                    <w:tl2br w:val="nil"/>
                    <w:tr2bl w:val="nil"/>
                  </w:tcBorders>
                  <w:vAlign w:val="center"/>
                </w:tcPr>
                <w:p w14:paraId="2C1C30AA">
                  <w:pPr>
                    <w:jc w:val="center"/>
                    <w:rPr>
                      <w:rFonts w:hint="default" w:ascii="Times New Roman" w:hAnsi="Times New Roman" w:eastAsia="宋体" w:cs="Times New Roman"/>
                      <w:b/>
                      <w:caps w:val="0"/>
                      <w:color w:val="000000" w:themeColor="text1"/>
                      <w:szCs w:val="21"/>
                      <w:highlight w:val="none"/>
                      <w:lang w:val="en-US"/>
                      <w14:textFill>
                        <w14:solidFill>
                          <w14:schemeClr w14:val="tx1"/>
                        </w14:solidFill>
                      </w14:textFill>
                    </w:rPr>
                  </w:pPr>
                </w:p>
              </w:tc>
              <w:tc>
                <w:tcPr>
                  <w:tcW w:w="780" w:type="dxa"/>
                  <w:vMerge w:val="continue"/>
                  <w:tcBorders>
                    <w:tl2br w:val="nil"/>
                    <w:tr2bl w:val="nil"/>
                  </w:tcBorders>
                  <w:vAlign w:val="center"/>
                </w:tcPr>
                <w:p w14:paraId="3903C6B7">
                  <w:pPr>
                    <w:jc w:val="center"/>
                    <w:rPr>
                      <w:rFonts w:hint="default" w:ascii="Times New Roman" w:hAnsi="Times New Roman" w:eastAsia="宋体" w:cs="Times New Roman"/>
                      <w:b/>
                      <w:caps w:val="0"/>
                      <w:color w:val="000000" w:themeColor="text1"/>
                      <w:szCs w:val="21"/>
                      <w:highlight w:val="none"/>
                      <w:lang w:val="en-US"/>
                      <w14:textFill>
                        <w14:solidFill>
                          <w14:schemeClr w14:val="tx1"/>
                        </w14:solidFill>
                      </w14:textFill>
                    </w:rPr>
                  </w:pPr>
                </w:p>
              </w:tc>
              <w:tc>
                <w:tcPr>
                  <w:tcW w:w="1170" w:type="dxa"/>
                  <w:vMerge w:val="continue"/>
                  <w:tcBorders>
                    <w:tl2br w:val="nil"/>
                    <w:tr2bl w:val="nil"/>
                  </w:tcBorders>
                  <w:vAlign w:val="center"/>
                </w:tcPr>
                <w:p w14:paraId="6C230828">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p>
              </w:tc>
              <w:tc>
                <w:tcPr>
                  <w:tcW w:w="1097" w:type="dxa"/>
                  <w:tcBorders>
                    <w:tl2br w:val="nil"/>
                    <w:tr2bl w:val="nil"/>
                  </w:tcBorders>
                  <w:vAlign w:val="center"/>
                </w:tcPr>
                <w:p w14:paraId="6967EACF">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昼间</w:t>
                  </w:r>
                </w:p>
              </w:tc>
              <w:tc>
                <w:tcPr>
                  <w:tcW w:w="1200" w:type="dxa"/>
                  <w:tcBorders>
                    <w:tl2br w:val="nil"/>
                    <w:tr2bl w:val="nil"/>
                  </w:tcBorders>
                  <w:vAlign w:val="center"/>
                </w:tcPr>
                <w:p w14:paraId="0AB7E62E">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夜间</w:t>
                  </w:r>
                </w:p>
              </w:tc>
              <w:tc>
                <w:tcPr>
                  <w:tcW w:w="2796" w:type="dxa"/>
                  <w:vMerge w:val="continue"/>
                  <w:tcBorders>
                    <w:tl2br w:val="nil"/>
                    <w:tr2bl w:val="nil"/>
                  </w:tcBorders>
                </w:tcPr>
                <w:p w14:paraId="7558F3CA">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p>
              </w:tc>
            </w:tr>
            <w:tr w14:paraId="31AC99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784" w:type="dxa"/>
                  <w:tcBorders>
                    <w:tl2br w:val="nil"/>
                    <w:tr2bl w:val="nil"/>
                  </w:tcBorders>
                  <w:vAlign w:val="center"/>
                </w:tcPr>
                <w:p w14:paraId="46401516">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施工期</w:t>
                  </w:r>
                </w:p>
              </w:tc>
              <w:tc>
                <w:tcPr>
                  <w:tcW w:w="780" w:type="dxa"/>
                  <w:tcBorders>
                    <w:tl2br w:val="nil"/>
                    <w:tr2bl w:val="nil"/>
                  </w:tcBorders>
                  <w:vAlign w:val="center"/>
                </w:tcPr>
                <w:p w14:paraId="2B626403">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w:t>
                  </w:r>
                </w:p>
              </w:tc>
              <w:tc>
                <w:tcPr>
                  <w:tcW w:w="1170" w:type="dxa"/>
                  <w:tcBorders>
                    <w:tl2br w:val="nil"/>
                    <w:tr2bl w:val="nil"/>
                  </w:tcBorders>
                  <w:vAlign w:val="center"/>
                </w:tcPr>
                <w:p w14:paraId="16759926">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四周厂界</w:t>
                  </w:r>
                </w:p>
              </w:tc>
              <w:tc>
                <w:tcPr>
                  <w:tcW w:w="1097" w:type="dxa"/>
                  <w:tcBorders>
                    <w:tl2br w:val="nil"/>
                    <w:tr2bl w:val="nil"/>
                  </w:tcBorders>
                  <w:vAlign w:val="center"/>
                </w:tcPr>
                <w:p w14:paraId="6701EE99">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70</w:t>
                  </w:r>
                </w:p>
              </w:tc>
              <w:tc>
                <w:tcPr>
                  <w:tcW w:w="1200" w:type="dxa"/>
                  <w:tcBorders>
                    <w:tl2br w:val="nil"/>
                    <w:tr2bl w:val="nil"/>
                  </w:tcBorders>
                  <w:vAlign w:val="center"/>
                </w:tcPr>
                <w:p w14:paraId="5E74621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55*</w:t>
                  </w:r>
                </w:p>
              </w:tc>
              <w:tc>
                <w:tcPr>
                  <w:tcW w:w="2796" w:type="dxa"/>
                  <w:tcBorders>
                    <w:tl2br w:val="nil"/>
                    <w:tr2bl w:val="nil"/>
                  </w:tcBorders>
                </w:tcPr>
                <w:p w14:paraId="7928690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《建筑施工场界环境噪声排放标准》（GB 12523－2011）</w:t>
                  </w:r>
                </w:p>
              </w:tc>
            </w:tr>
            <w:tr w14:paraId="365702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784" w:type="dxa"/>
                  <w:vMerge w:val="restart"/>
                  <w:tcBorders>
                    <w:tl2br w:val="nil"/>
                    <w:tr2bl w:val="nil"/>
                  </w:tcBorders>
                  <w:vAlign w:val="center"/>
                </w:tcPr>
                <w:p w14:paraId="3600C499">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运营期</w:t>
                  </w:r>
                </w:p>
              </w:tc>
              <w:tc>
                <w:tcPr>
                  <w:tcW w:w="780" w:type="dxa"/>
                  <w:tcBorders>
                    <w:tl2br w:val="nil"/>
                    <w:tr2bl w:val="nil"/>
                  </w:tcBorders>
                  <w:vAlign w:val="center"/>
                </w:tcPr>
                <w:p w14:paraId="49F52CB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3类</w:t>
                  </w:r>
                </w:p>
              </w:tc>
              <w:tc>
                <w:tcPr>
                  <w:tcW w:w="1170" w:type="dxa"/>
                  <w:tcBorders>
                    <w:tl2br w:val="nil"/>
                    <w:tr2bl w:val="nil"/>
                  </w:tcBorders>
                  <w:vAlign w:val="center"/>
                </w:tcPr>
                <w:p w14:paraId="702243F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东、南、北厂界</w:t>
                  </w:r>
                </w:p>
              </w:tc>
              <w:tc>
                <w:tcPr>
                  <w:tcW w:w="1097" w:type="dxa"/>
                  <w:tcBorders>
                    <w:tl2br w:val="nil"/>
                    <w:tr2bl w:val="nil"/>
                  </w:tcBorders>
                  <w:vAlign w:val="center"/>
                </w:tcPr>
                <w:p w14:paraId="6134EE2B">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65</w:t>
                  </w:r>
                </w:p>
              </w:tc>
              <w:tc>
                <w:tcPr>
                  <w:tcW w:w="1200" w:type="dxa"/>
                  <w:tcBorders>
                    <w:tl2br w:val="nil"/>
                    <w:tr2bl w:val="nil"/>
                  </w:tcBorders>
                  <w:vAlign w:val="center"/>
                </w:tcPr>
                <w:p w14:paraId="69500F5C">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55</w:t>
                  </w:r>
                </w:p>
              </w:tc>
              <w:tc>
                <w:tcPr>
                  <w:tcW w:w="2796" w:type="dxa"/>
                  <w:vMerge w:val="restart"/>
                  <w:tcBorders>
                    <w:tl2br w:val="nil"/>
                    <w:tr2bl w:val="nil"/>
                  </w:tcBorders>
                  <w:vAlign w:val="center"/>
                </w:tcPr>
                <w:p w14:paraId="5729066D">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《工业企业厂界环境噪声排放标准》（</w:t>
                  </w:r>
                  <w:r>
                    <w:rPr>
                      <w:rFonts w:hint="default" w:ascii="Times New Roman" w:hAnsi="Times New Roman" w:eastAsia="宋体" w:cs="Times New Roman"/>
                      <w:bCs/>
                      <w:caps w:val="0"/>
                      <w:color w:val="000000" w:themeColor="text1"/>
                      <w:szCs w:val="21"/>
                      <w:highlight w:val="none"/>
                      <w14:textFill>
                        <w14:solidFill>
                          <w14:schemeClr w14:val="tx1"/>
                        </w14:solidFill>
                      </w14:textFill>
                    </w:rPr>
                    <w:t>GB12348-2008）</w:t>
                  </w:r>
                </w:p>
              </w:tc>
            </w:tr>
            <w:tr w14:paraId="10C45A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784" w:type="dxa"/>
                  <w:vMerge w:val="continue"/>
                  <w:tcBorders>
                    <w:tl2br w:val="nil"/>
                    <w:tr2bl w:val="nil"/>
                  </w:tcBorders>
                  <w:vAlign w:val="center"/>
                </w:tcPr>
                <w:p w14:paraId="013B092E">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780" w:type="dxa"/>
                  <w:tcBorders>
                    <w:tl2br w:val="nil"/>
                    <w:tr2bl w:val="nil"/>
                  </w:tcBorders>
                  <w:vAlign w:val="center"/>
                </w:tcPr>
                <w:p w14:paraId="684C53F3">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4a类</w:t>
                  </w:r>
                </w:p>
              </w:tc>
              <w:tc>
                <w:tcPr>
                  <w:tcW w:w="1170" w:type="dxa"/>
                  <w:tcBorders>
                    <w:tl2br w:val="nil"/>
                    <w:tr2bl w:val="nil"/>
                  </w:tcBorders>
                  <w:vAlign w:val="center"/>
                </w:tcPr>
                <w:p w14:paraId="02112E8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西厂界</w:t>
                  </w:r>
                </w:p>
              </w:tc>
              <w:tc>
                <w:tcPr>
                  <w:tcW w:w="1097" w:type="dxa"/>
                  <w:tcBorders>
                    <w:tl2br w:val="nil"/>
                    <w:tr2bl w:val="nil"/>
                  </w:tcBorders>
                  <w:vAlign w:val="center"/>
                </w:tcPr>
                <w:p w14:paraId="191CD59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70</w:t>
                  </w:r>
                </w:p>
              </w:tc>
              <w:tc>
                <w:tcPr>
                  <w:tcW w:w="1200" w:type="dxa"/>
                  <w:tcBorders>
                    <w:tl2br w:val="nil"/>
                    <w:tr2bl w:val="nil"/>
                  </w:tcBorders>
                  <w:vAlign w:val="center"/>
                </w:tcPr>
                <w:p w14:paraId="30C99871">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55</w:t>
                  </w:r>
                </w:p>
              </w:tc>
              <w:tc>
                <w:tcPr>
                  <w:tcW w:w="2796" w:type="dxa"/>
                  <w:vMerge w:val="continue"/>
                  <w:tcBorders>
                    <w:tl2br w:val="nil"/>
                    <w:tr2bl w:val="nil"/>
                  </w:tcBorders>
                  <w:vAlign w:val="top"/>
                </w:tcPr>
                <w:p w14:paraId="2FD50480">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r>
          </w:tbl>
          <w:p w14:paraId="6B37BAD4">
            <w:pPr>
              <w:spacing w:before="120" w:beforeLines="50" w:line="360" w:lineRule="auto"/>
              <w:ind w:firstLine="420" w:firstLineChars="200"/>
              <w:rPr>
                <w:rFonts w:hint="default" w:ascii="Times New Roman" w:hAnsi="Times New Roman" w:eastAsia="宋体" w:cs="Times New Roman"/>
                <w:b/>
                <w:caps w:val="0"/>
                <w:color w:val="000000" w:themeColor="text1"/>
                <w:sz w:val="24"/>
                <w:highlight w:val="none"/>
                <w:lang w:val="en-US"/>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注：*夜间噪声最大声级超过限值的幅度不得高于15dB（A）。</w:t>
            </w:r>
          </w:p>
          <w:p w14:paraId="57E062FE">
            <w:pPr>
              <w:spacing w:before="120" w:beforeLines="50" w:line="360" w:lineRule="auto"/>
              <w:ind w:firstLine="482" w:firstLineChars="200"/>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4.固废</w:t>
            </w:r>
          </w:p>
          <w:p w14:paraId="35B8EAB9">
            <w:pPr>
              <w:spacing w:line="360" w:lineRule="auto"/>
              <w:ind w:left="-2" w:leftChars="-1" w:firstLine="480" w:firstLineChars="200"/>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危险废物的暂存场所执行《危险废物贮存污染控制标准》（GB18597-2023）的有关规定。一般固废的暂存执行《一般工业固体废物贮存和填埋污染控制标准》 （GB18599-2020）的有关规定。同时，根据《中华人民共和国固体废物污染环境防治法》（2020年4月29日修订）第二十条“产生、收集、贮存、运输、利用、处置固体废物的单位和其他生产经营者，应当采取防扬散、防流失、防渗漏或者其他防止污染环境的措施，不得擅自倾倒、堆放、丢弃、遗撒固体废物。”</w:t>
            </w:r>
          </w:p>
        </w:tc>
      </w:tr>
      <w:tr w14:paraId="58C97F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3" w:hRule="atLeast"/>
          <w:jc w:val="center"/>
        </w:trPr>
        <w:tc>
          <w:tcPr>
            <w:tcW w:w="772" w:type="dxa"/>
            <w:vAlign w:val="center"/>
          </w:tcPr>
          <w:p w14:paraId="0DAE1E41">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总量</w:t>
            </w:r>
          </w:p>
          <w:p w14:paraId="0BE9DDED">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控制</w:t>
            </w:r>
          </w:p>
          <w:p w14:paraId="39CAAE00">
            <w:pPr>
              <w:adjustRightInd w:val="0"/>
              <w:snapToGrid w:val="0"/>
              <w:jc w:val="center"/>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指标</w:t>
            </w:r>
          </w:p>
        </w:tc>
        <w:tc>
          <w:tcPr>
            <w:tcW w:w="8053" w:type="dxa"/>
            <w:vAlign w:val="center"/>
          </w:tcPr>
          <w:p w14:paraId="4AC2517E">
            <w:pPr>
              <w:adjustRightInd w:val="0"/>
              <w:snapToGrid w:val="0"/>
              <w:spacing w:line="360" w:lineRule="auto"/>
              <w:ind w:firstLine="480" w:firstLineChars="200"/>
              <w:rPr>
                <w:rFonts w:hint="default" w:ascii="Times New Roman" w:hAnsi="Times New Roman" w:eastAsia="宋体" w:cs="Times New Roman"/>
                <w:caps w:val="0"/>
                <w:color w:val="auto"/>
                <w:sz w:val="24"/>
                <w:szCs w:val="22"/>
                <w:highlight w:val="none"/>
                <w:lang w:val="en-US" w:eastAsia="zh-CN"/>
              </w:rPr>
            </w:pPr>
            <w:r>
              <w:rPr>
                <w:rFonts w:hint="default" w:ascii="Times New Roman" w:hAnsi="Times New Roman" w:eastAsia="宋体" w:cs="Times New Roman"/>
                <w:caps w:val="0"/>
                <w:color w:val="auto"/>
                <w:sz w:val="24"/>
                <w:szCs w:val="22"/>
                <w:highlight w:val="none"/>
                <w:lang w:val="en-US" w:eastAsia="zh-CN"/>
              </w:rPr>
              <w:t>1、总量申请指标</w:t>
            </w:r>
          </w:p>
          <w:p w14:paraId="283C93DA">
            <w:pPr>
              <w:adjustRightInd w:val="0"/>
              <w:snapToGrid w:val="0"/>
              <w:spacing w:line="360" w:lineRule="auto"/>
              <w:ind w:firstLine="480" w:firstLineChars="200"/>
              <w:rPr>
                <w:rFonts w:hint="default" w:ascii="Times New Roman" w:hAnsi="Times New Roman" w:eastAsia="宋体" w:cs="Times New Roman"/>
                <w:caps w:val="0"/>
                <w:color w:val="auto"/>
                <w:sz w:val="24"/>
                <w:szCs w:val="22"/>
                <w:highlight w:val="none"/>
              </w:rPr>
            </w:pPr>
            <w:r>
              <w:rPr>
                <w:rFonts w:hint="default" w:ascii="Times New Roman" w:hAnsi="Times New Roman" w:eastAsia="宋体" w:cs="Times New Roman"/>
                <w:caps w:val="0"/>
                <w:color w:val="auto"/>
                <w:sz w:val="24"/>
                <w:szCs w:val="22"/>
                <w:highlight w:val="none"/>
              </w:rPr>
              <w:t>根据《国务院关于印发&lt;“十四五”节能减排综合工作方案&gt;的通知》（国发[2021]33号），目前国家对化学需氧量COD、氨氮NH</w:t>
            </w:r>
            <w:r>
              <w:rPr>
                <w:rFonts w:hint="default" w:ascii="Times New Roman" w:hAnsi="Times New Roman" w:eastAsia="宋体" w:cs="Times New Roman"/>
                <w:caps w:val="0"/>
                <w:color w:val="auto"/>
                <w:sz w:val="24"/>
                <w:szCs w:val="22"/>
                <w:highlight w:val="none"/>
                <w:vertAlign w:val="subscript"/>
              </w:rPr>
              <w:t>3</w:t>
            </w:r>
            <w:r>
              <w:rPr>
                <w:rFonts w:hint="default" w:ascii="Times New Roman" w:hAnsi="Times New Roman" w:eastAsia="宋体" w:cs="Times New Roman"/>
                <w:caps w:val="0"/>
                <w:color w:val="auto"/>
                <w:sz w:val="24"/>
                <w:szCs w:val="22"/>
                <w:highlight w:val="none"/>
              </w:rPr>
              <w:t>-N、氮氧化物NOx、VOCs（以非甲烷总烃计）等四种主要污染物纳入排放总量控制计划管理。</w:t>
            </w:r>
          </w:p>
          <w:p w14:paraId="3B50E7FD">
            <w:pPr>
              <w:adjustRightInd w:val="0"/>
              <w:snapToGrid w:val="0"/>
              <w:spacing w:line="360" w:lineRule="auto"/>
              <w:ind w:firstLine="480" w:firstLineChars="200"/>
              <w:rPr>
                <w:rFonts w:hint="default" w:ascii="Times New Roman" w:hAnsi="Times New Roman" w:eastAsia="宋体" w:cs="Times New Roman"/>
                <w:caps w:val="0"/>
                <w:color w:val="auto"/>
                <w:sz w:val="24"/>
                <w:szCs w:val="22"/>
                <w:highlight w:val="none"/>
              </w:rPr>
            </w:pPr>
            <w:r>
              <w:rPr>
                <w:rFonts w:hint="default" w:ascii="Times New Roman" w:hAnsi="Times New Roman" w:eastAsia="宋体" w:cs="Times New Roman"/>
                <w:caps w:val="0"/>
                <w:color w:val="auto"/>
                <w:sz w:val="24"/>
                <w:szCs w:val="22"/>
                <w:highlight w:val="none"/>
              </w:rPr>
              <w:t>本项目总量控制指标见下表。</w:t>
            </w:r>
          </w:p>
          <w:p w14:paraId="7560E077">
            <w:pPr>
              <w:adjustRightInd w:val="0"/>
              <w:snapToGrid w:val="0"/>
              <w:ind w:firstLine="482" w:firstLineChars="200"/>
              <w:jc w:val="center"/>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2"/>
                <w:highlight w:val="none"/>
                <w14:textFill>
                  <w14:solidFill>
                    <w14:schemeClr w14:val="tx1"/>
                  </w14:solidFill>
                </w14:textFill>
              </w:rPr>
              <w:t>表3-</w:t>
            </w:r>
            <w:r>
              <w:rPr>
                <w:rFonts w:hint="default" w:ascii="Times New Roman" w:hAnsi="Times New Roman" w:eastAsia="宋体" w:cs="Times New Roman"/>
                <w:b/>
                <w:caps w:val="0"/>
                <w:color w:val="000000" w:themeColor="text1"/>
                <w:sz w:val="24"/>
                <w:szCs w:val="22"/>
                <w:highlight w:val="none"/>
                <w:lang w:val="en-US" w:eastAsia="zh-CN"/>
                <w14:textFill>
                  <w14:solidFill>
                    <w14:schemeClr w14:val="tx1"/>
                  </w14:solidFill>
                </w14:textFill>
              </w:rPr>
              <w:t>1</w:t>
            </w:r>
            <w:r>
              <w:rPr>
                <w:rFonts w:hint="eastAsia" w:cs="Times New Roman"/>
                <w:b/>
                <w:caps w:val="0"/>
                <w:color w:val="000000" w:themeColor="text1"/>
                <w:sz w:val="24"/>
                <w:szCs w:val="22"/>
                <w:highlight w:val="none"/>
                <w:lang w:val="en-US" w:eastAsia="zh-CN"/>
                <w14:textFill>
                  <w14:solidFill>
                    <w14:schemeClr w14:val="tx1"/>
                  </w14:solidFill>
                </w14:textFill>
              </w:rPr>
              <w:t>0</w:t>
            </w:r>
            <w:r>
              <w:rPr>
                <w:rFonts w:hint="default" w:ascii="Times New Roman" w:hAnsi="Times New Roman" w:eastAsia="宋体" w:cs="Times New Roman"/>
                <w:b/>
                <w:caps w:val="0"/>
                <w:color w:val="000000" w:themeColor="text1"/>
                <w:sz w:val="24"/>
                <w:szCs w:val="22"/>
                <w:highlight w:val="none"/>
                <w:lang w:val="en-US" w:eastAsia="zh-CN"/>
                <w14:textFill>
                  <w14:solidFill>
                    <w14:schemeClr w14:val="tx1"/>
                  </w14:solidFill>
                </w14:textFill>
              </w:rPr>
              <w:t xml:space="preserve"> </w:t>
            </w:r>
            <w:r>
              <w:rPr>
                <w:rFonts w:hint="default" w:ascii="Times New Roman" w:hAnsi="Times New Roman" w:eastAsia="宋体" w:cs="Times New Roman"/>
                <w:b/>
                <w:caps w:val="0"/>
                <w:color w:val="000000" w:themeColor="text1"/>
                <w:sz w:val="24"/>
                <w:szCs w:val="22"/>
                <w:highlight w:val="none"/>
                <w14:textFill>
                  <w14:solidFill>
                    <w14:schemeClr w14:val="tx1"/>
                  </w14:solidFill>
                </w14:textFill>
              </w:rPr>
              <w:t xml:space="preserve"> 项目总量控制指标  </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 xml:space="preserve"> </w:t>
            </w:r>
            <w:r>
              <w:rPr>
                <w:rFonts w:hint="default" w:ascii="Times New Roman" w:hAnsi="Times New Roman" w:eastAsia="宋体" w:cs="Times New Roman"/>
                <w:b/>
                <w:bCs/>
                <w:caps w:val="0"/>
                <w:color w:val="000000" w:themeColor="text1"/>
                <w:sz w:val="24"/>
                <w:szCs w:val="22"/>
                <w:highlight w:val="none"/>
                <w14:textFill>
                  <w14:solidFill>
                    <w14:schemeClr w14:val="tx1"/>
                  </w14:solidFill>
                </w14:textFill>
              </w:rPr>
              <w:t>单位：t/a</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2"/>
              <w:gridCol w:w="731"/>
              <w:gridCol w:w="1110"/>
              <w:gridCol w:w="1272"/>
              <w:gridCol w:w="1357"/>
              <w:gridCol w:w="1649"/>
              <w:gridCol w:w="1066"/>
            </w:tblGrid>
            <w:tr w14:paraId="42C4AB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15" w:type="pct"/>
                  <w:tcBorders>
                    <w:tl2br w:val="nil"/>
                    <w:tr2bl w:val="nil"/>
                  </w:tcBorders>
                  <w:vAlign w:val="center"/>
                </w:tcPr>
                <w:p w14:paraId="48642409">
                  <w:pPr>
                    <w:adjustRightInd w:val="0"/>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项目</w:t>
                  </w:r>
                </w:p>
              </w:tc>
              <w:tc>
                <w:tcPr>
                  <w:tcW w:w="1174" w:type="pct"/>
                  <w:gridSpan w:val="2"/>
                  <w:tcBorders>
                    <w:tl2br w:val="nil"/>
                    <w:tr2bl w:val="nil"/>
                  </w:tcBorders>
                  <w:vAlign w:val="center"/>
                </w:tcPr>
                <w:p w14:paraId="405AF294">
                  <w:pPr>
                    <w:adjustRightInd w:val="0"/>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总量控制因子</w:t>
                  </w:r>
                </w:p>
              </w:tc>
              <w:tc>
                <w:tcPr>
                  <w:tcW w:w="811" w:type="pct"/>
                  <w:tcBorders>
                    <w:tl2br w:val="nil"/>
                    <w:tr2bl w:val="nil"/>
                  </w:tcBorders>
                  <w:vAlign w:val="center"/>
                </w:tcPr>
                <w:p w14:paraId="007D1ECB">
                  <w:pPr>
                    <w:adjustRightInd w:val="0"/>
                    <w:snapToGrid w:val="0"/>
                    <w:jc w:val="cente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现有工程</w:t>
                  </w:r>
                  <w: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t>总量控制指标</w:t>
                  </w:r>
                </w:p>
              </w:tc>
              <w:tc>
                <w:tcPr>
                  <w:tcW w:w="865" w:type="pct"/>
                  <w:tcBorders>
                    <w:tl2br w:val="nil"/>
                    <w:tr2bl w:val="nil"/>
                  </w:tcBorders>
                  <w:vAlign w:val="center"/>
                </w:tcPr>
                <w:p w14:paraId="13A5D324">
                  <w:pPr>
                    <w:adjustRightInd w:val="0"/>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t>本项目总量控制指标</w:t>
                  </w:r>
                </w:p>
              </w:tc>
              <w:tc>
                <w:tcPr>
                  <w:tcW w:w="1052" w:type="pct"/>
                  <w:tcBorders>
                    <w:tl2br w:val="nil"/>
                    <w:tr2bl w:val="nil"/>
                  </w:tcBorders>
                  <w:vAlign w:val="center"/>
                </w:tcPr>
                <w:p w14:paraId="6F83EAE0">
                  <w:pPr>
                    <w:adjustRightInd w:val="0"/>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本项目建成后全厂</w:t>
                  </w:r>
                  <w: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t>总量控制指标</w:t>
                  </w:r>
                </w:p>
              </w:tc>
              <w:tc>
                <w:tcPr>
                  <w:tcW w:w="680" w:type="pct"/>
                  <w:tcBorders>
                    <w:tl2br w:val="nil"/>
                    <w:tr2bl w:val="nil"/>
                  </w:tcBorders>
                  <w:vAlign w:val="center"/>
                </w:tcPr>
                <w:p w14:paraId="4A9C307A">
                  <w:pPr>
                    <w:adjustRightInd w:val="0"/>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变化量</w:t>
                  </w:r>
                </w:p>
              </w:tc>
            </w:tr>
            <w:tr w14:paraId="51B230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415" w:type="pct"/>
                  <w:tcBorders>
                    <w:tl2br w:val="nil"/>
                    <w:tr2bl w:val="nil"/>
                  </w:tcBorders>
                  <w:vAlign w:val="center"/>
                </w:tcPr>
                <w:p w14:paraId="697CC4B6">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废气</w:t>
                  </w:r>
                </w:p>
              </w:tc>
              <w:tc>
                <w:tcPr>
                  <w:tcW w:w="466" w:type="pct"/>
                  <w:tcBorders>
                    <w:tl2br w:val="nil"/>
                    <w:tr2bl w:val="nil"/>
                  </w:tcBorders>
                  <w:vAlign w:val="center"/>
                </w:tcPr>
                <w:p w14:paraId="1F352FA5">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有组织</w:t>
                  </w:r>
                </w:p>
              </w:tc>
              <w:tc>
                <w:tcPr>
                  <w:tcW w:w="708" w:type="pct"/>
                  <w:tcBorders>
                    <w:tl2br w:val="nil"/>
                    <w:tr2bl w:val="nil"/>
                  </w:tcBorders>
                  <w:vAlign w:val="center"/>
                </w:tcPr>
                <w:p w14:paraId="3262A1EA">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VOCs（以非甲烷总烃计）</w:t>
                  </w:r>
                </w:p>
              </w:tc>
              <w:tc>
                <w:tcPr>
                  <w:tcW w:w="811" w:type="pct"/>
                  <w:tcBorders>
                    <w:tl2br w:val="nil"/>
                    <w:tr2bl w:val="nil"/>
                  </w:tcBorders>
                  <w:vAlign w:val="center"/>
                </w:tcPr>
                <w:p w14:paraId="63F7135E">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0.56</w:t>
                  </w:r>
                </w:p>
              </w:tc>
              <w:tc>
                <w:tcPr>
                  <w:tcW w:w="865" w:type="pct"/>
                  <w:tcBorders>
                    <w:tl2br w:val="nil"/>
                    <w:tr2bl w:val="nil"/>
                  </w:tcBorders>
                  <w:vAlign w:val="center"/>
                </w:tcPr>
                <w:p w14:paraId="43F3B070">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0.0243</w:t>
                  </w:r>
                </w:p>
              </w:tc>
              <w:tc>
                <w:tcPr>
                  <w:tcW w:w="1052" w:type="pct"/>
                  <w:tcBorders>
                    <w:tl2br w:val="nil"/>
                    <w:tr2bl w:val="nil"/>
                  </w:tcBorders>
                  <w:vAlign w:val="center"/>
                </w:tcPr>
                <w:p w14:paraId="59DDB664">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0.5843</w:t>
                  </w:r>
                </w:p>
              </w:tc>
              <w:tc>
                <w:tcPr>
                  <w:tcW w:w="680" w:type="pct"/>
                  <w:tcBorders>
                    <w:tl2br w:val="nil"/>
                    <w:tr2bl w:val="nil"/>
                  </w:tcBorders>
                  <w:vAlign w:val="center"/>
                </w:tcPr>
                <w:p w14:paraId="6A7565E1">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w:t>
                  </w:r>
                  <w: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t>0.0243</w:t>
                  </w:r>
                </w:p>
              </w:tc>
            </w:tr>
            <w:tr w14:paraId="1213E3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415" w:type="pct"/>
                  <w:vMerge w:val="restart"/>
                  <w:tcBorders>
                    <w:tl2br w:val="nil"/>
                    <w:tr2bl w:val="nil"/>
                  </w:tcBorders>
                  <w:vAlign w:val="center"/>
                </w:tcPr>
                <w:p w14:paraId="21830C41">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废水</w:t>
                  </w:r>
                </w:p>
              </w:tc>
              <w:tc>
                <w:tcPr>
                  <w:tcW w:w="466" w:type="pct"/>
                  <w:vMerge w:val="restart"/>
                  <w:tcBorders>
                    <w:tl2br w:val="nil"/>
                    <w:tr2bl w:val="nil"/>
                  </w:tcBorders>
                  <w:vAlign w:val="center"/>
                </w:tcPr>
                <w:p w14:paraId="244F87DD">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接管量</w:t>
                  </w:r>
                </w:p>
              </w:tc>
              <w:tc>
                <w:tcPr>
                  <w:tcW w:w="708" w:type="pct"/>
                  <w:tcBorders>
                    <w:tl2br w:val="nil"/>
                    <w:tr2bl w:val="nil"/>
                  </w:tcBorders>
                  <w:vAlign w:val="center"/>
                </w:tcPr>
                <w:p w14:paraId="0009C7EA">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COD</w:t>
                  </w:r>
                </w:p>
              </w:tc>
              <w:tc>
                <w:tcPr>
                  <w:tcW w:w="811" w:type="pct"/>
                  <w:tcBorders>
                    <w:tl2br w:val="nil"/>
                    <w:tr2bl w:val="nil"/>
                  </w:tcBorders>
                  <w:vAlign w:val="center"/>
                </w:tcPr>
                <w:p w14:paraId="596DAF92">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snapToGrid w:val="0"/>
                      <w:color w:val="000000" w:themeColor="text1"/>
                      <w:kern w:val="21"/>
                      <w:szCs w:val="21"/>
                      <w:highlight w:val="none"/>
                      <w:lang w:val="en-US" w:eastAsia="zh-CN"/>
                      <w14:textFill>
                        <w14:solidFill>
                          <w14:schemeClr w14:val="tx1"/>
                        </w14:solidFill>
                      </w14:textFill>
                    </w:rPr>
                    <w:t>0.48</w:t>
                  </w:r>
                </w:p>
              </w:tc>
              <w:tc>
                <w:tcPr>
                  <w:tcW w:w="865" w:type="pct"/>
                  <w:tcBorders>
                    <w:tl2br w:val="nil"/>
                    <w:tr2bl w:val="nil"/>
                  </w:tcBorders>
                  <w:vAlign w:val="center"/>
                </w:tcPr>
                <w:p w14:paraId="15E63B92">
                  <w:pPr>
                    <w:adjustRightInd w:val="0"/>
                    <w:snapToGrid w:val="0"/>
                    <w:jc w:val="center"/>
                    <w:rPr>
                      <w:rFonts w:hint="default" w:ascii="Times New Roman" w:hAnsi="Times New Roman" w:eastAsia="宋体" w:cs="Times New Roman"/>
                      <w:caps w:val="0"/>
                      <w:color w:val="000000" w:themeColor="text1"/>
                      <w:szCs w:val="21"/>
                      <w:highlight w:val="none"/>
                      <w:lang w:val="en-US"/>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1.1244</w:t>
                  </w:r>
                </w:p>
              </w:tc>
              <w:tc>
                <w:tcPr>
                  <w:tcW w:w="1052" w:type="pct"/>
                  <w:tcBorders>
                    <w:tl2br w:val="nil"/>
                    <w:tr2bl w:val="nil"/>
                  </w:tcBorders>
                  <w:vAlign w:val="center"/>
                </w:tcPr>
                <w:p w14:paraId="43F145E6">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1.6044</w:t>
                  </w:r>
                </w:p>
              </w:tc>
              <w:tc>
                <w:tcPr>
                  <w:tcW w:w="680" w:type="pct"/>
                  <w:tcBorders>
                    <w:tl2br w:val="nil"/>
                    <w:tr2bl w:val="nil"/>
                  </w:tcBorders>
                  <w:vAlign w:val="center"/>
                </w:tcPr>
                <w:p w14:paraId="36611D40">
                  <w:pPr>
                    <w:adjustRightInd w:val="0"/>
                    <w:snapToGrid w:val="0"/>
                    <w:jc w:val="center"/>
                    <w:rPr>
                      <w:rFonts w:hint="default" w:ascii="Times New Roman" w:hAnsi="Times New Roman" w:eastAsia="宋体" w:cs="Times New Roman"/>
                      <w:caps w:val="0"/>
                      <w:color w:val="000000" w:themeColor="text1"/>
                      <w:szCs w:val="21"/>
                      <w:highlight w:val="none"/>
                      <w:lang w:val="en-US"/>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+1.</w:t>
                  </w:r>
                  <w:r>
                    <w:rPr>
                      <w:rFonts w:hint="eastAsia" w:cs="Times New Roman"/>
                      <w:caps w:val="0"/>
                      <w:color w:val="000000" w:themeColor="text1"/>
                      <w:szCs w:val="21"/>
                      <w:highlight w:val="none"/>
                      <w:lang w:val="en-US" w:eastAsia="zh-CN"/>
                      <w14:textFill>
                        <w14:solidFill>
                          <w14:schemeClr w14:val="tx1"/>
                        </w14:solidFill>
                      </w14:textFill>
                    </w:rPr>
                    <w:t>1244</w:t>
                  </w:r>
                </w:p>
              </w:tc>
            </w:tr>
            <w:tr w14:paraId="4FD4DC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415" w:type="pct"/>
                  <w:vMerge w:val="continue"/>
                  <w:tcBorders>
                    <w:tl2br w:val="nil"/>
                    <w:tr2bl w:val="nil"/>
                  </w:tcBorders>
                  <w:vAlign w:val="center"/>
                </w:tcPr>
                <w:p w14:paraId="3630B566">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66" w:type="pct"/>
                  <w:vMerge w:val="continue"/>
                  <w:tcBorders>
                    <w:tl2br w:val="nil"/>
                    <w:tr2bl w:val="nil"/>
                  </w:tcBorders>
                  <w:vAlign w:val="center"/>
                </w:tcPr>
                <w:p w14:paraId="283EE90B">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708" w:type="pct"/>
                  <w:tcBorders>
                    <w:tl2br w:val="nil"/>
                    <w:tr2bl w:val="nil"/>
                  </w:tcBorders>
                  <w:vAlign w:val="center"/>
                </w:tcPr>
                <w:p w14:paraId="2AADD8D2">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氨氮</w:t>
                  </w:r>
                </w:p>
              </w:tc>
              <w:tc>
                <w:tcPr>
                  <w:tcW w:w="811" w:type="pct"/>
                  <w:tcBorders>
                    <w:tl2br w:val="nil"/>
                    <w:tr2bl w:val="nil"/>
                  </w:tcBorders>
                  <w:vAlign w:val="center"/>
                </w:tcPr>
                <w:p w14:paraId="47B2C1B0">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snapToGrid w:val="0"/>
                      <w:color w:val="000000" w:themeColor="text1"/>
                      <w:kern w:val="21"/>
                      <w:szCs w:val="21"/>
                      <w:highlight w:val="none"/>
                      <w:lang w:val="en-US" w:eastAsia="zh-CN"/>
                      <w14:textFill>
                        <w14:solidFill>
                          <w14:schemeClr w14:val="tx1"/>
                        </w14:solidFill>
                      </w14:textFill>
                    </w:rPr>
                    <w:t>0.04</w:t>
                  </w:r>
                  <w:r>
                    <w:rPr>
                      <w:rFonts w:hint="eastAsia" w:cs="Times New Roman"/>
                      <w:caps w:val="0"/>
                      <w:snapToGrid w:val="0"/>
                      <w:color w:val="000000" w:themeColor="text1"/>
                      <w:kern w:val="21"/>
                      <w:szCs w:val="21"/>
                      <w:highlight w:val="none"/>
                      <w:lang w:val="en-US" w:eastAsia="zh-CN"/>
                      <w14:textFill>
                        <w14:solidFill>
                          <w14:schemeClr w14:val="tx1"/>
                        </w14:solidFill>
                      </w14:textFill>
                    </w:rPr>
                    <w:t>3</w:t>
                  </w:r>
                </w:p>
              </w:tc>
              <w:tc>
                <w:tcPr>
                  <w:tcW w:w="865" w:type="pct"/>
                  <w:tcBorders>
                    <w:tl2br w:val="nil"/>
                    <w:tr2bl w:val="nil"/>
                  </w:tcBorders>
                  <w:vAlign w:val="center"/>
                </w:tcPr>
                <w:p w14:paraId="1E0C9801">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0.11</w:t>
                  </w:r>
                  <w:r>
                    <w:rPr>
                      <w:rFonts w:hint="eastAsia" w:cs="Times New Roman"/>
                      <w:caps w:val="0"/>
                      <w:color w:val="000000" w:themeColor="text1"/>
                      <w:szCs w:val="21"/>
                      <w:highlight w:val="none"/>
                      <w:lang w:val="en-US" w:eastAsia="zh-CN"/>
                      <w14:textFill>
                        <w14:solidFill>
                          <w14:schemeClr w14:val="tx1"/>
                        </w14:solidFill>
                      </w14:textFill>
                    </w:rPr>
                    <w:t>98</w:t>
                  </w:r>
                </w:p>
              </w:tc>
              <w:tc>
                <w:tcPr>
                  <w:tcW w:w="1052" w:type="pct"/>
                  <w:tcBorders>
                    <w:tl2br w:val="nil"/>
                    <w:tr2bl w:val="nil"/>
                  </w:tcBorders>
                  <w:vAlign w:val="center"/>
                </w:tcPr>
                <w:p w14:paraId="12312F0A">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0.1628</w:t>
                  </w:r>
                </w:p>
              </w:tc>
              <w:tc>
                <w:tcPr>
                  <w:tcW w:w="680" w:type="pct"/>
                  <w:tcBorders>
                    <w:tl2br w:val="nil"/>
                    <w:tr2bl w:val="nil"/>
                  </w:tcBorders>
                  <w:vAlign w:val="center"/>
                </w:tcPr>
                <w:p w14:paraId="2EE9BC08">
                  <w:pPr>
                    <w:adjustRightInd w:val="0"/>
                    <w:snapToGrid w:val="0"/>
                    <w:jc w:val="center"/>
                    <w:rPr>
                      <w:rFonts w:hint="default" w:ascii="Times New Roman" w:hAnsi="Times New Roman" w:eastAsia="宋体" w:cs="Times New Roman"/>
                      <w:caps w:val="0"/>
                      <w:color w:val="000000" w:themeColor="text1"/>
                      <w:szCs w:val="21"/>
                      <w:highlight w:val="none"/>
                      <w:lang w:val="en-US"/>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+0.11</w:t>
                  </w:r>
                  <w:r>
                    <w:rPr>
                      <w:rFonts w:hint="eastAsia" w:cs="Times New Roman"/>
                      <w:caps w:val="0"/>
                      <w:color w:val="000000" w:themeColor="text1"/>
                      <w:szCs w:val="21"/>
                      <w:highlight w:val="none"/>
                      <w:lang w:val="en-US" w:eastAsia="zh-CN"/>
                      <w14:textFill>
                        <w14:solidFill>
                          <w14:schemeClr w14:val="tx1"/>
                        </w14:solidFill>
                      </w14:textFill>
                    </w:rPr>
                    <w:t>9</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8</w:t>
                  </w:r>
                </w:p>
              </w:tc>
            </w:tr>
            <w:tr w14:paraId="0B3BE9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415" w:type="pct"/>
                  <w:vMerge w:val="continue"/>
                  <w:tcBorders>
                    <w:tl2br w:val="nil"/>
                    <w:tr2bl w:val="nil"/>
                  </w:tcBorders>
                  <w:vAlign w:val="center"/>
                </w:tcPr>
                <w:p w14:paraId="071E0BCB">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66" w:type="pct"/>
                  <w:vMerge w:val="restart"/>
                  <w:tcBorders>
                    <w:tl2br w:val="nil"/>
                    <w:tr2bl w:val="nil"/>
                  </w:tcBorders>
                  <w:vAlign w:val="center"/>
                </w:tcPr>
                <w:p w14:paraId="4966606C">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外排环境量</w:t>
                  </w:r>
                </w:p>
              </w:tc>
              <w:tc>
                <w:tcPr>
                  <w:tcW w:w="708" w:type="pct"/>
                  <w:tcBorders>
                    <w:tl2br w:val="nil"/>
                    <w:tr2bl w:val="nil"/>
                  </w:tcBorders>
                  <w:vAlign w:val="center"/>
                </w:tcPr>
                <w:p w14:paraId="747EA9C5">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COD</w:t>
                  </w:r>
                </w:p>
              </w:tc>
              <w:tc>
                <w:tcPr>
                  <w:tcW w:w="811" w:type="pct"/>
                  <w:tcBorders>
                    <w:tl2br w:val="nil"/>
                    <w:tr2bl w:val="nil"/>
                  </w:tcBorders>
                  <w:vAlign w:val="center"/>
                </w:tcPr>
                <w:p w14:paraId="6A9F2718">
                  <w:pPr>
                    <w:adjustRightInd w:val="0"/>
                    <w:snapToGrid w:val="0"/>
                    <w:jc w:val="center"/>
                    <w:rPr>
                      <w:rFonts w:hint="default" w:ascii="Times New Roman" w:hAnsi="Times New Roman" w:eastAsia="宋体" w:cs="Times New Roman"/>
                      <w:caps w:val="0"/>
                      <w:snapToGrid w:val="0"/>
                      <w:color w:val="000000" w:themeColor="text1"/>
                      <w:kern w:val="21"/>
                      <w:szCs w:val="21"/>
                      <w:highlight w:val="none"/>
                      <w:lang w:val="en-US" w:eastAsia="zh-CN"/>
                      <w14:textFill>
                        <w14:solidFill>
                          <w14:schemeClr w14:val="tx1"/>
                        </w14:solidFill>
                      </w14:textFill>
                    </w:rPr>
                  </w:pPr>
                  <w:r>
                    <w:rPr>
                      <w:rFonts w:hint="default" w:ascii="Times New Roman" w:hAnsi="Times New Roman" w:eastAsia="宋体" w:cs="Times New Roman"/>
                      <w:caps w:val="0"/>
                      <w:snapToGrid w:val="0"/>
                      <w:color w:val="000000" w:themeColor="text1"/>
                      <w:kern w:val="21"/>
                      <w:szCs w:val="21"/>
                      <w:highlight w:val="none"/>
                      <w:lang w:val="en-US" w:eastAsia="zh-CN"/>
                      <w14:textFill>
                        <w14:solidFill>
                          <w14:schemeClr w14:val="tx1"/>
                        </w14:solidFill>
                      </w14:textFill>
                    </w:rPr>
                    <w:t>0.408</w:t>
                  </w:r>
                </w:p>
              </w:tc>
              <w:tc>
                <w:tcPr>
                  <w:tcW w:w="865" w:type="pct"/>
                  <w:tcBorders>
                    <w:tl2br w:val="nil"/>
                    <w:tr2bl w:val="nil"/>
                  </w:tcBorders>
                  <w:vAlign w:val="center"/>
                </w:tcPr>
                <w:p w14:paraId="2D997882">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0.2032</w:t>
                  </w:r>
                </w:p>
              </w:tc>
              <w:tc>
                <w:tcPr>
                  <w:tcW w:w="1052" w:type="pct"/>
                  <w:tcBorders>
                    <w:tl2br w:val="nil"/>
                    <w:tr2bl w:val="nil"/>
                  </w:tcBorders>
                  <w:vAlign w:val="center"/>
                </w:tcPr>
                <w:p w14:paraId="48A5C970">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0.6112</w:t>
                  </w:r>
                </w:p>
              </w:tc>
              <w:tc>
                <w:tcPr>
                  <w:tcW w:w="680" w:type="pct"/>
                  <w:tcBorders>
                    <w:tl2br w:val="nil"/>
                    <w:tr2bl w:val="nil"/>
                  </w:tcBorders>
                  <w:vAlign w:val="center"/>
                </w:tcPr>
                <w:p w14:paraId="2F6D2344">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r>
                    <w:rPr>
                      <w:rFonts w:hint="eastAsia" w:cs="Times New Roman"/>
                      <w:caps w:val="0"/>
                      <w:color w:val="000000" w:themeColor="text1"/>
                      <w:szCs w:val="21"/>
                      <w:highlight w:val="none"/>
                      <w:lang w:val="en-US" w:eastAsia="zh-CN"/>
                      <w14:textFill>
                        <w14:solidFill>
                          <w14:schemeClr w14:val="tx1"/>
                        </w14:solidFill>
                      </w14:textFill>
                    </w:rPr>
                    <w:t>2032</w:t>
                  </w:r>
                </w:p>
              </w:tc>
            </w:tr>
            <w:tr w14:paraId="7FF04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415" w:type="pct"/>
                  <w:vMerge w:val="continue"/>
                  <w:tcBorders>
                    <w:tl2br w:val="nil"/>
                    <w:tr2bl w:val="nil"/>
                  </w:tcBorders>
                  <w:vAlign w:val="center"/>
                </w:tcPr>
                <w:p w14:paraId="036DBD09">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66" w:type="pct"/>
                  <w:vMerge w:val="continue"/>
                  <w:tcBorders>
                    <w:tl2br w:val="nil"/>
                    <w:tr2bl w:val="nil"/>
                  </w:tcBorders>
                  <w:vAlign w:val="center"/>
                </w:tcPr>
                <w:p w14:paraId="03793BF1">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708" w:type="pct"/>
                  <w:tcBorders>
                    <w:tl2br w:val="nil"/>
                    <w:tr2bl w:val="nil"/>
                  </w:tcBorders>
                  <w:vAlign w:val="center"/>
                </w:tcPr>
                <w:p w14:paraId="2424A321">
                  <w:pPr>
                    <w:adjustRightInd w:val="0"/>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氨氮</w:t>
                  </w:r>
                </w:p>
              </w:tc>
              <w:tc>
                <w:tcPr>
                  <w:tcW w:w="811" w:type="pct"/>
                  <w:tcBorders>
                    <w:tl2br w:val="nil"/>
                    <w:tr2bl w:val="nil"/>
                  </w:tcBorders>
                  <w:vAlign w:val="center"/>
                </w:tcPr>
                <w:p w14:paraId="2BFD0061">
                  <w:pPr>
                    <w:adjustRightInd w:val="0"/>
                    <w:snapToGrid w:val="0"/>
                    <w:jc w:val="center"/>
                    <w:rPr>
                      <w:rFonts w:hint="default" w:ascii="Times New Roman" w:hAnsi="Times New Roman" w:eastAsia="宋体" w:cs="Times New Roman"/>
                      <w:caps w:val="0"/>
                      <w:snapToGrid w:val="0"/>
                      <w:color w:val="000000" w:themeColor="text1"/>
                      <w:kern w:val="21"/>
                      <w:szCs w:val="21"/>
                      <w:highlight w:val="none"/>
                      <w:lang w:val="en-US" w:eastAsia="zh-CN"/>
                      <w14:textFill>
                        <w14:solidFill>
                          <w14:schemeClr w14:val="tx1"/>
                        </w14:solidFill>
                      </w14:textFill>
                    </w:rPr>
                  </w:pPr>
                  <w:r>
                    <w:rPr>
                      <w:rFonts w:hint="default" w:ascii="Times New Roman" w:hAnsi="Times New Roman" w:eastAsia="宋体" w:cs="Times New Roman"/>
                      <w:caps w:val="0"/>
                      <w:snapToGrid w:val="0"/>
                      <w:color w:val="000000" w:themeColor="text1"/>
                      <w:kern w:val="21"/>
                      <w:szCs w:val="21"/>
                      <w:highlight w:val="none"/>
                      <w:lang w:val="en-US" w:eastAsia="zh-CN"/>
                      <w14:textFill>
                        <w14:solidFill>
                          <w14:schemeClr w14:val="tx1"/>
                        </w14:solidFill>
                      </w14:textFill>
                    </w:rPr>
                    <w:t>0.04</w:t>
                  </w:r>
                </w:p>
              </w:tc>
              <w:tc>
                <w:tcPr>
                  <w:tcW w:w="865" w:type="pct"/>
                  <w:tcBorders>
                    <w:tl2br w:val="nil"/>
                    <w:tr2bl w:val="nil"/>
                  </w:tcBorders>
                  <w:vAlign w:val="center"/>
                </w:tcPr>
                <w:p w14:paraId="5585C816">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0.0203</w:t>
                  </w:r>
                </w:p>
              </w:tc>
              <w:tc>
                <w:tcPr>
                  <w:tcW w:w="1052" w:type="pct"/>
                  <w:tcBorders>
                    <w:tl2br w:val="nil"/>
                    <w:tr2bl w:val="nil"/>
                  </w:tcBorders>
                  <w:vAlign w:val="center"/>
                </w:tcPr>
                <w:p w14:paraId="07E5B278">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0.0603</w:t>
                  </w:r>
                </w:p>
              </w:tc>
              <w:tc>
                <w:tcPr>
                  <w:tcW w:w="680" w:type="pct"/>
                  <w:tcBorders>
                    <w:tl2br w:val="nil"/>
                    <w:tr2bl w:val="nil"/>
                  </w:tcBorders>
                  <w:vAlign w:val="center"/>
                </w:tcPr>
                <w:p w14:paraId="3C27E6FB">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+0.0</w:t>
                  </w:r>
                  <w:r>
                    <w:rPr>
                      <w:rFonts w:hint="eastAsia" w:cs="Times New Roman"/>
                      <w:caps w:val="0"/>
                      <w:color w:val="000000" w:themeColor="text1"/>
                      <w:szCs w:val="21"/>
                      <w:highlight w:val="none"/>
                      <w:lang w:val="en-US" w:eastAsia="zh-CN"/>
                      <w14:textFill>
                        <w14:solidFill>
                          <w14:schemeClr w14:val="tx1"/>
                        </w14:solidFill>
                      </w14:textFill>
                    </w:rPr>
                    <w:t>203</w:t>
                  </w:r>
                </w:p>
              </w:tc>
            </w:tr>
          </w:tbl>
          <w:p w14:paraId="3E08FB13">
            <w:pPr>
              <w:pStyle w:val="9"/>
              <w:spacing w:before="120" w:beforeLines="50" w:line="360" w:lineRule="auto"/>
              <w:ind w:firstLine="480" w:firstLineChars="200"/>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本次</w:t>
            </w:r>
            <w:r>
              <w:rPr>
                <w:rFonts w:hint="default" w:ascii="Times New Roman" w:hAnsi="Times New Roman" w:eastAsia="宋体" w:cs="Times New Roman"/>
                <w:caps w:val="0"/>
                <w:color w:val="000000" w:themeColor="text1"/>
                <w:sz w:val="24"/>
                <w:szCs w:val="22"/>
                <w:highlight w:val="none"/>
                <w:lang w:val="en-US" w:eastAsia="zh-CN"/>
                <w14:textFill>
                  <w14:solidFill>
                    <w14:schemeClr w14:val="tx1"/>
                  </w14:solidFill>
                </w14:textFill>
              </w:rPr>
              <w:t>新增</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废气</w:t>
            </w:r>
            <w:r>
              <w:rPr>
                <w:rFonts w:hint="default" w:ascii="Times New Roman" w:hAnsi="Times New Roman" w:eastAsia="宋体" w:cs="Times New Roman"/>
                <w:caps w:val="0"/>
                <w:color w:val="000000" w:themeColor="text1"/>
                <w:sz w:val="24"/>
                <w:szCs w:val="22"/>
                <w:highlight w:val="none"/>
                <w:lang w:val="en-US" w:eastAsia="zh-CN"/>
                <w14:textFill>
                  <w14:solidFill>
                    <w14:schemeClr w14:val="tx1"/>
                  </w14:solidFill>
                </w14:textFill>
              </w:rPr>
              <w:t>总量控制指标</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为VOCs：</w:t>
            </w:r>
            <w:r>
              <w:rPr>
                <w:rFonts w:hint="default" w:ascii="Times New Roman" w:hAnsi="Times New Roman" w:eastAsia="宋体" w:cs="Times New Roman"/>
                <w:caps w:val="0"/>
                <w:color w:val="000000" w:themeColor="text1"/>
                <w:sz w:val="24"/>
                <w:szCs w:val="22"/>
                <w:highlight w:val="none"/>
                <w:lang w:val="en-US" w:eastAsia="zh-CN"/>
                <w14:textFill>
                  <w14:solidFill>
                    <w14:schemeClr w14:val="tx1"/>
                  </w14:solidFill>
                </w14:textFill>
              </w:rPr>
              <w:t>0.0</w:t>
            </w:r>
            <w:r>
              <w:rPr>
                <w:rFonts w:hint="eastAsia" w:ascii="Times New Roman" w:hAnsi="Times New Roman" w:eastAsia="宋体" w:cs="Times New Roman"/>
                <w:caps w:val="0"/>
                <w:color w:val="000000" w:themeColor="text1"/>
                <w:sz w:val="24"/>
                <w:szCs w:val="22"/>
                <w:highlight w:val="none"/>
                <w:lang w:val="en-US" w:eastAsia="zh-CN"/>
                <w14:textFill>
                  <w14:solidFill>
                    <w14:schemeClr w14:val="tx1"/>
                  </w14:solidFill>
                </w14:textFill>
              </w:rPr>
              <w:t>243</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t/a。</w:t>
            </w:r>
          </w:p>
          <w:p w14:paraId="718344A1">
            <w:pPr>
              <w:pStyle w:val="9"/>
              <w:spacing w:line="360" w:lineRule="auto"/>
              <w:ind w:firstLine="480" w:firstLineChars="200"/>
              <w:rPr>
                <w:rFonts w:hint="default" w:ascii="Times New Roman" w:hAnsi="Times New Roman" w:eastAsia="宋体" w:cs="Times New Roman"/>
                <w:caps w:val="0"/>
                <w:color w:val="000000" w:themeColor="text1"/>
                <w:sz w:val="24"/>
                <w:szCs w:val="22"/>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4"/>
                <w:szCs w:val="22"/>
                <w:highlight w:val="none"/>
                <w:lang w:val="en-US" w:eastAsia="zh-CN"/>
                <w14:textFill>
                  <w14:solidFill>
                    <w14:schemeClr w14:val="tx1"/>
                  </w14:solidFill>
                </w14:textFill>
              </w:rPr>
              <w:t>本次新增废水总量控制指标为COD：1.1244t/a，氨氮：0.1198t/a</w:t>
            </w:r>
            <w:r>
              <w:rPr>
                <w:rFonts w:hint="default" w:ascii="Times New Roman" w:hAnsi="Times New Roman" w:eastAsia="宋体" w:cs="Times New Roman"/>
                <w:caps w:val="0"/>
                <w:color w:val="000000" w:themeColor="text1"/>
                <w:sz w:val="24"/>
                <w:szCs w:val="22"/>
                <w:highlight w:val="none"/>
                <w:lang w:val="en-US" w:eastAsia="zh-CN"/>
                <w14:textFill>
                  <w14:solidFill>
                    <w14:schemeClr w14:val="tx1"/>
                  </w14:solidFill>
                </w14:textFill>
              </w:rPr>
              <w:t>。</w:t>
            </w:r>
          </w:p>
          <w:p w14:paraId="6814DD13">
            <w:pPr>
              <w:shd w:val="clear" w:color="auto" w:fill="auto"/>
              <w:spacing w:line="360" w:lineRule="auto"/>
              <w:ind w:firstLine="484"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pacing w:val="1"/>
                <w:sz w:val="24"/>
                <w:highlight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spacing w:val="1"/>
                <w:sz w:val="24"/>
                <w:highlight w:val="none"/>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排污权核算</w:t>
            </w:r>
          </w:p>
          <w:p w14:paraId="7751649B">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000000" w:themeColor="text1"/>
                <w:kern w:val="0"/>
                <w:sz w:val="24"/>
                <w:highlight w:val="none"/>
                <w14:textFill>
                  <w14:solidFill>
                    <w14:schemeClr w14:val="tx1"/>
                  </w14:solidFill>
                </w14:textFill>
              </w:rPr>
            </w:pPr>
            <w:r>
              <w:rPr>
                <w:rFonts w:hint="default" w:ascii="Times New Roman" w:hAnsi="Times New Roman" w:eastAsia="宋体" w:cs="Times New Roman"/>
                <w:bCs/>
                <w:color w:val="000000" w:themeColor="text1"/>
                <w:kern w:val="0"/>
                <w:sz w:val="24"/>
                <w:highlight w:val="none"/>
                <w14:textFill>
                  <w14:solidFill>
                    <w14:schemeClr w14:val="tx1"/>
                  </w14:solidFill>
                </w14:textFill>
              </w:rPr>
              <w:t>2023年12月29日，安徽省生态环境厅、发改委员会、财政厅、金融监督管理局联合发布了关于印发《安徽省排污权有偿使用和交易管理办法</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试行</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》《安徽省排污权交易规则</w:t>
            </w:r>
            <w:r>
              <w:rPr>
                <w:rFonts w:hint="default" w:ascii="Times New Roman" w:hAnsi="Times New Roman" w:eastAsia="宋体" w:cs="Times New Roman"/>
                <w:bCs/>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试行</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》《安徽省排污权储备和出让管理办法</w:t>
            </w:r>
            <w:r>
              <w:rPr>
                <w:rFonts w:hint="default" w:ascii="Times New Roman" w:hAnsi="Times New Roman" w:eastAsia="宋体" w:cs="Times New Roman"/>
                <w:bCs/>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试行</w:t>
            </w:r>
            <w:r>
              <w:rPr>
                <w:rFonts w:hint="default" w:ascii="Times New Roman" w:hAnsi="Times New Roman" w:eastAsia="宋体" w:cs="Times New Roman"/>
                <w:bCs/>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》《安徽省排污权租赁管理办法</w:t>
            </w:r>
            <w:r>
              <w:rPr>
                <w:rFonts w:hint="default" w:ascii="Times New Roman" w:hAnsi="Times New Roman" w:eastAsia="宋体" w:cs="Times New Roman"/>
                <w:bCs/>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试行</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》的通知</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皖环发</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2023</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72号</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，自2024年1月1日起施行</w:t>
            </w:r>
            <w:r>
              <w:rPr>
                <w:rFonts w:hint="default" w:ascii="Times New Roman" w:hAnsi="Times New Roman" w:eastAsia="宋体" w:cs="Times New Roman"/>
                <w:bCs/>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其中明确：现阶段实施排污权交易的污染物种类为化学需氧量（COD）、氨氮（NH</w:t>
            </w:r>
            <w:r>
              <w:rPr>
                <w:rFonts w:hint="default" w:ascii="Times New Roman" w:hAnsi="Times New Roman" w:eastAsia="宋体" w:cs="Times New Roman"/>
                <w:bCs/>
                <w:color w:val="000000" w:themeColor="text1"/>
                <w:kern w:val="0"/>
                <w:sz w:val="24"/>
                <w:highlight w:val="none"/>
                <w:vertAlign w:val="subscript"/>
                <w14:textFill>
                  <w14:solidFill>
                    <w14:schemeClr w14:val="tx1"/>
                  </w14:solidFill>
                </w14:textFill>
              </w:rPr>
              <w:t>3</w:t>
            </w:r>
            <w:r>
              <w:rPr>
                <w:rFonts w:hint="default" w:ascii="Times New Roman" w:hAnsi="Times New Roman" w:eastAsia="宋体" w:cs="Times New Roman"/>
                <w:bCs/>
                <w:color w:val="000000" w:themeColor="text1"/>
                <w:kern w:val="0"/>
                <w:sz w:val="24"/>
                <w:highlight w:val="none"/>
                <w14:textFill>
                  <w14:solidFill>
                    <w14:schemeClr w14:val="tx1"/>
                  </w14:solidFill>
                </w14:textFill>
              </w:rPr>
              <w:t>-N）、二氧化硫（SO</w:t>
            </w:r>
            <w:r>
              <w:rPr>
                <w:rFonts w:hint="default" w:ascii="Times New Roman" w:hAnsi="Times New Roman" w:eastAsia="宋体" w:cs="Times New Roman"/>
                <w:bCs/>
                <w:color w:val="000000" w:themeColor="text1"/>
                <w:kern w:val="0"/>
                <w:sz w:val="24"/>
                <w:highlight w:val="none"/>
                <w:vertAlign w:val="subscript"/>
                <w14:textFill>
                  <w14:solidFill>
                    <w14:schemeClr w14:val="tx1"/>
                  </w14:solidFill>
                </w14:textFill>
              </w:rPr>
              <w:t>2</w:t>
            </w:r>
            <w:r>
              <w:rPr>
                <w:rFonts w:hint="default" w:ascii="Times New Roman" w:hAnsi="Times New Roman" w:eastAsia="宋体" w:cs="Times New Roman"/>
                <w:bCs/>
                <w:color w:val="000000" w:themeColor="text1"/>
                <w:kern w:val="0"/>
                <w:sz w:val="24"/>
                <w:highlight w:val="none"/>
                <w14:textFill>
                  <w14:solidFill>
                    <w14:schemeClr w14:val="tx1"/>
                  </w14:solidFill>
                </w14:textFill>
              </w:rPr>
              <w:t>）、氮氧化物（NOx）4 类。实施排污权交易的排污单位为全省列入排污许可证重点和简化管理范围内有污染物许可排放量要求的排污单位。</w:t>
            </w:r>
          </w:p>
          <w:p w14:paraId="51043974">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bCs/>
                <w:color w:val="000000" w:themeColor="text1"/>
                <w:kern w:val="0"/>
                <w:sz w:val="24"/>
                <w:highlight w:val="none"/>
                <w14:textFill>
                  <w14:solidFill>
                    <w14:schemeClr w14:val="tx1"/>
                  </w14:solidFill>
                </w14:textFill>
              </w:rPr>
              <w:t>根据《固定污染源排污许可分类管理名录》</w:t>
            </w:r>
            <w:r>
              <w:rPr>
                <w:rFonts w:hint="default" w:ascii="Times New Roman" w:hAnsi="Times New Roman" w:eastAsia="宋体" w:cs="Times New Roman"/>
                <w:bCs/>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2019年版</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，本项目管理类别为</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登记</w:t>
            </w:r>
            <w:r>
              <w:rPr>
                <w:rFonts w:hint="default" w:ascii="Times New Roman" w:hAnsi="Times New Roman" w:eastAsia="宋体" w:cs="Times New Roman"/>
                <w:bCs/>
                <w:color w:val="000000" w:themeColor="text1"/>
                <w:kern w:val="0"/>
                <w:sz w:val="24"/>
                <w:highlight w:val="none"/>
                <w14:textFill>
                  <w14:solidFill>
                    <w14:schemeClr w14:val="tx1"/>
                  </w14:solidFill>
                </w14:textFill>
              </w:rPr>
              <w:t>管理，根据《排污许可证申请与核发技术规范 总则》</w:t>
            </w:r>
            <w:r>
              <w:rPr>
                <w:rFonts w:hint="default" w:ascii="Times New Roman" w:hAnsi="Times New Roman" w:eastAsia="宋体" w:cs="Times New Roman"/>
                <w:bCs/>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14:textFill>
                  <w14:solidFill>
                    <w14:schemeClr w14:val="tx1"/>
                  </w14:solidFill>
                </w14:textFill>
              </w:rPr>
              <w:t>H942-2018</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bCs/>
                <w:color w:val="000000" w:themeColor="text1"/>
                <w:kern w:val="0"/>
                <w:sz w:val="24"/>
                <w:highlight w:val="none"/>
                <w:lang w:val="en-US" w:eastAsia="zh-CN"/>
                <w14:textFill>
                  <w14:solidFill>
                    <w14:schemeClr w14:val="tx1"/>
                  </w14:solidFill>
                </w14:textFill>
              </w:rPr>
              <w:t>排污许可证申请与核发技术规范 汽车制造业》（HJ971-2018）</w:t>
            </w:r>
            <w:r>
              <w:rPr>
                <w:rFonts w:hint="eastAsia" w:cs="Times New Roman"/>
                <w:bCs/>
                <w:color w:val="000000" w:themeColor="text1"/>
                <w:kern w:val="0"/>
                <w:sz w:val="24"/>
                <w:highlight w:val="none"/>
                <w:lang w:val="en-US" w:eastAsia="zh-CN"/>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《排污许可证申请与核发技术规范 橡胶和塑料制品工业》（HJ1122-2020）</w:t>
            </w:r>
            <w:r>
              <w:rPr>
                <w:rFonts w:hint="default" w:ascii="Times New Roman" w:hAnsi="Times New Roman" w:eastAsia="宋体" w:cs="Times New Roman"/>
                <w:bCs/>
                <w:color w:val="000000" w:themeColor="text1"/>
                <w:kern w:val="0"/>
                <w:sz w:val="24"/>
                <w:highlight w:val="none"/>
                <w14:textFill>
                  <w14:solidFill>
                    <w14:schemeClr w14:val="tx1"/>
                  </w14:solidFill>
                </w14:textFill>
              </w:rPr>
              <w:t>，本项目的废气、废水排放口均为一般排放口，一般排放口不许可排放量，因此企业的初始排污权为零，本项目不需要在排污权范围内新增指标。</w:t>
            </w:r>
          </w:p>
        </w:tc>
      </w:tr>
    </w:tbl>
    <w:p w14:paraId="466388D0">
      <w:pPr>
        <w:pStyle w:val="18"/>
        <w:jc w:val="center"/>
        <w:outlineLvl w:val="0"/>
        <w:rPr>
          <w:rFonts w:ascii="Times New Roman" w:hAnsi="Times New Roman" w:eastAsia="宋体"/>
          <w:caps w:val="0"/>
          <w:snapToGrid w:val="0"/>
          <w:color w:val="000000" w:themeColor="text1"/>
          <w:sz w:val="30"/>
          <w:szCs w:val="30"/>
          <w:highlight w:val="none"/>
          <w14:textFill>
            <w14:solidFill>
              <w14:schemeClr w14:val="tx1"/>
            </w14:solidFill>
          </w14:textFill>
        </w:rPr>
      </w:pPr>
      <w:r>
        <w:rPr>
          <w:rFonts w:ascii="Times New Roman" w:hAnsi="Times New Roman" w:eastAsia="宋体"/>
          <w:caps w:val="0"/>
          <w:snapToGrid w:val="0"/>
          <w:color w:val="000000" w:themeColor="text1"/>
          <w:sz w:val="36"/>
          <w:szCs w:val="36"/>
          <w:highlight w:val="none"/>
          <w14:textFill>
            <w14:solidFill>
              <w14:schemeClr w14:val="tx1"/>
            </w14:solidFill>
          </w14:textFill>
        </w:rPr>
        <w:br w:type="page"/>
      </w:r>
      <w:r>
        <w:rPr>
          <w:rFonts w:hint="eastAsia" w:ascii="Times New Roman" w:hAnsi="Times New Roman" w:eastAsia="宋体"/>
          <w:caps w:val="0"/>
          <w:snapToGrid w:val="0"/>
          <w:color w:val="000000" w:themeColor="text1"/>
          <w:sz w:val="30"/>
          <w:szCs w:val="30"/>
          <w:highlight w:val="none"/>
          <w14:textFill>
            <w14:solidFill>
              <w14:schemeClr w14:val="tx1"/>
            </w14:solidFill>
          </w14:textFill>
        </w:rPr>
        <w:t>四、主要环境影响和保护措施</w:t>
      </w:r>
    </w:p>
    <w:tbl>
      <w:tblPr>
        <w:tblStyle w:val="21"/>
        <w:tblW w:w="882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0"/>
        <w:gridCol w:w="8305"/>
      </w:tblGrid>
      <w:tr w14:paraId="40F4DA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23" w:hRule="atLeast"/>
          <w:jc w:val="center"/>
        </w:trPr>
        <w:tc>
          <w:tcPr>
            <w:tcW w:w="520" w:type="dxa"/>
            <w:tcMar>
              <w:left w:w="28" w:type="dxa"/>
              <w:right w:w="28" w:type="dxa"/>
            </w:tcMar>
            <w:vAlign w:val="center"/>
          </w:tcPr>
          <w:p w14:paraId="6DEB283C">
            <w:pPr>
              <w:pStyle w:val="18"/>
              <w:adjustRightInd w:val="0"/>
              <w:snapToGrid w:val="0"/>
              <w:spacing w:before="0" w:beforeAutospacing="0" w:after="0" w:afterAutospacing="0"/>
              <w:jc w:val="center"/>
              <w:rPr>
                <w:rFonts w:ascii="Times New Roman" w:hAnsi="Times New Roman" w:eastAsia="宋体" w:cs="宋体"/>
                <w:caps w:val="0"/>
                <w:color w:val="000000" w:themeColor="text1"/>
                <w:kern w:val="2"/>
                <w:szCs w:val="24"/>
                <w:highlight w:val="none"/>
                <w14:textFill>
                  <w14:solidFill>
                    <w14:schemeClr w14:val="tx1"/>
                  </w14:solidFill>
                </w14:textFill>
              </w:rPr>
            </w:pPr>
            <w:r>
              <w:rPr>
                <w:rFonts w:hint="eastAsia" w:ascii="Times New Roman" w:hAnsi="Times New Roman" w:eastAsia="宋体" w:cs="宋体"/>
                <w:caps w:val="0"/>
                <w:color w:val="000000" w:themeColor="text1"/>
                <w:kern w:val="2"/>
                <w:szCs w:val="24"/>
                <w:highlight w:val="none"/>
                <w14:textFill>
                  <w14:solidFill>
                    <w14:schemeClr w14:val="tx1"/>
                  </w14:solidFill>
                </w14:textFill>
              </w:rPr>
              <w:t>施工</w:t>
            </w:r>
          </w:p>
          <w:p w14:paraId="573BE38E">
            <w:pPr>
              <w:pStyle w:val="18"/>
              <w:adjustRightInd w:val="0"/>
              <w:snapToGrid w:val="0"/>
              <w:spacing w:before="0" w:beforeAutospacing="0" w:after="0" w:afterAutospacing="0"/>
              <w:jc w:val="center"/>
              <w:rPr>
                <w:rFonts w:ascii="Times New Roman" w:hAnsi="Times New Roman" w:eastAsia="宋体" w:cs="宋体"/>
                <w:caps w:val="0"/>
                <w:color w:val="000000" w:themeColor="text1"/>
                <w:kern w:val="2"/>
                <w:szCs w:val="24"/>
                <w:highlight w:val="none"/>
                <w14:textFill>
                  <w14:solidFill>
                    <w14:schemeClr w14:val="tx1"/>
                  </w14:solidFill>
                </w14:textFill>
              </w:rPr>
            </w:pPr>
            <w:r>
              <w:rPr>
                <w:rFonts w:hint="eastAsia" w:ascii="Times New Roman" w:hAnsi="Times New Roman" w:eastAsia="宋体" w:cs="宋体"/>
                <w:caps w:val="0"/>
                <w:color w:val="000000" w:themeColor="text1"/>
                <w:kern w:val="2"/>
                <w:szCs w:val="24"/>
                <w:highlight w:val="none"/>
                <w14:textFill>
                  <w14:solidFill>
                    <w14:schemeClr w14:val="tx1"/>
                  </w14:solidFill>
                </w14:textFill>
              </w:rPr>
              <w:t>期环</w:t>
            </w:r>
          </w:p>
          <w:p w14:paraId="702A712F">
            <w:pPr>
              <w:pStyle w:val="18"/>
              <w:adjustRightInd w:val="0"/>
              <w:snapToGrid w:val="0"/>
              <w:spacing w:before="0" w:beforeAutospacing="0" w:after="0" w:afterAutospacing="0"/>
              <w:jc w:val="center"/>
              <w:rPr>
                <w:rFonts w:ascii="Times New Roman" w:hAnsi="Times New Roman" w:eastAsia="宋体" w:cs="宋体"/>
                <w:caps w:val="0"/>
                <w:color w:val="000000" w:themeColor="text1"/>
                <w:kern w:val="2"/>
                <w:szCs w:val="24"/>
                <w:highlight w:val="none"/>
                <w14:textFill>
                  <w14:solidFill>
                    <w14:schemeClr w14:val="tx1"/>
                  </w14:solidFill>
                </w14:textFill>
              </w:rPr>
            </w:pPr>
            <w:r>
              <w:rPr>
                <w:rFonts w:hint="eastAsia" w:ascii="Times New Roman" w:hAnsi="Times New Roman" w:eastAsia="宋体" w:cs="宋体"/>
                <w:caps w:val="0"/>
                <w:color w:val="000000" w:themeColor="text1"/>
                <w:kern w:val="2"/>
                <w:szCs w:val="24"/>
                <w:highlight w:val="none"/>
                <w14:textFill>
                  <w14:solidFill>
                    <w14:schemeClr w14:val="tx1"/>
                  </w14:solidFill>
                </w14:textFill>
              </w:rPr>
              <w:t>境保</w:t>
            </w:r>
          </w:p>
          <w:p w14:paraId="7F3AC78A">
            <w:pPr>
              <w:pStyle w:val="18"/>
              <w:adjustRightInd w:val="0"/>
              <w:snapToGrid w:val="0"/>
              <w:spacing w:before="0" w:beforeAutospacing="0" w:after="0" w:afterAutospacing="0"/>
              <w:jc w:val="center"/>
              <w:rPr>
                <w:rFonts w:ascii="Times New Roman" w:hAnsi="Times New Roman" w:eastAsia="宋体" w:cs="宋体"/>
                <w:caps w:val="0"/>
                <w:color w:val="000000" w:themeColor="text1"/>
                <w:kern w:val="2"/>
                <w:szCs w:val="24"/>
                <w:highlight w:val="none"/>
                <w14:textFill>
                  <w14:solidFill>
                    <w14:schemeClr w14:val="tx1"/>
                  </w14:solidFill>
                </w14:textFill>
              </w:rPr>
            </w:pPr>
            <w:r>
              <w:rPr>
                <w:rFonts w:hint="eastAsia" w:ascii="Times New Roman" w:hAnsi="Times New Roman" w:eastAsia="宋体" w:cs="宋体"/>
                <w:caps w:val="0"/>
                <w:color w:val="000000" w:themeColor="text1"/>
                <w:kern w:val="2"/>
                <w:szCs w:val="24"/>
                <w:highlight w:val="none"/>
                <w14:textFill>
                  <w14:solidFill>
                    <w14:schemeClr w14:val="tx1"/>
                  </w14:solidFill>
                </w14:textFill>
              </w:rPr>
              <w:t>护措</w:t>
            </w:r>
          </w:p>
          <w:p w14:paraId="035C792C">
            <w:pPr>
              <w:pStyle w:val="18"/>
              <w:adjustRightInd w:val="0"/>
              <w:snapToGrid w:val="0"/>
              <w:spacing w:before="0" w:beforeAutospacing="0" w:after="0" w:afterAutospacing="0"/>
              <w:jc w:val="center"/>
              <w:rPr>
                <w:rFonts w:ascii="Times New Roman" w:hAnsi="Times New Roman" w:eastAsia="宋体" w:cs="宋体"/>
                <w:bCs/>
                <w:caps w:val="0"/>
                <w:color w:val="000000" w:themeColor="text1"/>
                <w:kern w:val="2"/>
                <w:szCs w:val="24"/>
                <w:highlight w:val="none"/>
                <w14:textFill>
                  <w14:solidFill>
                    <w14:schemeClr w14:val="tx1"/>
                  </w14:solidFill>
                </w14:textFill>
              </w:rPr>
            </w:pPr>
            <w:r>
              <w:rPr>
                <w:rFonts w:hint="eastAsia" w:ascii="Times New Roman" w:hAnsi="Times New Roman" w:eastAsia="宋体" w:cs="宋体"/>
                <w:caps w:val="0"/>
                <w:color w:val="000000" w:themeColor="text1"/>
                <w:kern w:val="2"/>
                <w:szCs w:val="24"/>
                <w:highlight w:val="none"/>
                <w14:textFill>
                  <w14:solidFill>
                    <w14:schemeClr w14:val="tx1"/>
                  </w14:solidFill>
                </w14:textFill>
              </w:rPr>
              <w:t>施</w:t>
            </w:r>
          </w:p>
        </w:tc>
        <w:tc>
          <w:tcPr>
            <w:tcW w:w="8305" w:type="dxa"/>
            <w:vAlign w:val="center"/>
          </w:tcPr>
          <w:p w14:paraId="7332EFAE">
            <w:pPr>
              <w:keepNext w:val="0"/>
              <w:keepLines w:val="0"/>
              <w:pageBreakBefore w:val="0"/>
              <w:widowControl/>
              <w:numPr>
                <w:ilvl w:val="0"/>
                <w:numId w:val="5"/>
              </w:numPr>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 xml:space="preserve">废气 </w:t>
            </w:r>
          </w:p>
          <w:p w14:paraId="51FB7F7C">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本项目施工期的大气污染源主要有扬尘源、交通尾气及装修过程中的废气。 </w:t>
            </w:r>
          </w:p>
          <w:p w14:paraId="286FD7F4">
            <w:pPr>
              <w:keepNext w:val="0"/>
              <w:keepLines w:val="0"/>
              <w:pageBreakBefore w:val="0"/>
              <w:widowControl/>
              <w:numPr>
                <w:ilvl w:val="0"/>
                <w:numId w:val="6"/>
              </w:numPr>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扬尘 </w:t>
            </w:r>
          </w:p>
          <w:p w14:paraId="3D5921D3">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项目施工过程中，扬尘起尘特征总体分为两类：一类是静态起尘，主要指土方、建 筑垃圾堆放过程中风蚀尘及施工场地的风蚀尘，另一类是动态起尘，主要指建筑材料、 建筑垃圾装卸过程起尘及运输车辆往来造成的地面扬尘。 </w:t>
            </w:r>
          </w:p>
          <w:p w14:paraId="2E60B464">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①堆场扬尘 </w:t>
            </w:r>
          </w:p>
          <w:p w14:paraId="52AC036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项目施工时的堆场扬尘主要来自建筑材料和施工垃圾的堆场，属于静态扬尘。项目施工期所用物料砖、石子为块状，一般不会产生粉尘污染；所用石灰主要采用石灰膏，因其含水率较高且为膏状，不是粉状颗粒物，一般情况下不会产生粉尘污染；砂的粒径一般在200～2000μm，为粒径较大的颗粒物，一般气象条件下（非大风天气）不易起尘； 施工过程中产生的建筑垃圾主要为碎砖、混凝土等物，因它们多为块状或大粒径结构，只要及时回填利用，一般情况下不易起尘；所挖土方含水率一般较高，只要及时回填利用，一般不会因长期堆积表面干燥而起尘。 </w:t>
            </w:r>
          </w:p>
          <w:p w14:paraId="57F26692">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②运输扬尘 </w:t>
            </w:r>
          </w:p>
          <w:p w14:paraId="49C05895">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运输扬尘主要包括运输过程中产生的扬尘以及运输车辆造成的道路扬尘，该种扬尘属于动态起尘。动态起尘与材料粒径、环境风速、装卸高度、装卸强度等密切相关，其中受风力因素的影响最大。综上所述，项目施工期起尘环节虽然较多，但类比资料及现场调查结果，施工期主要起尘环节为物料堆场及装卸过程、车辆运输，其它过程如场地平整造成的地面扬尘，因产生量相对较小、较为分散且受自然条件影响较大，所以不考虑其对周围环境的影响。</w:t>
            </w:r>
          </w:p>
          <w:p w14:paraId="143936A6">
            <w:pPr>
              <w:keepNext w:val="0"/>
              <w:keepLines w:val="0"/>
              <w:pageBreakBefore w:val="0"/>
              <w:widowControl/>
              <w:numPr>
                <w:ilvl w:val="0"/>
                <w:numId w:val="6"/>
              </w:numPr>
              <w:kinsoku/>
              <w:wordWrap/>
              <w:overflowPunct/>
              <w:topLinePunct w:val="0"/>
              <w:autoSpaceDE/>
              <w:autoSpaceDN/>
              <w:bidi w:val="0"/>
              <w:spacing w:line="360" w:lineRule="auto"/>
              <w:ind w:left="0" w:leftChars="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交通尾气 </w:t>
            </w:r>
          </w:p>
          <w:p w14:paraId="40471BC5">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项目施工现场机械虽较多，但主要以电力为能源，无废气的产生。只有打桩机和运输车辆以汽、柴油为燃料，有交通尾气的排放。本项目施工车辆尾气排放量较少，使用期短，对大气环境影响较小。</w:t>
            </w:r>
          </w:p>
          <w:p w14:paraId="339A0A65">
            <w:pPr>
              <w:keepNext w:val="0"/>
              <w:keepLines w:val="0"/>
              <w:pageBreakBefore w:val="0"/>
              <w:widowControl/>
              <w:numPr>
                <w:ilvl w:val="0"/>
                <w:numId w:val="0"/>
              </w:numPr>
              <w:kinsoku/>
              <w:wordWrap/>
              <w:overflowPunct/>
              <w:topLinePunct w:val="0"/>
              <w:autoSpaceDE/>
              <w:autoSpaceDN/>
              <w:bidi w:val="0"/>
              <w:spacing w:line="360" w:lineRule="auto"/>
              <w:ind w:left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3）装修废气</w:t>
            </w:r>
          </w:p>
          <w:p w14:paraId="495CBACF">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装修废气主要来自于厂房装修阶段，该废气的排放属无组织排放，本项目对装修涂料要求较严格，选用水性涂料，废气产生量较少，因此，本次评价不定量分析。</w:t>
            </w:r>
          </w:p>
          <w:p w14:paraId="29F94DEC">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2、废水</w:t>
            </w:r>
          </w:p>
          <w:p w14:paraId="1F8BA477">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期的废水排放主要来自于施工人员的生活污水和施工废水，施工废水主要有混凝土养护废水及地基挖掘时的地下水，主要污染物为SS。生活污水来自施工人员排放的生活污水，其水质与城市生活污水差别不大。</w:t>
            </w:r>
          </w:p>
          <w:p w14:paraId="5D05FB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①生活污水</w:t>
            </w:r>
          </w:p>
          <w:p w14:paraId="5C1A54AD">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施工人员平均按60人计，根据类比统计，施工人员的生活用水量约为50L/人·日，则施工期生活用水量为3t/d。生活污水的排放量按用水量的80%计，则排放量为2.4t/d。</w:t>
            </w:r>
          </w:p>
          <w:p w14:paraId="70DD8C0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本项目施工期约12个月，则施工期间生活污水产生量约864t，经处理后排入市政污水管网。</w:t>
            </w:r>
          </w:p>
          <w:p w14:paraId="32F89988">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②地基挖掘时的地下水和浇注混凝土的冲洗水</w:t>
            </w:r>
          </w:p>
          <w:p w14:paraId="063E6BDF">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地基挖掘时的地下水量与地质情况有关，浇注混凝土的冲洗水量与天气状况有关，主要污染因子是SS，其排放量均难以估算。该污水要进行截流后集中处理，否则将会把施工区块的泥沙带入到水体环境中。</w:t>
            </w:r>
          </w:p>
          <w:p w14:paraId="1C0D668B">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3、噪声</w:t>
            </w:r>
          </w:p>
          <w:p w14:paraId="08E085FF">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施工期间，运输车辆和各种施工机械如打桩机、挖掘机、推土机、搅拌机都是主要的噪声源，根据有关资料，这些机械、设备运行时的噪声值如表</w:t>
            </w:r>
            <w:r>
              <w:rPr>
                <w:rFonts w:hint="default" w:ascii="Times New Roman" w:hAnsi="Times New Roman" w:eastAsia="宋体" w:cs="Times New Roman"/>
                <w:sz w:val="24"/>
                <w:szCs w:val="24"/>
                <w:lang w:val="en-US" w:eastAsia="zh-CN"/>
              </w:rPr>
              <w:t>4-1</w:t>
            </w:r>
          </w:p>
          <w:p w14:paraId="28886CBD">
            <w:pPr>
              <w:keepNext w:val="0"/>
              <w:keepLines w:val="0"/>
              <w:pageBreakBefore w:val="0"/>
              <w:kinsoku/>
              <w:wordWrap/>
              <w:overflowPunct/>
              <w:topLinePunct w:val="0"/>
              <w:autoSpaceDE/>
              <w:autoSpaceDN/>
              <w:bidi w:val="0"/>
              <w:adjustRightInd w:val="0"/>
              <w:snapToGrid w:val="0"/>
              <w:spacing w:line="360" w:lineRule="auto"/>
              <w:ind w:firstLine="482" w:firstLineChars="200"/>
              <w:jc w:val="center"/>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default"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 xml:space="preserve">4-1 </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default"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施工机械设备噪声值</w:t>
            </w:r>
          </w:p>
          <w:tbl>
            <w:tblPr>
              <w:tblStyle w:val="21"/>
              <w:tblW w:w="81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3429"/>
              <w:gridCol w:w="3328"/>
            </w:tblGrid>
            <w:tr w14:paraId="498524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57" w:type="pct"/>
                  <w:tcBorders>
                    <w:tl2br w:val="nil"/>
                    <w:tr2bl w:val="nil"/>
                  </w:tcBorders>
                  <w:vAlign w:val="center"/>
                </w:tcPr>
                <w:p w14:paraId="627BF4C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序号</w:t>
                  </w:r>
                </w:p>
              </w:tc>
              <w:tc>
                <w:tcPr>
                  <w:tcW w:w="2102" w:type="pct"/>
                  <w:tcBorders>
                    <w:tl2br w:val="nil"/>
                    <w:tr2bl w:val="nil"/>
                  </w:tcBorders>
                  <w:vAlign w:val="center"/>
                </w:tcPr>
                <w:p w14:paraId="1D24504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设备名称</w:t>
                  </w:r>
                </w:p>
              </w:tc>
              <w:tc>
                <w:tcPr>
                  <w:tcW w:w="2040" w:type="pct"/>
                  <w:tcBorders>
                    <w:tl2br w:val="nil"/>
                    <w:tr2bl w:val="nil"/>
                  </w:tcBorders>
                  <w:vAlign w:val="center"/>
                </w:tcPr>
                <w:p w14:paraId="680C6EE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14:textFill>
                        <w14:solidFill>
                          <w14:schemeClr w14:val="tx1"/>
                        </w14:solidFill>
                      </w14:textFill>
                    </w:rPr>
                    <w:t>距源10m处A声级 dB（A</w:t>
                  </w:r>
                  <w:r>
                    <w:rPr>
                      <w:rFonts w:hint="default" w:ascii="Times New Roman" w:hAnsi="Times New Roman" w:eastAsia="宋体" w:cs="Times New Roman"/>
                      <w:b/>
                      <w:caps w:val="0"/>
                      <w:color w:val="000000" w:themeColor="text1"/>
                      <w:sz w:val="21"/>
                      <w:szCs w:val="21"/>
                      <w:highlight w:val="none"/>
                      <w:lang w:eastAsia="zh-CN"/>
                      <w14:textFill>
                        <w14:solidFill>
                          <w14:schemeClr w14:val="tx1"/>
                        </w14:solidFill>
                      </w14:textFill>
                    </w:rPr>
                    <w:t>）</w:t>
                  </w:r>
                </w:p>
              </w:tc>
            </w:tr>
            <w:tr w14:paraId="7CC253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57" w:type="pct"/>
                  <w:tcBorders>
                    <w:tl2br w:val="nil"/>
                    <w:tr2bl w:val="nil"/>
                  </w:tcBorders>
                  <w:vAlign w:val="center"/>
                </w:tcPr>
                <w:p w14:paraId="694AD2D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1</w:t>
                  </w:r>
                </w:p>
              </w:tc>
              <w:tc>
                <w:tcPr>
                  <w:tcW w:w="2102" w:type="pct"/>
                  <w:tcBorders>
                    <w:tl2br w:val="nil"/>
                    <w:tr2bl w:val="nil"/>
                  </w:tcBorders>
                  <w:vAlign w:val="center"/>
                </w:tcPr>
                <w:p w14:paraId="35BAF13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打桩机</w:t>
                  </w:r>
                </w:p>
              </w:tc>
              <w:tc>
                <w:tcPr>
                  <w:tcW w:w="2040" w:type="pct"/>
                  <w:tcBorders>
                    <w:tl2br w:val="nil"/>
                    <w:tr2bl w:val="nil"/>
                  </w:tcBorders>
                  <w:vAlign w:val="center"/>
                </w:tcPr>
                <w:p w14:paraId="2820BED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90</w:t>
                  </w:r>
                </w:p>
              </w:tc>
            </w:tr>
            <w:tr w14:paraId="7BC307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57" w:type="pct"/>
                  <w:tcBorders>
                    <w:tl2br w:val="nil"/>
                    <w:tr2bl w:val="nil"/>
                  </w:tcBorders>
                  <w:vAlign w:val="center"/>
                </w:tcPr>
                <w:p w14:paraId="5475683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2</w:t>
                  </w:r>
                </w:p>
              </w:tc>
              <w:tc>
                <w:tcPr>
                  <w:tcW w:w="2102" w:type="pct"/>
                  <w:tcBorders>
                    <w:tl2br w:val="nil"/>
                    <w:tr2bl w:val="nil"/>
                  </w:tcBorders>
                  <w:vAlign w:val="center"/>
                </w:tcPr>
                <w:p w14:paraId="41DD5EF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挖掘机</w:t>
                  </w:r>
                </w:p>
              </w:tc>
              <w:tc>
                <w:tcPr>
                  <w:tcW w:w="2040" w:type="pct"/>
                  <w:tcBorders>
                    <w:tl2br w:val="nil"/>
                    <w:tr2bl w:val="nil"/>
                  </w:tcBorders>
                  <w:vAlign w:val="center"/>
                </w:tcPr>
                <w:p w14:paraId="087AD1E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82</w:t>
                  </w:r>
                </w:p>
              </w:tc>
            </w:tr>
            <w:tr w14:paraId="16413E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57" w:type="pct"/>
                  <w:tcBorders>
                    <w:tl2br w:val="nil"/>
                    <w:tr2bl w:val="nil"/>
                  </w:tcBorders>
                  <w:vAlign w:val="center"/>
                </w:tcPr>
                <w:p w14:paraId="18C48B7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3</w:t>
                  </w:r>
                </w:p>
              </w:tc>
              <w:tc>
                <w:tcPr>
                  <w:tcW w:w="2102" w:type="pct"/>
                  <w:tcBorders>
                    <w:tl2br w:val="nil"/>
                    <w:tr2bl w:val="nil"/>
                  </w:tcBorders>
                  <w:vAlign w:val="center"/>
                </w:tcPr>
                <w:p w14:paraId="506C75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推土机</w:t>
                  </w:r>
                </w:p>
              </w:tc>
              <w:tc>
                <w:tcPr>
                  <w:tcW w:w="2040" w:type="pct"/>
                  <w:tcBorders>
                    <w:tl2br w:val="nil"/>
                    <w:tr2bl w:val="nil"/>
                  </w:tcBorders>
                  <w:vAlign w:val="center"/>
                </w:tcPr>
                <w:p w14:paraId="3F883B3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76</w:t>
                  </w:r>
                </w:p>
              </w:tc>
            </w:tr>
            <w:tr w14:paraId="3261FB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57" w:type="pct"/>
                  <w:tcBorders>
                    <w:tl2br w:val="nil"/>
                    <w:tr2bl w:val="nil"/>
                  </w:tcBorders>
                  <w:vAlign w:val="center"/>
                </w:tcPr>
                <w:p w14:paraId="5C3FDF4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4</w:t>
                  </w:r>
                </w:p>
              </w:tc>
              <w:tc>
                <w:tcPr>
                  <w:tcW w:w="2102" w:type="pct"/>
                  <w:tcBorders>
                    <w:tl2br w:val="nil"/>
                    <w:tr2bl w:val="nil"/>
                  </w:tcBorders>
                  <w:vAlign w:val="center"/>
                </w:tcPr>
                <w:p w14:paraId="48DC7CD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混凝土搅拌机</w:t>
                  </w:r>
                </w:p>
              </w:tc>
              <w:tc>
                <w:tcPr>
                  <w:tcW w:w="2040" w:type="pct"/>
                  <w:tcBorders>
                    <w:tl2br w:val="nil"/>
                    <w:tr2bl w:val="nil"/>
                  </w:tcBorders>
                  <w:vAlign w:val="center"/>
                </w:tcPr>
                <w:p w14:paraId="43337D4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84</w:t>
                  </w:r>
                </w:p>
              </w:tc>
            </w:tr>
            <w:tr w14:paraId="53014B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57" w:type="pct"/>
                  <w:tcBorders>
                    <w:tl2br w:val="nil"/>
                    <w:tr2bl w:val="nil"/>
                  </w:tcBorders>
                  <w:vAlign w:val="center"/>
                </w:tcPr>
                <w:p w14:paraId="2D4590B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5</w:t>
                  </w:r>
                </w:p>
              </w:tc>
              <w:tc>
                <w:tcPr>
                  <w:tcW w:w="2102" w:type="pct"/>
                  <w:tcBorders>
                    <w:tl2br w:val="nil"/>
                    <w:tr2bl w:val="nil"/>
                  </w:tcBorders>
                  <w:vAlign w:val="center"/>
                </w:tcPr>
                <w:p w14:paraId="7B6901B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起重机</w:t>
                  </w:r>
                </w:p>
              </w:tc>
              <w:tc>
                <w:tcPr>
                  <w:tcW w:w="2040" w:type="pct"/>
                  <w:tcBorders>
                    <w:tl2br w:val="nil"/>
                    <w:tr2bl w:val="nil"/>
                  </w:tcBorders>
                  <w:vAlign w:val="center"/>
                </w:tcPr>
                <w:p w14:paraId="0AC32A4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82</w:t>
                  </w:r>
                </w:p>
              </w:tc>
            </w:tr>
            <w:tr w14:paraId="689ED1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57" w:type="pct"/>
                  <w:tcBorders>
                    <w:tl2br w:val="nil"/>
                    <w:tr2bl w:val="nil"/>
                  </w:tcBorders>
                  <w:vAlign w:val="center"/>
                </w:tcPr>
                <w:p w14:paraId="7215E50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6</w:t>
                  </w:r>
                </w:p>
              </w:tc>
              <w:tc>
                <w:tcPr>
                  <w:tcW w:w="2102" w:type="pct"/>
                  <w:tcBorders>
                    <w:tl2br w:val="nil"/>
                    <w:tr2bl w:val="nil"/>
                  </w:tcBorders>
                  <w:vAlign w:val="center"/>
                </w:tcPr>
                <w:p w14:paraId="17F5877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压路机</w:t>
                  </w:r>
                </w:p>
              </w:tc>
              <w:tc>
                <w:tcPr>
                  <w:tcW w:w="2040" w:type="pct"/>
                  <w:tcBorders>
                    <w:tl2br w:val="nil"/>
                    <w:tr2bl w:val="nil"/>
                  </w:tcBorders>
                  <w:vAlign w:val="center"/>
                </w:tcPr>
                <w:p w14:paraId="44DDCA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82</w:t>
                  </w:r>
                </w:p>
              </w:tc>
            </w:tr>
            <w:tr w14:paraId="4E569E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57" w:type="pct"/>
                  <w:tcBorders>
                    <w:tl2br w:val="nil"/>
                    <w:tr2bl w:val="nil"/>
                  </w:tcBorders>
                  <w:vAlign w:val="center"/>
                </w:tcPr>
                <w:p w14:paraId="215F899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7</w:t>
                  </w:r>
                </w:p>
              </w:tc>
              <w:tc>
                <w:tcPr>
                  <w:tcW w:w="2102" w:type="pct"/>
                  <w:tcBorders>
                    <w:tl2br w:val="nil"/>
                    <w:tr2bl w:val="nil"/>
                  </w:tcBorders>
                  <w:vAlign w:val="center"/>
                </w:tcPr>
                <w:p w14:paraId="4AB1DB7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卡车</w:t>
                  </w:r>
                </w:p>
              </w:tc>
              <w:tc>
                <w:tcPr>
                  <w:tcW w:w="2040" w:type="pct"/>
                  <w:tcBorders>
                    <w:tl2br w:val="nil"/>
                    <w:tr2bl w:val="nil"/>
                  </w:tcBorders>
                  <w:vAlign w:val="center"/>
                </w:tcPr>
                <w:p w14:paraId="2597BC9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85</w:t>
                  </w:r>
                </w:p>
              </w:tc>
            </w:tr>
          </w:tbl>
          <w:p w14:paraId="6D67FB88">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由上表可以看出，现场施工机械设备噪声很高，在实际施工过程中，往往是各种机械同时工作，各种噪声源辐射的相互迭加，噪声级将会更高，辐射也会更大。</w:t>
            </w:r>
          </w:p>
          <w:p w14:paraId="326EBDA2">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对此，在建筑施工期间向周围排放噪声必须按照《中华人民共和国环境噪声污染防治法》规定，严格按《建筑施工厂界环境噪声排放标准》（GB12523-2011）进行控制。</w:t>
            </w:r>
          </w:p>
          <w:p w14:paraId="2480270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施工期高噪声设备应合理安排施工作业时间，禁止夜间进行高噪声施工作业，杜绝深夜施工噪声扰民，另外，对施工场地平面布局时应将施工机械产噪设备尽量置于场地中央，进行合理布设，减少施工噪声对民众的污染影响。对因生产工艺要求和其它特殊需要，确需在夜间进行超过噪声标准施工的，施工前建设单位应向有关部门申请，经批准后方可进行夜间施工。</w:t>
            </w:r>
          </w:p>
          <w:p w14:paraId="377DFC60">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4、固废</w:t>
            </w:r>
          </w:p>
          <w:p w14:paraId="08C170B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1）建筑垃圾</w:t>
            </w:r>
          </w:p>
          <w:p w14:paraId="3DBE9E45">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在建设过程中产生的建筑垃圾主要有开挖土地产生的土方、建材损耗产生的垃圾、装修产生的建筑垃圾等，包括砂土、石块、水泥、碎木料、锯木屑、废金属、钢筋、铁丝等杂物，施工单位应按地方相关规定及时清理。</w:t>
            </w:r>
          </w:p>
          <w:p w14:paraId="3C8EDC76">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2）生活垃圾</w:t>
            </w:r>
          </w:p>
          <w:p w14:paraId="1641823D">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施工期间施工人员将产生一定量的生活垃圾，由建设单位配合环卫部门及时清理。</w:t>
            </w:r>
          </w:p>
          <w:p w14:paraId="3BF3D616">
            <w:pPr>
              <w:keepNext w:val="0"/>
              <w:keepLines w:val="0"/>
              <w:pageBreakBefore w:val="0"/>
              <w:widowControl/>
              <w:kinsoku/>
              <w:wordWrap/>
              <w:overflowPunct/>
              <w:topLinePunct w:val="0"/>
              <w:autoSpaceDE/>
              <w:autoSpaceDN/>
              <w:bidi w:val="0"/>
              <w:spacing w:line="360" w:lineRule="auto"/>
              <w:jc w:val="left"/>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施工期环境影响分析</w:t>
            </w:r>
          </w:p>
          <w:p w14:paraId="2B8989D6">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1、废气</w:t>
            </w:r>
          </w:p>
          <w:p w14:paraId="4556F7FF">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大气污染物主要是场地平整、车辆运输等产生的悬浮微粒和施工粉尘，另外大量施工机械、车辆排放的尾气也会使施工地周围大气质量变差。主要污染因子为扬尘。施工现场应采用科学管理，洒水抑尘，降低大气污染物的产生量。</w:t>
            </w:r>
          </w:p>
          <w:p w14:paraId="72919486">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2、废水</w:t>
            </w:r>
          </w:p>
          <w:p w14:paraId="68800392">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施工期民工集中，生活污水量增加。此外，冲洗施工机械、工具、地面等的生产废水以及水泥砂浆和石灰浆等废液的排放也增加了附近水体的污染负荷。</w:t>
            </w:r>
          </w:p>
          <w:p w14:paraId="27000813">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施工期水环境的主要污染因子为COD、SS、石油类。加强施工期管理，建造沉淀池、隔油池等污水临时处理设施，对含油量高的施工机械冲洗水或悬浮物含量高的其它施工废水需经处理后方可排放，砂浆和石灰浆等废液宜集中处理，干燥后与固体废弃物一起处置。</w:t>
            </w:r>
          </w:p>
          <w:p w14:paraId="7E991B8D">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3、噪声</w:t>
            </w:r>
          </w:p>
          <w:p w14:paraId="6CDDA604">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项目施工阶段主要噪声来源是各类施工机械设备噪声。施工噪声具有阶段性、临时性和不固定性，不同的施工设备产生的噪声不同。在多台机械设备同时作业时，各台设备产生的噪声会产生叠加。</w:t>
            </w:r>
          </w:p>
          <w:p w14:paraId="30156C51">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本报告选用环评导则推荐的噪声影响预测模式对施工阶段噪声影响进行预测。噪声从声源传播到受声点，因受传播距离、空气吸收与屏障等因素的影响，会使其产生衰减。</w:t>
            </w:r>
          </w:p>
          <w:p w14:paraId="5F738E4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因此，噪声预测方法采用考虑距离衰减、空气吸收衰减和声屏障衰减作用的模式，其预测模式如下：</w:t>
            </w:r>
          </w:p>
          <w:p w14:paraId="03196A2F">
            <w:pPr>
              <w:keepNext w:val="0"/>
              <w:keepLines w:val="0"/>
              <w:pageBreakBefore w:val="0"/>
              <w:widowControl/>
              <w:kinsoku/>
              <w:wordWrap/>
              <w:overflowPunct/>
              <w:topLinePunct w:val="0"/>
              <w:autoSpaceDE/>
              <w:autoSpaceDN/>
              <w:bidi w:val="0"/>
              <w:spacing w:line="360" w:lineRule="auto"/>
              <w:ind w:firstLine="480" w:firstLineChars="20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position w:val="-30"/>
                <w:sz w:val="24"/>
                <w:szCs w:val="24"/>
                <w:lang w:val="en-US" w:eastAsia="zh-CN"/>
              </w:rPr>
              <w:object>
                <v:shape id="_x0000_i1025" o:spt="75" type="#_x0000_t75" style="height:34pt;width:162pt;" o:ole="t" filled="f" o:preferrelative="t" stroked="f" coordsize="21600,21600">
                  <v:path/>
                  <v:fill on="f" focussize="0,0"/>
                  <v:stroke on="f"/>
                  <v:imagedata r:id="rId20" o:title=""/>
                  <o:lock v:ext="edit" aspectratio="t"/>
                  <w10:wrap type="none"/>
                  <w10:anchorlock/>
                </v:shape>
                <o:OLEObject Type="Embed" ProgID="Equation.KSEE3" ShapeID="_x0000_i1025" DrawAspect="Content" ObjectID="_1468075725" r:id="rId19">
                  <o:LockedField>false</o:LockedField>
                </o:OLEObject>
              </w:object>
            </w:r>
          </w:p>
          <w:p w14:paraId="5DD57BC8">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式中：a—衰减常数 dB</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A</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w:t>
            </w:r>
          </w:p>
          <w:p w14:paraId="085AB3D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r—离声源的距离（m）；</w:t>
            </w:r>
          </w:p>
          <w:p w14:paraId="0D05F2F8">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A—声屏障作用引起的衰减量 dB</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A</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w:t>
            </w:r>
          </w:p>
          <w:p w14:paraId="69FBED7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r</w:t>
            </w:r>
            <w:r>
              <w:rPr>
                <w:rFonts w:hint="default" w:ascii="Times New Roman" w:hAnsi="Times New Roman" w:eastAsia="宋体" w:cs="Times New Roman"/>
                <w:sz w:val="24"/>
                <w:szCs w:val="24"/>
                <w:vertAlign w:val="subscript"/>
                <w:lang w:val="en-US" w:eastAsia="zh-CN"/>
              </w:rPr>
              <w:t>0</w:t>
            </w:r>
            <w:r>
              <w:rPr>
                <w:rFonts w:hint="default" w:ascii="Times New Roman" w:hAnsi="Times New Roman" w:eastAsia="宋体" w:cs="Times New Roman"/>
                <w:sz w:val="24"/>
                <w:szCs w:val="24"/>
                <w:lang w:val="en-US" w:eastAsia="zh-CN"/>
              </w:rPr>
              <w:t>—参考位置；</w:t>
            </w:r>
          </w:p>
          <w:p w14:paraId="56871FF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L</w:t>
            </w:r>
            <w:r>
              <w:rPr>
                <w:rFonts w:hint="default" w:ascii="Times New Roman" w:hAnsi="Times New Roman" w:eastAsia="宋体" w:cs="Times New Roman"/>
                <w:sz w:val="24"/>
                <w:szCs w:val="24"/>
                <w:vertAlign w:val="subscript"/>
                <w:lang w:val="en-US" w:eastAsia="zh-CN"/>
              </w:rPr>
              <w:t>0</w:t>
            </w:r>
            <w:r>
              <w:rPr>
                <w:rFonts w:hint="default" w:ascii="Times New Roman" w:hAnsi="Times New Roman" w:eastAsia="宋体" w:cs="Times New Roman"/>
                <w:sz w:val="24"/>
                <w:szCs w:val="24"/>
                <w:lang w:val="en-US" w:eastAsia="zh-CN"/>
              </w:rPr>
              <w:t>—离声源距离r</w:t>
            </w:r>
            <w:r>
              <w:rPr>
                <w:rFonts w:hint="default" w:ascii="Times New Roman" w:hAnsi="Times New Roman" w:eastAsia="宋体" w:cs="Times New Roman"/>
                <w:sz w:val="24"/>
                <w:szCs w:val="24"/>
                <w:vertAlign w:val="subscript"/>
                <w:lang w:val="en-US" w:eastAsia="zh-CN"/>
              </w:rPr>
              <w:t>0</w:t>
            </w:r>
            <w:r>
              <w:rPr>
                <w:rFonts w:hint="default" w:ascii="Times New Roman" w:hAnsi="Times New Roman" w:eastAsia="宋体" w:cs="Times New Roman"/>
                <w:sz w:val="24"/>
                <w:szCs w:val="24"/>
                <w:lang w:val="en-US" w:eastAsia="zh-CN"/>
              </w:rPr>
              <w:t>米处的声压级 dB</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A</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w:t>
            </w:r>
          </w:p>
          <w:p w14:paraId="66A25621">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模式中衰减系数a是与频率，温度、湿度有关的参数。由于本工程区域年均气温15.0℃，年均相对湿度79%，施工机械产生的噪声频率一般属于中低频率，因此本评价取a=0.0029。</w:t>
            </w:r>
          </w:p>
          <w:p w14:paraId="77091E0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多个噪声源叠加后的总压声压级，按下式计算:</w:t>
            </w:r>
          </w:p>
          <w:p w14:paraId="152D011F">
            <w:pPr>
              <w:keepNext w:val="0"/>
              <w:keepLines w:val="0"/>
              <w:pageBreakBefore w:val="0"/>
              <w:widowControl/>
              <w:kinsoku/>
              <w:wordWrap/>
              <w:overflowPunct/>
              <w:topLinePunct w:val="0"/>
              <w:autoSpaceDE/>
              <w:autoSpaceDN/>
              <w:bidi w:val="0"/>
              <w:spacing w:line="360" w:lineRule="auto"/>
              <w:ind w:firstLine="480" w:firstLineChars="20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position w:val="-28"/>
                <w:sz w:val="24"/>
                <w:szCs w:val="24"/>
                <w:lang w:val="en-US" w:eastAsia="zh-CN"/>
              </w:rPr>
              <w:object>
                <v:shape id="_x0000_i1026" o:spt="75" type="#_x0000_t75" style="height:34pt;width:110pt;" o:ole="t" filled="f" o:preferrelative="t" stroked="f" coordsize="21600,21600">
                  <v:path/>
                  <v:fill on="f" focussize="0,0"/>
                  <v:stroke on="f"/>
                  <v:imagedata r:id="rId22" o:title=""/>
                  <o:lock v:ext="edit" aspectratio="t"/>
                  <w10:wrap type="none"/>
                  <w10:anchorlock/>
                </v:shape>
                <o:OLEObject Type="Embed" ProgID="Equation.KSEE3" ShapeID="_x0000_i1026" DrawAspect="Content" ObjectID="_1468075726" r:id="rId21">
                  <o:LockedField>false</o:LockedField>
                </o:OLEObject>
              </w:object>
            </w:r>
          </w:p>
          <w:p w14:paraId="70C2C075">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式中：n—声源总数； L</w:t>
            </w:r>
            <w:r>
              <w:rPr>
                <w:rFonts w:hint="default" w:ascii="Times New Roman" w:hAnsi="Times New Roman" w:eastAsia="宋体" w:cs="Times New Roman"/>
                <w:sz w:val="24"/>
                <w:szCs w:val="24"/>
                <w:vertAlign w:val="subscript"/>
              </w:rPr>
              <w:t>Pi</w:t>
            </w:r>
            <w:r>
              <w:rPr>
                <w:rFonts w:hint="default" w:ascii="Times New Roman" w:hAnsi="Times New Roman" w:eastAsia="宋体" w:cs="Times New Roman"/>
                <w:sz w:val="24"/>
                <w:szCs w:val="24"/>
              </w:rPr>
              <w:t>—对于某点总的声压级。</w:t>
            </w:r>
          </w:p>
          <w:p w14:paraId="5553FED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将每种设备的噪声值分别代入上述两式进行计算，施工现场施工时往往有多少台设备同时运转，现主要分三个阶段来进行预测，分别为土石方阶段，使用的设备有挖土机、推土机、运土卡车；结构阶段，使用的设备有钻机、汽锤风钻、卷扬机、压缩机等；装修阶段使用的设备有吊车、升降机、圆锯等。将所产生的噪声叠加后预测对某个距离的总声压级，计算结果见下表：</w:t>
            </w:r>
          </w:p>
          <w:p w14:paraId="63DCE1C3">
            <w:pPr>
              <w:keepNext w:val="0"/>
              <w:keepLines w:val="0"/>
              <w:pageBreakBefore w:val="0"/>
              <w:kinsoku/>
              <w:wordWrap/>
              <w:overflowPunct/>
              <w:topLinePunct w:val="0"/>
              <w:autoSpaceDE/>
              <w:autoSpaceDN/>
              <w:bidi w:val="0"/>
              <w:adjustRightInd w:val="0"/>
              <w:snapToGrid w:val="0"/>
              <w:spacing w:line="360" w:lineRule="auto"/>
              <w:ind w:firstLine="482" w:firstLineChars="200"/>
              <w:jc w:val="center"/>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default"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4-</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default"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施工机械设备噪声值</w:t>
            </w:r>
          </w:p>
          <w:tbl>
            <w:tblPr>
              <w:tblStyle w:val="21"/>
              <w:tblW w:w="81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28"/>
              <w:gridCol w:w="683"/>
              <w:gridCol w:w="850"/>
              <w:gridCol w:w="867"/>
              <w:gridCol w:w="933"/>
              <w:gridCol w:w="917"/>
              <w:gridCol w:w="967"/>
              <w:gridCol w:w="911"/>
            </w:tblGrid>
            <w:tr w14:paraId="521A2C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243" w:type="pct"/>
                  <w:tcBorders>
                    <w:tl2br w:val="single" w:color="auto" w:sz="12" w:space="0"/>
                  </w:tcBorders>
                  <w:vAlign w:val="center"/>
                </w:tcPr>
                <w:p w14:paraId="54A2B65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 xml:space="preserve">      距离m</w:t>
                  </w:r>
                </w:p>
                <w:p w14:paraId="5668C8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p>
                <w:p w14:paraId="7B4128BB">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施工阶段</w:t>
                  </w:r>
                </w:p>
              </w:tc>
              <w:tc>
                <w:tcPr>
                  <w:tcW w:w="418" w:type="pct"/>
                  <w:tcBorders>
                    <w:tl2br w:val="nil"/>
                    <w:tr2bl w:val="nil"/>
                  </w:tcBorders>
                  <w:vAlign w:val="center"/>
                </w:tcPr>
                <w:p w14:paraId="2379D75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50</w:t>
                  </w:r>
                </w:p>
              </w:tc>
              <w:tc>
                <w:tcPr>
                  <w:tcW w:w="521" w:type="pct"/>
                  <w:tcBorders>
                    <w:tl2br w:val="nil"/>
                    <w:tr2bl w:val="nil"/>
                  </w:tcBorders>
                  <w:vAlign w:val="center"/>
                </w:tcPr>
                <w:p w14:paraId="4293D9D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100</w:t>
                  </w:r>
                </w:p>
              </w:tc>
              <w:tc>
                <w:tcPr>
                  <w:tcW w:w="531" w:type="pct"/>
                  <w:tcBorders>
                    <w:tl2br w:val="nil"/>
                    <w:tr2bl w:val="nil"/>
                  </w:tcBorders>
                  <w:vAlign w:val="center"/>
                </w:tcPr>
                <w:p w14:paraId="4884067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150</w:t>
                  </w:r>
                </w:p>
              </w:tc>
              <w:tc>
                <w:tcPr>
                  <w:tcW w:w="571" w:type="pct"/>
                  <w:tcBorders>
                    <w:tl2br w:val="nil"/>
                    <w:tr2bl w:val="nil"/>
                  </w:tcBorders>
                  <w:vAlign w:val="center"/>
                </w:tcPr>
                <w:p w14:paraId="15A2C5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200</w:t>
                  </w:r>
                </w:p>
              </w:tc>
              <w:tc>
                <w:tcPr>
                  <w:tcW w:w="562" w:type="pct"/>
                  <w:tcBorders>
                    <w:tl2br w:val="nil"/>
                    <w:tr2bl w:val="nil"/>
                  </w:tcBorders>
                  <w:vAlign w:val="center"/>
                </w:tcPr>
                <w:p w14:paraId="34E5A7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250</w:t>
                  </w:r>
                </w:p>
              </w:tc>
              <w:tc>
                <w:tcPr>
                  <w:tcW w:w="592" w:type="pct"/>
                  <w:tcBorders>
                    <w:tl2br w:val="nil"/>
                    <w:tr2bl w:val="nil"/>
                  </w:tcBorders>
                  <w:vAlign w:val="center"/>
                </w:tcPr>
                <w:p w14:paraId="34C007C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300</w:t>
                  </w:r>
                </w:p>
              </w:tc>
              <w:tc>
                <w:tcPr>
                  <w:tcW w:w="558" w:type="pct"/>
                  <w:tcBorders>
                    <w:tl2br w:val="nil"/>
                    <w:tr2bl w:val="nil"/>
                  </w:tcBorders>
                  <w:vAlign w:val="center"/>
                </w:tcPr>
                <w:p w14:paraId="59A1ACE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400</w:t>
                  </w:r>
                </w:p>
              </w:tc>
            </w:tr>
            <w:tr w14:paraId="1A48A3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1243" w:type="pct"/>
                  <w:tcBorders>
                    <w:tl2br w:val="nil"/>
                    <w:tr2bl w:val="nil"/>
                  </w:tcBorders>
                  <w:vAlign w:val="center"/>
                </w:tcPr>
                <w:p w14:paraId="06966F5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土石方阶段</w:t>
                  </w:r>
                </w:p>
              </w:tc>
              <w:tc>
                <w:tcPr>
                  <w:tcW w:w="418" w:type="pct"/>
                  <w:tcBorders>
                    <w:tl2br w:val="nil"/>
                    <w:tr2bl w:val="nil"/>
                  </w:tcBorders>
                  <w:vAlign w:val="center"/>
                </w:tcPr>
                <w:p w14:paraId="3F96E9E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82.5</w:t>
                  </w:r>
                </w:p>
              </w:tc>
              <w:tc>
                <w:tcPr>
                  <w:tcW w:w="521" w:type="pct"/>
                  <w:tcBorders>
                    <w:tl2br w:val="nil"/>
                    <w:tr2bl w:val="nil"/>
                  </w:tcBorders>
                  <w:vAlign w:val="center"/>
                </w:tcPr>
                <w:p w14:paraId="0086063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76.2</w:t>
                  </w:r>
                </w:p>
              </w:tc>
              <w:tc>
                <w:tcPr>
                  <w:tcW w:w="531" w:type="pct"/>
                  <w:tcBorders>
                    <w:tl2br w:val="nil"/>
                    <w:tr2bl w:val="nil"/>
                  </w:tcBorders>
                  <w:vAlign w:val="center"/>
                </w:tcPr>
                <w:p w14:paraId="344C66F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72.4</w:t>
                  </w:r>
                </w:p>
              </w:tc>
              <w:tc>
                <w:tcPr>
                  <w:tcW w:w="571" w:type="pct"/>
                  <w:tcBorders>
                    <w:tl2br w:val="nil"/>
                    <w:tr2bl w:val="nil"/>
                  </w:tcBorders>
                  <w:vAlign w:val="center"/>
                </w:tcPr>
                <w:p w14:paraId="18C6B0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70.6</w:t>
                  </w:r>
                </w:p>
              </w:tc>
              <w:tc>
                <w:tcPr>
                  <w:tcW w:w="562" w:type="pct"/>
                  <w:tcBorders>
                    <w:tl2br w:val="nil"/>
                    <w:tr2bl w:val="nil"/>
                  </w:tcBorders>
                  <w:vAlign w:val="center"/>
                </w:tcPr>
                <w:p w14:paraId="26BDD85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67.5</w:t>
                  </w:r>
                </w:p>
              </w:tc>
              <w:tc>
                <w:tcPr>
                  <w:tcW w:w="592" w:type="pct"/>
                  <w:tcBorders>
                    <w:tl2br w:val="nil"/>
                    <w:tr2bl w:val="nil"/>
                  </w:tcBorders>
                  <w:vAlign w:val="center"/>
                </w:tcPr>
                <w:p w14:paraId="6365061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65.7</w:t>
                  </w:r>
                </w:p>
              </w:tc>
              <w:tc>
                <w:tcPr>
                  <w:tcW w:w="558" w:type="pct"/>
                  <w:tcBorders>
                    <w:tl2br w:val="nil"/>
                    <w:tr2bl w:val="nil"/>
                  </w:tcBorders>
                  <w:vAlign w:val="center"/>
                </w:tcPr>
                <w:p w14:paraId="393A84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62.9</w:t>
                  </w:r>
                </w:p>
              </w:tc>
            </w:tr>
            <w:tr w14:paraId="33D18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1243" w:type="pct"/>
                  <w:tcBorders>
                    <w:tl2br w:val="nil"/>
                    <w:tr2bl w:val="nil"/>
                  </w:tcBorders>
                  <w:vAlign w:val="center"/>
                </w:tcPr>
                <w:p w14:paraId="797C6EF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结构阶段</w:t>
                  </w:r>
                </w:p>
              </w:tc>
              <w:tc>
                <w:tcPr>
                  <w:tcW w:w="418" w:type="pct"/>
                  <w:tcBorders>
                    <w:tl2br w:val="nil"/>
                    <w:tr2bl w:val="nil"/>
                  </w:tcBorders>
                  <w:vAlign w:val="center"/>
                </w:tcPr>
                <w:p w14:paraId="5F6A6C0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77.5</w:t>
                  </w:r>
                </w:p>
              </w:tc>
              <w:tc>
                <w:tcPr>
                  <w:tcW w:w="521" w:type="pct"/>
                  <w:tcBorders>
                    <w:tl2br w:val="nil"/>
                    <w:tr2bl w:val="nil"/>
                  </w:tcBorders>
                  <w:vAlign w:val="center"/>
                </w:tcPr>
                <w:p w14:paraId="3DB84C8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71.3</w:t>
                  </w:r>
                </w:p>
              </w:tc>
              <w:tc>
                <w:tcPr>
                  <w:tcW w:w="531" w:type="pct"/>
                  <w:tcBorders>
                    <w:tl2br w:val="nil"/>
                    <w:tr2bl w:val="nil"/>
                  </w:tcBorders>
                  <w:vAlign w:val="center"/>
                </w:tcPr>
                <w:p w14:paraId="17E1A89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67.5</w:t>
                  </w:r>
                </w:p>
              </w:tc>
              <w:tc>
                <w:tcPr>
                  <w:tcW w:w="571" w:type="pct"/>
                  <w:tcBorders>
                    <w:tl2br w:val="nil"/>
                    <w:tr2bl w:val="nil"/>
                  </w:tcBorders>
                  <w:vAlign w:val="center"/>
                </w:tcPr>
                <w:p w14:paraId="5A5ADA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65.7</w:t>
                  </w:r>
                </w:p>
              </w:tc>
              <w:tc>
                <w:tcPr>
                  <w:tcW w:w="562" w:type="pct"/>
                  <w:tcBorders>
                    <w:tl2br w:val="nil"/>
                    <w:tr2bl w:val="nil"/>
                  </w:tcBorders>
                  <w:vAlign w:val="center"/>
                </w:tcPr>
                <w:p w14:paraId="50DEA7E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62.5</w:t>
                  </w:r>
                </w:p>
              </w:tc>
              <w:tc>
                <w:tcPr>
                  <w:tcW w:w="592" w:type="pct"/>
                  <w:tcBorders>
                    <w:tl2br w:val="nil"/>
                    <w:tr2bl w:val="nil"/>
                  </w:tcBorders>
                  <w:vAlign w:val="center"/>
                </w:tcPr>
                <w:p w14:paraId="7728FAB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60.7</w:t>
                  </w:r>
                </w:p>
              </w:tc>
              <w:tc>
                <w:tcPr>
                  <w:tcW w:w="558" w:type="pct"/>
                  <w:tcBorders>
                    <w:tl2br w:val="nil"/>
                    <w:tr2bl w:val="nil"/>
                  </w:tcBorders>
                  <w:vAlign w:val="center"/>
                </w:tcPr>
                <w:p w14:paraId="2150243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57.7</w:t>
                  </w:r>
                </w:p>
              </w:tc>
            </w:tr>
            <w:tr w14:paraId="4DD347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1243" w:type="pct"/>
                  <w:tcBorders>
                    <w:tl2br w:val="nil"/>
                    <w:tr2bl w:val="nil"/>
                  </w:tcBorders>
                  <w:vAlign w:val="center"/>
                </w:tcPr>
                <w:p w14:paraId="3172031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装修阶段</w:t>
                  </w:r>
                </w:p>
              </w:tc>
              <w:tc>
                <w:tcPr>
                  <w:tcW w:w="418" w:type="pct"/>
                  <w:tcBorders>
                    <w:tl2br w:val="nil"/>
                    <w:tr2bl w:val="nil"/>
                  </w:tcBorders>
                  <w:vAlign w:val="center"/>
                </w:tcPr>
                <w:p w14:paraId="779268A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55</w:t>
                  </w:r>
                </w:p>
              </w:tc>
              <w:tc>
                <w:tcPr>
                  <w:tcW w:w="521" w:type="pct"/>
                  <w:tcBorders>
                    <w:tl2br w:val="nil"/>
                    <w:tr2bl w:val="nil"/>
                  </w:tcBorders>
                  <w:vAlign w:val="center"/>
                </w:tcPr>
                <w:p w14:paraId="13E4D5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49</w:t>
                  </w:r>
                </w:p>
              </w:tc>
              <w:tc>
                <w:tcPr>
                  <w:tcW w:w="531" w:type="pct"/>
                  <w:tcBorders>
                    <w:tl2br w:val="nil"/>
                    <w:tr2bl w:val="nil"/>
                  </w:tcBorders>
                  <w:vAlign w:val="center"/>
                </w:tcPr>
                <w:p w14:paraId="2AFE73D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47</w:t>
                  </w:r>
                </w:p>
              </w:tc>
              <w:tc>
                <w:tcPr>
                  <w:tcW w:w="571" w:type="pct"/>
                  <w:tcBorders>
                    <w:tl2br w:val="nil"/>
                    <w:tr2bl w:val="nil"/>
                  </w:tcBorders>
                  <w:vAlign w:val="center"/>
                </w:tcPr>
                <w:p w14:paraId="6876D66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45</w:t>
                  </w:r>
                </w:p>
              </w:tc>
              <w:tc>
                <w:tcPr>
                  <w:tcW w:w="562" w:type="pct"/>
                  <w:tcBorders>
                    <w:tl2br w:val="nil"/>
                    <w:tr2bl w:val="nil"/>
                  </w:tcBorders>
                  <w:vAlign w:val="center"/>
                </w:tcPr>
                <w:p w14:paraId="53569AD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43</w:t>
                  </w:r>
                </w:p>
              </w:tc>
              <w:tc>
                <w:tcPr>
                  <w:tcW w:w="592" w:type="pct"/>
                  <w:tcBorders>
                    <w:tl2br w:val="nil"/>
                    <w:tr2bl w:val="nil"/>
                  </w:tcBorders>
                  <w:vAlign w:val="center"/>
                </w:tcPr>
                <w:p w14:paraId="74F49DF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40</w:t>
                  </w:r>
                </w:p>
              </w:tc>
              <w:tc>
                <w:tcPr>
                  <w:tcW w:w="558" w:type="pct"/>
                  <w:tcBorders>
                    <w:tl2br w:val="nil"/>
                    <w:tr2bl w:val="nil"/>
                  </w:tcBorders>
                  <w:vAlign w:val="center"/>
                </w:tcPr>
                <w:p w14:paraId="6029F35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highlight w:val="none"/>
                      <w:lang w:val="en-US" w:eastAsia="zh-CN"/>
                      <w14:textFill>
                        <w14:solidFill>
                          <w14:schemeClr w14:val="tx1"/>
                        </w14:solidFill>
                      </w14:textFill>
                    </w:rPr>
                    <w:t>38</w:t>
                  </w:r>
                </w:p>
              </w:tc>
            </w:tr>
          </w:tbl>
          <w:p w14:paraId="1BD978DB">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根据两个表的噪声预测结果，可以看出：施工现场建筑机械所产生的噪声比较严重，土石方阶段在距场界200m以外的区域才能达到《建筑施工场界环境噪声排放标准》中规定的昼间70dB（A）的标准要求，结构阶段在130m以外的区域能够达标，装修阶段在场界处就能达标排放；夜间除装修阶段外，其他施工阶段距施工场界400以内的区域均不能满足55dB（A）的标准要求。</w:t>
            </w:r>
          </w:p>
          <w:p w14:paraId="2728EB1A">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建设方通过合理安排施工时间，加强施工期污染防治措施，避免夜间和午休息期间进行强噪声作业等措施，可进一步减小对周边环境的影响。</w:t>
            </w:r>
          </w:p>
          <w:p w14:paraId="796808C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为了减轻本工程施工期噪声的环境影响，可采取以下控制措施：</w:t>
            </w:r>
          </w:p>
          <w:p w14:paraId="1D565EF2">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1）加强施工管理，合理安排施工作业时间，禁止夜间进行高噪声施工作业。拆除作业中尽量避免使用爆破手段。</w:t>
            </w:r>
          </w:p>
          <w:p w14:paraId="12CA4FED">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2）施工机械应尽可能放置于对厂界外造成影响最小的地点。</w:t>
            </w:r>
          </w:p>
          <w:p w14:paraId="2A972294">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3）以液压工具代替气压工具。</w:t>
            </w:r>
          </w:p>
          <w:p w14:paraId="3564ADC7">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4）在高噪声设备周围设置掩蔽物。</w:t>
            </w:r>
          </w:p>
          <w:p w14:paraId="053D4F7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5）尽量压缩工区汽车数量与行车密度，控制汽车鸣笛。</w:t>
            </w:r>
          </w:p>
          <w:p w14:paraId="5C63E377">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6）做好劳动保护工作，让在噪声源附近操作的作业人员配戴防护耳塞。施工期噪声污染是短期的、暂时的，一旦施工结束，施工噪声即随之消失。</w:t>
            </w:r>
          </w:p>
          <w:p w14:paraId="72B40C93">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4、施工垃圾</w:t>
            </w:r>
          </w:p>
          <w:p w14:paraId="7F503CD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施工垃圾主要来自施工所产生的建筑垃圾和施工队伍生活产生的生活垃圾。建筑垃圾如如：石子、混凝土块、砖头、石块、石屑、黄沙、石灰和废木料等，要严格按照相关部门规定处理；施工人员居住区的生活垃圾要实行袋装化，由环卫部门统一处理。</w:t>
            </w:r>
          </w:p>
          <w:p w14:paraId="24E2DB21">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为防止建设项目在建设期间发生上述环境污染的现象，使建设项目在建设期间对周围环境的影响尽可能小，建议采取以下的污染防治措施：</w:t>
            </w:r>
          </w:p>
          <w:p w14:paraId="011186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1）对于施工期的粉尘污染，应加强现场管理，建筑材料统一堆放，用洒水或抑尘剂，减少二次扬尘；注意清洁运输，防止在装卸、运输过程中的撒漏、扬尘；</w:t>
            </w:r>
          </w:p>
          <w:p w14:paraId="209FCFC6">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加强施工期管理，建造沉淀池、隔油池等污水临时处理设施，对含油量高的施工机械冲洗水或悬浮物含量高的其它施工废水需经处理后方可排放，砂浆和石灰浆等废液宜集中处理，干燥后与固体废弃物一起处置；</w:t>
            </w:r>
          </w:p>
          <w:p w14:paraId="0F502DC3">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3）加强施工管理，合理安排作业时间，尽量避免夜间施工，限制高设备噪声作业时间，夜间不得进行打桩作业；</w:t>
            </w:r>
          </w:p>
          <w:p w14:paraId="2FFAF3B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4）加强车辆的管理，建材等运输尽量在白天进行，并控制车辆鸣笛，车辆运输尽量避开居民生活区和乡镇主要道路；</w:t>
            </w:r>
          </w:p>
          <w:p w14:paraId="6C6C830A">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5）对建筑垃圾，应尽可能利用或将其掩埋或倾倒至固定场所。</w:t>
            </w:r>
          </w:p>
          <w:p w14:paraId="2EEF1D2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5、环境管理分析</w:t>
            </w:r>
          </w:p>
          <w:p w14:paraId="4EAB4964">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项目在施工期应由建设单位与建筑施工单位签订环保责任合同，由施工单位负责场地环境管理，并接受当地环保部门监督、管理。</w:t>
            </w:r>
          </w:p>
          <w:p w14:paraId="2062F621">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环境管理工作应根据国家有关法律法规及地方环保部门的要求，以便做到文明施工、把对周围环境造成的污染影响降至最低。本项目施工期结束后，施工期影响消失。</w:t>
            </w:r>
          </w:p>
          <w:p w14:paraId="548E4AEB">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p>
          <w:p w14:paraId="2151230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szCs w:val="24"/>
                <w:lang w:val="en-US" w:eastAsia="zh-CN"/>
              </w:rPr>
            </w:pPr>
          </w:p>
        </w:tc>
      </w:tr>
      <w:tr w14:paraId="266E06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23" w:hRule="atLeast"/>
          <w:jc w:val="center"/>
        </w:trPr>
        <w:tc>
          <w:tcPr>
            <w:tcW w:w="520" w:type="dxa"/>
            <w:tcMar>
              <w:left w:w="28" w:type="dxa"/>
              <w:right w:w="28" w:type="dxa"/>
            </w:tcMar>
            <w:vAlign w:val="center"/>
          </w:tcPr>
          <w:p w14:paraId="48CCA48C">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运营</w:t>
            </w:r>
          </w:p>
          <w:p w14:paraId="0B34CE2F">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期环</w:t>
            </w:r>
          </w:p>
          <w:p w14:paraId="1354061A">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境影</w:t>
            </w:r>
          </w:p>
          <w:p w14:paraId="5DFA6642">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响和</w:t>
            </w:r>
          </w:p>
          <w:p w14:paraId="6D09F64A">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保护</w:t>
            </w:r>
          </w:p>
          <w:p w14:paraId="2E0114EA">
            <w:pPr>
              <w:pStyle w:val="18"/>
              <w:adjustRightInd w:val="0"/>
              <w:snapToGrid w:val="0"/>
              <w:spacing w:before="0" w:beforeAutospacing="0" w:after="0" w:afterAutospacing="0"/>
              <w:jc w:val="center"/>
              <w:rPr>
                <w:rFonts w:ascii="Times New Roman" w:hAnsi="Times New Roman" w:eastAsia="宋体" w:cs="宋体"/>
                <w:caps w:val="0"/>
                <w:color w:val="000000" w:themeColor="text1"/>
                <w:kern w:val="2"/>
                <w:szCs w:val="24"/>
                <w:highlight w:val="none"/>
                <w14:textFill>
                  <w14:solidFill>
                    <w14:schemeClr w14:val="tx1"/>
                  </w14:solidFill>
                </w14:textFill>
              </w:rPr>
            </w:pPr>
            <w:r>
              <w:rPr>
                <w:rFonts w:hint="eastAsia" w:ascii="Times New Roman" w:hAnsi="Times New Roman" w:eastAsia="宋体" w:cs="宋体"/>
                <w:bCs/>
                <w:caps w:val="0"/>
                <w:color w:val="000000" w:themeColor="text1"/>
                <w:highlight w:val="none"/>
                <w14:textFill>
                  <w14:solidFill>
                    <w14:schemeClr w14:val="tx1"/>
                  </w14:solidFill>
                </w14:textFill>
              </w:rPr>
              <w:t>措施</w:t>
            </w:r>
          </w:p>
        </w:tc>
        <w:tc>
          <w:tcPr>
            <w:tcW w:w="8305" w:type="dxa"/>
            <w:vAlign w:val="center"/>
          </w:tcPr>
          <w:p w14:paraId="69F459EF">
            <w:pPr>
              <w:keepNext/>
              <w:keepLines/>
              <w:spacing w:line="360" w:lineRule="auto"/>
              <w:ind w:firstLine="354" w:firstLineChars="147"/>
              <w:outlineLvl w:val="2"/>
              <w:rPr>
                <w:rFonts w:ascii="Times New Roman" w:hAnsi="Times New Roman" w:eastAsia="宋体"/>
                <w:b/>
                <w:bCs/>
                <w:caps w:val="0"/>
                <w:color w:val="000000" w:themeColor="text1"/>
                <w:sz w:val="24"/>
                <w:szCs w:val="32"/>
                <w:highlight w:val="none"/>
                <w14:textFill>
                  <w14:solidFill>
                    <w14:schemeClr w14:val="tx1"/>
                  </w14:solidFill>
                </w14:textFill>
              </w:rPr>
            </w:pPr>
            <w:r>
              <w:rPr>
                <w:rFonts w:hint="eastAsia" w:ascii="Times New Roman" w:hAnsi="Times New Roman" w:eastAsia="宋体"/>
                <w:b/>
                <w:bCs/>
                <w:caps w:val="0"/>
                <w:color w:val="000000" w:themeColor="text1"/>
                <w:sz w:val="24"/>
                <w:szCs w:val="32"/>
                <w:highlight w:val="none"/>
                <w14:textFill>
                  <w14:solidFill>
                    <w14:schemeClr w14:val="tx1"/>
                  </w14:solidFill>
                </w14:textFill>
              </w:rPr>
              <w:t>一、废气环境影响和保护措施</w:t>
            </w:r>
          </w:p>
          <w:p w14:paraId="46CE65BF">
            <w:pPr>
              <w:keepNext/>
              <w:keepLines/>
              <w:spacing w:line="360" w:lineRule="auto"/>
              <w:ind w:firstLine="472" w:firstLineChars="196"/>
              <w:outlineLvl w:val="2"/>
              <w:rPr>
                <w:rFonts w:ascii="Times New Roman" w:hAnsi="Times New Roman" w:eastAsia="宋体"/>
                <w:b/>
                <w:bCs/>
                <w:caps w:val="0"/>
                <w:color w:val="000000" w:themeColor="text1"/>
                <w:sz w:val="24"/>
                <w:szCs w:val="32"/>
                <w:highlight w:val="none"/>
                <w14:textFill>
                  <w14:solidFill>
                    <w14:schemeClr w14:val="tx1"/>
                  </w14:solidFill>
                </w14:textFill>
              </w:rPr>
            </w:pPr>
            <w:r>
              <w:rPr>
                <w:rFonts w:hint="eastAsia" w:ascii="Times New Roman" w:hAnsi="Times New Roman" w:eastAsia="宋体"/>
                <w:b/>
                <w:bCs/>
                <w:caps w:val="0"/>
                <w:color w:val="000000" w:themeColor="text1"/>
                <w:sz w:val="24"/>
                <w:szCs w:val="32"/>
                <w:highlight w:val="none"/>
                <w14:textFill>
                  <w14:solidFill>
                    <w14:schemeClr w14:val="tx1"/>
                  </w14:solidFill>
                </w14:textFill>
              </w:rPr>
              <w:t>1、</w:t>
            </w:r>
            <w:r>
              <w:rPr>
                <w:rFonts w:ascii="Times New Roman" w:hAnsi="Times New Roman" w:eastAsia="宋体"/>
                <w:b/>
                <w:bCs/>
                <w:caps w:val="0"/>
                <w:color w:val="000000" w:themeColor="text1"/>
                <w:sz w:val="24"/>
                <w:szCs w:val="32"/>
                <w:highlight w:val="none"/>
                <w14:textFill>
                  <w14:solidFill>
                    <w14:schemeClr w14:val="tx1"/>
                  </w14:solidFill>
                </w14:textFill>
              </w:rPr>
              <w:t>废气污染源</w:t>
            </w:r>
            <w:r>
              <w:rPr>
                <w:rFonts w:hint="eastAsia" w:ascii="Times New Roman" w:hAnsi="Times New Roman" w:eastAsia="宋体"/>
                <w:b/>
                <w:bCs/>
                <w:caps w:val="0"/>
                <w:color w:val="000000" w:themeColor="text1"/>
                <w:sz w:val="24"/>
                <w:szCs w:val="32"/>
                <w:highlight w:val="none"/>
                <w14:textFill>
                  <w14:solidFill>
                    <w14:schemeClr w14:val="tx1"/>
                  </w14:solidFill>
                </w14:textFill>
              </w:rPr>
              <w:t>分析</w:t>
            </w:r>
          </w:p>
          <w:p w14:paraId="60524254">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项目产生的废气主要为</w:t>
            </w:r>
            <w:r>
              <w:rPr>
                <w:rFonts w:hint="eastAsia"/>
                <w:caps w:val="0"/>
                <w:color w:val="000000" w:themeColor="text1"/>
                <w:sz w:val="24"/>
                <w:highlight w:val="none"/>
                <w:lang w:val="en-US" w:eastAsia="zh-CN"/>
                <w14:textFill>
                  <w14:solidFill>
                    <w14:schemeClr w14:val="tx1"/>
                  </w14:solidFill>
                </w14:textFill>
              </w:rPr>
              <w:t>注塑废气、破碎废气</w:t>
            </w:r>
            <w:r>
              <w:rPr>
                <w:rFonts w:hint="eastAsia" w:ascii="Times New Roman" w:hAnsi="Times New Roman" w:eastAsia="宋体"/>
                <w:caps w:val="0"/>
                <w:color w:val="000000" w:themeColor="text1"/>
                <w:sz w:val="24"/>
                <w:highlight w:val="none"/>
                <w14:textFill>
                  <w14:solidFill>
                    <w14:schemeClr w14:val="tx1"/>
                  </w14:solidFill>
                </w14:textFill>
              </w:rPr>
              <w:t>。</w:t>
            </w:r>
          </w:p>
          <w:p w14:paraId="165BE946">
            <w:pPr>
              <w:spacing w:line="360" w:lineRule="auto"/>
              <w:ind w:firstLine="480" w:firstLineChars="200"/>
            </w:pPr>
            <w:r>
              <w:rPr>
                <w:rFonts w:hint="eastAsia" w:ascii="Times New Roman" w:hAnsi="Times New Roman" w:eastAsia="宋体"/>
                <w:caps w:val="0"/>
                <w:color w:val="000000" w:themeColor="text1"/>
                <w:sz w:val="24"/>
                <w:highlight w:val="none"/>
                <w14:textFill>
                  <w14:solidFill>
                    <w14:schemeClr w14:val="tx1"/>
                  </w14:solidFill>
                </w14:textFill>
              </w:rPr>
              <w:t>《污染源源强核算技术指南 准则》（HJ 884-2018）</w:t>
            </w:r>
            <w:r>
              <w:rPr>
                <w:rFonts w:hint="eastAsia" w:ascii="Times New Roman" w:hAnsi="Times New Roman" w:eastAsia="宋体"/>
                <w:caps w:val="0"/>
                <w:color w:val="000000" w:themeColor="text1"/>
                <w:sz w:val="24"/>
                <w:highlight w:val="none"/>
                <w:lang w:eastAsia="zh-CN"/>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《污染源源强核算技术指南 汽车制造》（HJ1097-2020）中规定污染源源强核算方法包括实测法、类比法、物料衡算法和产污系数法等。本项目产生的</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有机废气</w:t>
            </w:r>
            <w:r>
              <w:rPr>
                <w:rFonts w:hint="eastAsia" w:ascii="Times New Roman" w:hAnsi="Times New Roman" w:eastAsia="宋体"/>
                <w:caps w:val="0"/>
                <w:color w:val="000000" w:themeColor="text1"/>
                <w:sz w:val="24"/>
                <w:highlight w:val="none"/>
                <w14:textFill>
                  <w14:solidFill>
                    <w14:schemeClr w14:val="tx1"/>
                  </w14:solidFill>
                </w14:textFill>
              </w:rPr>
              <w:t>依据《关于发布&lt;排放源统计调查产排污核算方法和系数手册&gt;的公告》（生态环境部公告 2021 年第 24 号）给定的产污系数进行核算。</w:t>
            </w:r>
          </w:p>
          <w:p w14:paraId="49BC008B">
            <w:pPr>
              <w:spacing w:line="360" w:lineRule="auto"/>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w:t>
            </w:r>
            <w:r>
              <w:rPr>
                <w:rFonts w:hint="eastAsia"/>
                <w:caps w:val="0"/>
                <w:color w:val="000000" w:themeColor="text1"/>
                <w:sz w:val="24"/>
                <w:highlight w:val="none"/>
                <w:lang w:val="en-US" w:eastAsia="zh-CN"/>
                <w14:textFill>
                  <w14:solidFill>
                    <w14:schemeClr w14:val="tx1"/>
                  </w14:solidFill>
                </w14:textFill>
              </w:rPr>
              <w:t>注塑</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废气</w:t>
            </w:r>
          </w:p>
          <w:p w14:paraId="59B50EA6">
            <w:pPr>
              <w:spacing w:line="360" w:lineRule="auto"/>
              <w:ind w:firstLine="480" w:firstLineChars="200"/>
              <w:rPr>
                <w:rFonts w:hint="default" w:ascii="Times New Roman" w:hAnsi="Times New Roman" w:eastAsia="宋体" w:cs="Times New Roman"/>
                <w:caps w:val="0"/>
                <w:color w:val="000000" w:themeColor="text1"/>
                <w:sz w:val="24"/>
                <w:highlight w:val="none"/>
                <w:lang w:val="en-GB"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lang w:val="en-GB"/>
                <w14:textFill>
                  <w14:solidFill>
                    <w14:schemeClr w14:val="tx1"/>
                  </w14:solidFill>
                </w14:textFill>
              </w:rPr>
              <w:t>项目生产过程中使用的塑料粒子主要为PA66。在受热情况下，塑料粒子中残余未聚合反应单体，可挥发至大气中，从而形成极少量有机废气，以非甲烷总烃计。产生系数参考《关于发布〈排放源统计调查产排污核算方法和系数手册</w:t>
            </w:r>
            <w:r>
              <w:rPr>
                <w:rFonts w:hint="default" w:ascii="Times New Roman" w:hAnsi="Times New Roman" w:eastAsia="宋体" w:cs="Times New Roman"/>
                <w:caps w:val="0"/>
                <w:color w:val="000000" w:themeColor="text1"/>
                <w:sz w:val="24"/>
                <w:highlight w:val="none"/>
                <w:lang w:val="en-GB"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lang w:val="en-GB"/>
                <w14:textFill>
                  <w14:solidFill>
                    <w14:schemeClr w14:val="tx1"/>
                  </w14:solidFill>
                </w14:textFill>
              </w:rPr>
              <w:t>的公告》中</w:t>
            </w:r>
            <w:r>
              <w:rPr>
                <w:rFonts w:hint="eastAsia" w:ascii="Times New Roman" w:hAnsi="Times New Roman" w:cs="Times New Roman"/>
                <w:caps w:val="0"/>
                <w:color w:val="000000" w:themeColor="text1"/>
                <w:sz w:val="24"/>
                <w:highlight w:val="none"/>
                <w:lang w:val="en-GB"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lang w:val="en-GB"/>
                <w14:textFill>
                  <w14:solidFill>
                    <w14:schemeClr w14:val="tx1"/>
                  </w14:solidFill>
                </w14:textFill>
              </w:rPr>
              <w:t>292塑料制品行业系数手册</w:t>
            </w:r>
            <w:r>
              <w:rPr>
                <w:rFonts w:hint="eastAsia" w:ascii="Times New Roman" w:hAnsi="Times New Roman" w:cs="Times New Roman"/>
                <w:caps w:val="0"/>
                <w:color w:val="000000" w:themeColor="text1"/>
                <w:sz w:val="24"/>
                <w:highlight w:val="none"/>
                <w:lang w:val="en-GB"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lang w:val="en-GB"/>
                <w14:textFill>
                  <w14:solidFill>
                    <w14:schemeClr w14:val="tx1"/>
                  </w14:solidFill>
                </w14:textFill>
              </w:rPr>
              <w:t>中2929塑料零件及其他塑料制品制造行业系数表非甲烷总烃产污系数为2.7kg/吨-产品（原料）</w:t>
            </w:r>
            <w:r>
              <w:rPr>
                <w:rFonts w:hint="eastAsia" w:ascii="Times New Roman" w:hAnsi="Times New Roman" w:cs="Times New Roman"/>
                <w:caps w:val="0"/>
                <w:color w:val="000000" w:themeColor="text1"/>
                <w:sz w:val="24"/>
                <w:highlight w:val="none"/>
                <w:lang w:val="en-GB"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lang w:val="en-GB"/>
                <w14:textFill>
                  <w14:solidFill>
                    <w14:schemeClr w14:val="tx1"/>
                  </w14:solidFill>
                </w14:textFill>
              </w:rPr>
              <w:t>。同时PA塑料粒还会挥发出少量的氨气，根据文献《聚酰胺工程塑料，嵌段共聚酰胺611的合成、表征及性能的研究》、《新型半芳香聚酰胺的合成与表征》等，PA塑料注塑工序废气主要为非甲烷总烃与少量的氨气，其</w:t>
            </w:r>
            <w:r>
              <w:rPr>
                <w:rFonts w:hint="default" w:ascii="Times New Roman" w:hAnsi="Times New Roman" w:eastAsia="宋体" w:cs="Times New Roman"/>
                <w:sz w:val="24"/>
                <w:szCs w:val="24"/>
              </w:rPr>
              <w:t>中非甲烷总烃废气占比90%，氨气占比10%，由此计算，氨的产污系数以0.3kg/t-产品（原料）计，具体产污系数表见表4-</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w:t>
            </w:r>
          </w:p>
          <w:p w14:paraId="0B33A495">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hint="eastAsia"/>
                <w:b/>
                <w:bCs/>
                <w:caps w:val="0"/>
                <w:color w:val="000000" w:themeColor="text1"/>
                <w:sz w:val="24"/>
                <w:highlight w:val="none"/>
                <w:lang w:val="en-US" w:eastAsia="zh-CN"/>
                <w14:textFill>
                  <w14:solidFill>
                    <w14:schemeClr w14:val="tx1"/>
                  </w14:solidFill>
                </w14:textFill>
              </w:rPr>
            </w:pPr>
            <w:r>
              <w:rPr>
                <w:rFonts w:hint="eastAsia"/>
                <w:b/>
                <w:bCs/>
                <w:caps w:val="0"/>
                <w:color w:val="000000" w:themeColor="text1"/>
                <w:sz w:val="24"/>
                <w:highlight w:val="none"/>
                <w:lang w:val="en-US" w:eastAsia="zh-CN"/>
                <w14:textFill>
                  <w14:solidFill>
                    <w14:schemeClr w14:val="tx1"/>
                  </w14:solidFill>
                </w14:textFill>
              </w:rPr>
              <w:t>表4-3 注塑工序产物系数表</w:t>
            </w:r>
          </w:p>
          <w:tbl>
            <w:tblPr>
              <w:tblStyle w:val="21"/>
              <w:tblW w:w="488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2211"/>
              <w:gridCol w:w="2150"/>
              <w:gridCol w:w="2150"/>
            </w:tblGrid>
            <w:tr w14:paraId="2F77D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84" w:type="pct"/>
                  <w:tcBorders>
                    <w:tl2br w:val="nil"/>
                    <w:tr2bl w:val="nil"/>
                  </w:tcBorders>
                  <w:vAlign w:val="center"/>
                </w:tcPr>
                <w:p w14:paraId="1AAFEA7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原料名称</w:t>
                  </w:r>
                </w:p>
              </w:tc>
              <w:tc>
                <w:tcPr>
                  <w:tcW w:w="1397" w:type="pct"/>
                  <w:tcBorders>
                    <w:tl2br w:val="nil"/>
                    <w:tr2bl w:val="nil"/>
                  </w:tcBorders>
                  <w:vAlign w:val="center"/>
                </w:tcPr>
                <w:p w14:paraId="66A32A4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污染物指标</w:t>
                  </w:r>
                </w:p>
              </w:tc>
              <w:tc>
                <w:tcPr>
                  <w:tcW w:w="1359" w:type="pct"/>
                  <w:tcBorders>
                    <w:tl2br w:val="nil"/>
                    <w:tr2bl w:val="nil"/>
                  </w:tcBorders>
                  <w:vAlign w:val="center"/>
                </w:tcPr>
                <w:p w14:paraId="6B578CE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单位</w:t>
                  </w:r>
                </w:p>
              </w:tc>
              <w:tc>
                <w:tcPr>
                  <w:tcW w:w="1359" w:type="pct"/>
                  <w:tcBorders>
                    <w:tl2br w:val="nil"/>
                    <w:tr2bl w:val="nil"/>
                  </w:tcBorders>
                  <w:vAlign w:val="center"/>
                </w:tcPr>
                <w:p w14:paraId="1A847A2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caps w:val="0"/>
                      <w:color w:val="000000" w:themeColor="text1"/>
                      <w:sz w:val="21"/>
                      <w:szCs w:val="21"/>
                      <w:highlight w:val="none"/>
                      <w:lang w:val="en-US" w:eastAsia="zh-CN"/>
                      <w14:textFill>
                        <w14:solidFill>
                          <w14:schemeClr w14:val="tx1"/>
                        </w14:solidFill>
                      </w14:textFill>
                    </w:rPr>
                    <w:t>产污系数</w:t>
                  </w:r>
                </w:p>
              </w:tc>
            </w:tr>
            <w:tr w14:paraId="0B7AC2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84" w:type="pct"/>
                  <w:tcBorders>
                    <w:tl2br w:val="nil"/>
                    <w:tr2bl w:val="nil"/>
                  </w:tcBorders>
                  <w:vAlign w:val="center"/>
                </w:tcPr>
                <w:p w14:paraId="15D2CAB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PA66</w:t>
                  </w:r>
                </w:p>
              </w:tc>
              <w:tc>
                <w:tcPr>
                  <w:tcW w:w="1397" w:type="pct"/>
                  <w:tcBorders>
                    <w:tl2br w:val="nil"/>
                    <w:tr2bl w:val="nil"/>
                  </w:tcBorders>
                  <w:vAlign w:val="center"/>
                </w:tcPr>
                <w:p w14:paraId="56BDFB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非甲烷总烃</w:t>
                  </w:r>
                </w:p>
              </w:tc>
              <w:tc>
                <w:tcPr>
                  <w:tcW w:w="1359" w:type="pct"/>
                  <w:tcBorders>
                    <w:tl2br w:val="nil"/>
                    <w:tr2bl w:val="nil"/>
                  </w:tcBorders>
                  <w:vAlign w:val="center"/>
                </w:tcPr>
                <w:p w14:paraId="08D0A83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k</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g/t产品（原料）</w:t>
                  </w:r>
                </w:p>
              </w:tc>
              <w:tc>
                <w:tcPr>
                  <w:tcW w:w="1359" w:type="pct"/>
                  <w:tcBorders>
                    <w:tl2br w:val="nil"/>
                    <w:tr2bl w:val="nil"/>
                  </w:tcBorders>
                  <w:vAlign w:val="center"/>
                </w:tcPr>
                <w:p w14:paraId="640D877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2.7</w:t>
                  </w:r>
                </w:p>
              </w:tc>
            </w:tr>
            <w:tr w14:paraId="75C446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84" w:type="pct"/>
                  <w:tcBorders>
                    <w:tl2br w:val="nil"/>
                    <w:tr2bl w:val="nil"/>
                  </w:tcBorders>
                  <w:vAlign w:val="center"/>
                </w:tcPr>
                <w:p w14:paraId="46482EB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PA66</w:t>
                  </w:r>
                </w:p>
              </w:tc>
              <w:tc>
                <w:tcPr>
                  <w:tcW w:w="1397" w:type="pct"/>
                  <w:tcBorders>
                    <w:tl2br w:val="nil"/>
                    <w:tr2bl w:val="nil"/>
                  </w:tcBorders>
                  <w:vAlign w:val="center"/>
                </w:tcPr>
                <w:p w14:paraId="71AD802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氨</w:t>
                  </w:r>
                </w:p>
              </w:tc>
              <w:tc>
                <w:tcPr>
                  <w:tcW w:w="1359" w:type="pct"/>
                  <w:tcBorders>
                    <w:tl2br w:val="nil"/>
                    <w:tr2bl w:val="nil"/>
                  </w:tcBorders>
                  <w:vAlign w:val="center"/>
                </w:tcPr>
                <w:p w14:paraId="59637C5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k</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g/t产品（原料）</w:t>
                  </w:r>
                </w:p>
              </w:tc>
              <w:tc>
                <w:tcPr>
                  <w:tcW w:w="1359" w:type="pct"/>
                  <w:tcBorders>
                    <w:tl2br w:val="nil"/>
                    <w:tr2bl w:val="nil"/>
                  </w:tcBorders>
                  <w:vAlign w:val="center"/>
                </w:tcPr>
                <w:p w14:paraId="14BFB83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0.3</w:t>
                  </w:r>
                </w:p>
              </w:tc>
            </w:tr>
          </w:tbl>
          <w:p w14:paraId="4506280A">
            <w:pPr>
              <w:spacing w:line="360" w:lineRule="auto"/>
              <w:ind w:firstLine="480" w:firstLineChars="200"/>
              <w:rPr>
                <w:rFonts w:hint="eastAsia"/>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非甲烷总烃、氨由集气罩收集（收集效率90%）后。经二级活性炭吸附装置（处理效率90%），处理后通过一根15m高排气筒外排。车间注塑时间为4000h。</w:t>
            </w:r>
          </w:p>
          <w:p w14:paraId="4601CC95">
            <w:pPr>
              <w:pStyle w:val="18"/>
              <w:spacing w:before="0" w:beforeAutospacing="0" w:after="0" w:afterAutospacing="0" w:line="360" w:lineRule="auto"/>
              <w:ind w:firstLine="480" w:firstLineChars="200"/>
              <w:rPr>
                <w:rFonts w:hint="eastAsia" w:ascii="Times New Roman" w:hAnsi="Times New Roman" w:eastAsia="宋体"/>
                <w:caps w:val="0"/>
                <w:color w:val="000000" w:themeColor="text1"/>
                <w:kern w:val="2"/>
                <w:highlight w:val="none"/>
                <w:lang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废气量核算：</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在注塑机上方设置圆形集气罩</w:t>
            </w:r>
            <w:r>
              <w:rPr>
                <w:rFonts w:hint="eastAsia" w:ascii="Times New Roman" w:hAnsi="Times New Roman" w:eastAsia="宋体"/>
                <w:caps w:val="0"/>
                <w:color w:val="000000" w:themeColor="text1"/>
                <w:sz w:val="24"/>
                <w:highlight w:val="none"/>
                <w:lang w:val="en-GB"/>
                <w14:textFill>
                  <w14:solidFill>
                    <w14:schemeClr w14:val="tx1"/>
                  </w14:solidFill>
                </w14:textFill>
              </w:rPr>
              <w:t>，</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直径</w:t>
            </w:r>
            <w:r>
              <w:rPr>
                <w:rFonts w:hint="eastAsia" w:ascii="Times New Roman" w:hAnsi="Times New Roman" w:eastAsia="宋体"/>
                <w:caps w:val="0"/>
                <w:color w:val="000000" w:themeColor="text1"/>
                <w:sz w:val="24"/>
                <w:highlight w:val="none"/>
                <w14:textFill>
                  <w14:solidFill>
                    <w14:schemeClr w14:val="tx1"/>
                  </w14:solidFill>
                </w14:textFill>
              </w:rPr>
              <w:t>为</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300mm</w:t>
            </w:r>
            <w:r>
              <w:rPr>
                <w:rFonts w:hint="eastAsia" w:ascii="Times New Roman" w:hAnsi="Times New Roman" w:eastAsia="宋体"/>
                <w:caps w:val="0"/>
                <w:color w:val="000000" w:themeColor="text1"/>
                <w:sz w:val="24"/>
                <w:highlight w:val="none"/>
                <w:lang w:eastAsia="zh-CN"/>
                <w14:textFill>
                  <w14:solidFill>
                    <w14:schemeClr w14:val="tx1"/>
                  </w14:solidFill>
                </w14:textFill>
              </w:rPr>
              <w:t>，</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本项目共设置35个集气罩，</w:t>
            </w:r>
            <w:r>
              <w:rPr>
                <w:rFonts w:hint="eastAsia" w:ascii="Times New Roman" w:hAnsi="Times New Roman" w:eastAsia="宋体"/>
                <w:caps w:val="0"/>
                <w:color w:val="000000" w:themeColor="text1"/>
                <w:kern w:val="2"/>
                <w:highlight w:val="none"/>
                <w14:textFill>
                  <w14:solidFill>
                    <w14:schemeClr w14:val="tx1"/>
                  </w14:solidFill>
                </w14:textFill>
              </w:rPr>
              <w:t>参照</w:t>
            </w:r>
            <w:r>
              <w:rPr>
                <w:rFonts w:ascii="Times New Roman" w:hAnsi="Times New Roman" w:eastAsia="宋体"/>
                <w:caps w:val="0"/>
                <w:color w:val="000000" w:themeColor="text1"/>
                <w:kern w:val="2"/>
                <w:highlight w:val="none"/>
                <w14:textFill>
                  <w14:solidFill>
                    <w14:schemeClr w14:val="tx1"/>
                  </w14:solidFill>
                </w14:textFill>
              </w:rPr>
              <w:t>《大气污染控制工程》中集气罩收集风量计算公式</w:t>
            </w:r>
            <w:r>
              <w:rPr>
                <w:rFonts w:hint="eastAsia" w:ascii="Times New Roman" w:hAnsi="Times New Roman" w:eastAsia="宋体"/>
                <w:caps w:val="0"/>
                <w:color w:val="000000" w:themeColor="text1"/>
                <w:kern w:val="2"/>
                <w:highlight w:val="none"/>
                <w:lang w:eastAsia="zh-CN"/>
                <w14:textFill>
                  <w14:solidFill>
                    <w14:schemeClr w14:val="tx1"/>
                  </w14:solidFill>
                </w14:textFill>
              </w:rPr>
              <w:t>：</w:t>
            </w:r>
          </w:p>
          <w:p w14:paraId="06ED24DC">
            <w:pPr>
              <w:snapToGrid w:val="0"/>
              <w:spacing w:line="360" w:lineRule="auto"/>
              <w:ind w:firstLine="480" w:firstLineChars="200"/>
              <w:rPr>
                <w:rFonts w:ascii="Times New Roman" w:hAnsi="Times New Roman" w:eastAsia="宋体"/>
                <w:bCs/>
                <w:caps w:val="0"/>
                <w:color w:val="000000" w:themeColor="text1"/>
                <w:kern w:val="0"/>
                <w:sz w:val="24"/>
                <w:highlight w:val="none"/>
                <w:lang w:bidi="en-US"/>
                <w14:textFill>
                  <w14:solidFill>
                    <w14:schemeClr w14:val="tx1"/>
                  </w14:solidFill>
                </w14:textFill>
              </w:rPr>
            </w:pPr>
            <w:r>
              <w:rPr>
                <w:rFonts w:ascii="Times New Roman" w:hAnsi="Times New Roman" w:eastAsia="宋体"/>
                <w:bCs/>
                <w:caps w:val="0"/>
                <w:color w:val="000000" w:themeColor="text1"/>
                <w:kern w:val="0"/>
                <w:sz w:val="24"/>
                <w:highlight w:val="none"/>
                <w:lang w:bidi="en-US"/>
                <w14:textFill>
                  <w14:solidFill>
                    <w14:schemeClr w14:val="tx1"/>
                  </w14:solidFill>
                </w14:textFill>
              </w:rPr>
              <w:t>Q=KPHv</w:t>
            </w:r>
          </w:p>
          <w:p w14:paraId="0E79A1F1">
            <w:pPr>
              <w:snapToGrid w:val="0"/>
              <w:spacing w:line="360" w:lineRule="auto"/>
              <w:ind w:firstLine="480" w:firstLineChars="200"/>
              <w:rPr>
                <w:rFonts w:ascii="Times New Roman" w:hAnsi="Times New Roman" w:eastAsia="宋体"/>
                <w:bCs/>
                <w:caps w:val="0"/>
                <w:color w:val="000000" w:themeColor="text1"/>
                <w:kern w:val="0"/>
                <w:sz w:val="24"/>
                <w:highlight w:val="none"/>
                <w:lang w:bidi="en-US"/>
                <w14:textFill>
                  <w14:solidFill>
                    <w14:schemeClr w14:val="tx1"/>
                  </w14:solidFill>
                </w14:textFill>
              </w:rPr>
            </w:pPr>
            <w:r>
              <w:rPr>
                <w:rFonts w:ascii="Times New Roman" w:hAnsi="Times New Roman" w:eastAsia="宋体"/>
                <w:bCs/>
                <w:caps w:val="0"/>
                <w:color w:val="000000" w:themeColor="text1"/>
                <w:kern w:val="0"/>
                <w:sz w:val="24"/>
                <w:highlight w:val="none"/>
                <w:lang w:bidi="en-US"/>
                <w14:textFill>
                  <w14:solidFill>
                    <w14:schemeClr w14:val="tx1"/>
                  </w14:solidFill>
                </w14:textFill>
              </w:rPr>
              <w:t>Q——风量，m</w:t>
            </w:r>
            <w:r>
              <w:rPr>
                <w:rFonts w:ascii="Times New Roman" w:hAnsi="Times New Roman" w:eastAsia="宋体"/>
                <w:bCs/>
                <w:caps w:val="0"/>
                <w:color w:val="000000" w:themeColor="text1"/>
                <w:kern w:val="0"/>
                <w:sz w:val="24"/>
                <w:highlight w:val="none"/>
                <w:vertAlign w:val="superscript"/>
                <w:lang w:bidi="en-US"/>
                <w14:textFill>
                  <w14:solidFill>
                    <w14:schemeClr w14:val="tx1"/>
                  </w14:solidFill>
                </w14:textFill>
              </w:rPr>
              <w:t>3</w:t>
            </w:r>
            <w:r>
              <w:rPr>
                <w:rFonts w:ascii="Times New Roman" w:hAnsi="Times New Roman" w:eastAsia="宋体"/>
                <w:bCs/>
                <w:caps w:val="0"/>
                <w:color w:val="000000" w:themeColor="text1"/>
                <w:kern w:val="0"/>
                <w:sz w:val="24"/>
                <w:highlight w:val="none"/>
                <w:lang w:bidi="en-US"/>
                <w14:textFill>
                  <w14:solidFill>
                    <w14:schemeClr w14:val="tx1"/>
                  </w14:solidFill>
                </w14:textFill>
              </w:rPr>
              <w:t>/s；</w:t>
            </w:r>
          </w:p>
          <w:p w14:paraId="76D615A1">
            <w:pPr>
              <w:snapToGrid w:val="0"/>
              <w:spacing w:line="360" w:lineRule="auto"/>
              <w:ind w:firstLine="480" w:firstLineChars="200"/>
              <w:rPr>
                <w:rFonts w:ascii="Times New Roman" w:hAnsi="Times New Roman" w:eastAsia="宋体"/>
                <w:bCs/>
                <w:caps w:val="0"/>
                <w:color w:val="000000" w:themeColor="text1"/>
                <w:kern w:val="0"/>
                <w:sz w:val="24"/>
                <w:highlight w:val="none"/>
                <w:lang w:bidi="en-US"/>
                <w14:textFill>
                  <w14:solidFill>
                    <w14:schemeClr w14:val="tx1"/>
                  </w14:solidFill>
                </w14:textFill>
              </w:rPr>
            </w:pPr>
            <w:r>
              <w:rPr>
                <w:rFonts w:ascii="Times New Roman" w:hAnsi="Times New Roman" w:eastAsia="宋体"/>
                <w:bCs/>
                <w:caps w:val="0"/>
                <w:color w:val="000000" w:themeColor="text1"/>
                <w:kern w:val="0"/>
                <w:sz w:val="24"/>
                <w:highlight w:val="none"/>
                <w:lang w:bidi="en-US"/>
                <w14:textFill>
                  <w14:solidFill>
                    <w14:schemeClr w14:val="tx1"/>
                  </w14:solidFill>
                </w14:textFill>
              </w:rPr>
              <w:t>K——考虑沿高度速度分布不均匀的安全系数，通常取1.3；</w:t>
            </w:r>
          </w:p>
          <w:p w14:paraId="03CE77F8">
            <w:pPr>
              <w:snapToGrid w:val="0"/>
              <w:spacing w:line="360" w:lineRule="auto"/>
              <w:ind w:firstLine="480" w:firstLineChars="200"/>
              <w:rPr>
                <w:rFonts w:ascii="Times New Roman" w:hAnsi="Times New Roman" w:eastAsia="宋体"/>
                <w:bCs/>
                <w:caps w:val="0"/>
                <w:color w:val="000000" w:themeColor="text1"/>
                <w:kern w:val="0"/>
                <w:sz w:val="24"/>
                <w:highlight w:val="none"/>
                <w:lang w:bidi="en-US"/>
                <w14:textFill>
                  <w14:solidFill>
                    <w14:schemeClr w14:val="tx1"/>
                  </w14:solidFill>
                </w14:textFill>
              </w:rPr>
            </w:pPr>
            <w:r>
              <w:rPr>
                <w:rFonts w:ascii="Times New Roman" w:hAnsi="Times New Roman" w:eastAsia="宋体"/>
                <w:bCs/>
                <w:caps w:val="0"/>
                <w:color w:val="000000" w:themeColor="text1"/>
                <w:kern w:val="0"/>
                <w:sz w:val="24"/>
                <w:highlight w:val="none"/>
                <w:lang w:bidi="en-US"/>
                <w14:textFill>
                  <w14:solidFill>
                    <w14:schemeClr w14:val="tx1"/>
                  </w14:solidFill>
                </w14:textFill>
              </w:rPr>
              <w:t>P——集气罩敞开面周长，m</w:t>
            </w:r>
            <w:r>
              <w:rPr>
                <w:rFonts w:hint="eastAsia" w:ascii="Times New Roman" w:hAnsi="Times New Roman" w:eastAsia="宋体"/>
                <w:bCs/>
                <w:caps w:val="0"/>
                <w:color w:val="000000" w:themeColor="text1"/>
                <w:kern w:val="0"/>
                <w:sz w:val="24"/>
                <w:highlight w:val="none"/>
                <w:lang w:eastAsia="zh-CN" w:bidi="en-US"/>
                <w14:textFill>
                  <w14:solidFill>
                    <w14:schemeClr w14:val="tx1"/>
                  </w14:solidFill>
                </w14:textFill>
              </w:rPr>
              <w:t>，</w:t>
            </w:r>
            <w:r>
              <w:rPr>
                <w:rFonts w:hint="eastAsia" w:ascii="Times New Roman" w:hAnsi="Times New Roman" w:eastAsia="宋体"/>
                <w:bCs/>
                <w:caps w:val="0"/>
                <w:color w:val="000000" w:themeColor="text1"/>
                <w:kern w:val="0"/>
                <w:sz w:val="24"/>
                <w:highlight w:val="none"/>
                <w:lang w:val="en-US" w:eastAsia="zh-CN" w:bidi="en-US"/>
                <w14:textFill>
                  <w14:solidFill>
                    <w14:schemeClr w14:val="tx1"/>
                  </w14:solidFill>
                </w14:textFill>
              </w:rPr>
              <w:t>单个为0.94m</w:t>
            </w:r>
            <w:r>
              <w:rPr>
                <w:rFonts w:ascii="Times New Roman" w:hAnsi="Times New Roman" w:eastAsia="宋体"/>
                <w:bCs/>
                <w:caps w:val="0"/>
                <w:color w:val="000000" w:themeColor="text1"/>
                <w:kern w:val="0"/>
                <w:sz w:val="24"/>
                <w:highlight w:val="none"/>
                <w:lang w:bidi="en-US"/>
                <w14:textFill>
                  <w14:solidFill>
                    <w14:schemeClr w14:val="tx1"/>
                  </w14:solidFill>
                </w14:textFill>
              </w:rPr>
              <w:t>；</w:t>
            </w:r>
          </w:p>
          <w:p w14:paraId="742D37AB">
            <w:pPr>
              <w:snapToGrid w:val="0"/>
              <w:spacing w:line="360" w:lineRule="auto"/>
              <w:ind w:firstLine="480" w:firstLineChars="200"/>
              <w:rPr>
                <w:rFonts w:ascii="Times New Roman" w:hAnsi="Times New Roman" w:eastAsia="宋体"/>
                <w:bCs/>
                <w:caps w:val="0"/>
                <w:color w:val="000000" w:themeColor="text1"/>
                <w:kern w:val="0"/>
                <w:sz w:val="24"/>
                <w:highlight w:val="none"/>
                <w:lang w:bidi="en-US"/>
                <w14:textFill>
                  <w14:solidFill>
                    <w14:schemeClr w14:val="tx1"/>
                  </w14:solidFill>
                </w14:textFill>
              </w:rPr>
            </w:pPr>
            <w:r>
              <w:rPr>
                <w:rFonts w:ascii="Times New Roman" w:hAnsi="Times New Roman" w:eastAsia="宋体"/>
                <w:bCs/>
                <w:caps w:val="0"/>
                <w:color w:val="000000" w:themeColor="text1"/>
                <w:kern w:val="0"/>
                <w:sz w:val="24"/>
                <w:highlight w:val="none"/>
                <w:lang w:bidi="en-US"/>
                <w14:textFill>
                  <w14:solidFill>
                    <w14:schemeClr w14:val="tx1"/>
                  </w14:solidFill>
                </w14:textFill>
              </w:rPr>
              <w:t>H——集气罩开口面至污染源距离，m，H取值0.</w:t>
            </w:r>
            <w:r>
              <w:rPr>
                <w:rFonts w:hint="eastAsia" w:ascii="Times New Roman" w:hAnsi="Times New Roman" w:eastAsia="宋体"/>
                <w:bCs/>
                <w:caps w:val="0"/>
                <w:color w:val="000000" w:themeColor="text1"/>
                <w:kern w:val="0"/>
                <w:sz w:val="24"/>
                <w:highlight w:val="none"/>
                <w:lang w:val="en-US" w:eastAsia="zh-CN" w:bidi="en-US"/>
                <w14:textFill>
                  <w14:solidFill>
                    <w14:schemeClr w14:val="tx1"/>
                  </w14:solidFill>
                </w14:textFill>
              </w:rPr>
              <w:t>3</w:t>
            </w:r>
            <w:r>
              <w:rPr>
                <w:rFonts w:ascii="Times New Roman" w:hAnsi="Times New Roman" w:eastAsia="宋体"/>
                <w:bCs/>
                <w:caps w:val="0"/>
                <w:color w:val="000000" w:themeColor="text1"/>
                <w:kern w:val="0"/>
                <w:sz w:val="24"/>
                <w:highlight w:val="none"/>
                <w:lang w:bidi="en-US"/>
                <w14:textFill>
                  <w14:solidFill>
                    <w14:schemeClr w14:val="tx1"/>
                  </w14:solidFill>
                </w14:textFill>
              </w:rPr>
              <w:t>m；</w:t>
            </w:r>
          </w:p>
          <w:p w14:paraId="50FFADC1">
            <w:pPr>
              <w:spacing w:line="360" w:lineRule="auto"/>
              <w:ind w:firstLine="480" w:firstLineChars="200"/>
              <w:jc w:val="left"/>
              <w:rPr>
                <w:rFonts w:ascii="Times New Roman" w:hAnsi="Times New Roman" w:eastAsia="宋体"/>
                <w:bCs/>
                <w:caps w:val="0"/>
                <w:color w:val="000000" w:themeColor="text1"/>
                <w:kern w:val="0"/>
                <w:sz w:val="24"/>
                <w:highlight w:val="none"/>
                <w:lang w:bidi="en-US"/>
                <w14:textFill>
                  <w14:solidFill>
                    <w14:schemeClr w14:val="tx1"/>
                  </w14:solidFill>
                </w14:textFill>
              </w:rPr>
            </w:pPr>
            <w:r>
              <w:rPr>
                <w:rFonts w:ascii="Times New Roman" w:hAnsi="Times New Roman" w:eastAsia="宋体"/>
                <w:bCs/>
                <w:caps w:val="0"/>
                <w:color w:val="000000" w:themeColor="text1"/>
                <w:kern w:val="0"/>
                <w:sz w:val="24"/>
                <w:highlight w:val="none"/>
                <w:lang w:bidi="en-US"/>
                <w14:textFill>
                  <w14:solidFill>
                    <w14:schemeClr w14:val="tx1"/>
                  </w14:solidFill>
                </w14:textFill>
              </w:rPr>
              <w:t>V——集气罩开口面最远处风速，m/s，V取0.3m/s；</w:t>
            </w:r>
          </w:p>
          <w:p w14:paraId="172F6E8B">
            <w:pPr>
              <w:spacing w:line="360" w:lineRule="auto"/>
              <w:ind w:firstLine="480" w:firstLineChars="200"/>
              <w:rPr>
                <w:rFonts w:hint="eastAsia"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bCs/>
                <w:caps w:val="0"/>
                <w:color w:val="000000" w:themeColor="text1"/>
                <w:kern w:val="0"/>
                <w:sz w:val="24"/>
                <w:highlight w:val="none"/>
                <w:lang w:bidi="en-US"/>
                <w14:textFill>
                  <w14:solidFill>
                    <w14:schemeClr w14:val="tx1"/>
                  </w14:solidFill>
                </w14:textFill>
              </w:rPr>
              <w:t>经计算，Q=</w:t>
            </w:r>
            <w:r>
              <w:rPr>
                <w:rFonts w:hint="eastAsia" w:ascii="Times New Roman" w:hAnsi="Times New Roman" w:eastAsia="宋体"/>
                <w:bCs/>
                <w:caps w:val="0"/>
                <w:color w:val="000000" w:themeColor="text1"/>
                <w:kern w:val="0"/>
                <w:sz w:val="24"/>
                <w:highlight w:val="none"/>
                <w:lang w:val="en-US" w:eastAsia="zh-CN" w:bidi="en-US"/>
                <w14:textFill>
                  <w14:solidFill>
                    <w14:schemeClr w14:val="tx1"/>
                  </w14:solidFill>
                </w14:textFill>
              </w:rPr>
              <w:t>0.11</w:t>
            </w:r>
            <w:r>
              <w:rPr>
                <w:rFonts w:ascii="Times New Roman" w:hAnsi="Times New Roman" w:eastAsia="宋体"/>
                <w:bCs/>
                <w:caps w:val="0"/>
                <w:color w:val="000000" w:themeColor="text1"/>
                <w:kern w:val="0"/>
                <w:sz w:val="24"/>
                <w:highlight w:val="none"/>
                <w:lang w:bidi="en-US"/>
                <w14:textFill>
                  <w14:solidFill>
                    <w14:schemeClr w14:val="tx1"/>
                  </w14:solidFill>
                </w14:textFill>
              </w:rPr>
              <w:t>m</w:t>
            </w:r>
            <w:r>
              <w:rPr>
                <w:rFonts w:ascii="Times New Roman" w:hAnsi="Times New Roman" w:eastAsia="宋体"/>
                <w:bCs/>
                <w:caps w:val="0"/>
                <w:color w:val="000000" w:themeColor="text1"/>
                <w:kern w:val="0"/>
                <w:sz w:val="24"/>
                <w:highlight w:val="none"/>
                <w:vertAlign w:val="superscript"/>
                <w:lang w:bidi="en-US"/>
                <w14:textFill>
                  <w14:solidFill>
                    <w14:schemeClr w14:val="tx1"/>
                  </w14:solidFill>
                </w14:textFill>
              </w:rPr>
              <w:t>3</w:t>
            </w:r>
            <w:r>
              <w:rPr>
                <w:rFonts w:ascii="Times New Roman" w:hAnsi="Times New Roman" w:eastAsia="宋体"/>
                <w:bCs/>
                <w:caps w:val="0"/>
                <w:color w:val="000000" w:themeColor="text1"/>
                <w:kern w:val="0"/>
                <w:sz w:val="24"/>
                <w:highlight w:val="none"/>
                <w:lang w:bidi="en-US"/>
                <w14:textFill>
                  <w14:solidFill>
                    <w14:schemeClr w14:val="tx1"/>
                  </w14:solidFill>
                </w14:textFill>
              </w:rPr>
              <w:t>/s，即</w:t>
            </w:r>
            <w:r>
              <w:rPr>
                <w:rFonts w:hint="eastAsia" w:ascii="Times New Roman" w:hAnsi="Times New Roman" w:eastAsia="宋体"/>
                <w:bCs/>
                <w:caps w:val="0"/>
                <w:color w:val="000000" w:themeColor="text1"/>
                <w:kern w:val="0"/>
                <w:sz w:val="24"/>
                <w:highlight w:val="none"/>
                <w:lang w:val="en-US" w:eastAsia="zh-CN" w:bidi="en-US"/>
                <w14:textFill>
                  <w14:solidFill>
                    <w14:schemeClr w14:val="tx1"/>
                  </w14:solidFill>
                </w14:textFill>
              </w:rPr>
              <w:t>396</w:t>
            </w:r>
            <w:r>
              <w:rPr>
                <w:rFonts w:ascii="Times New Roman" w:hAnsi="Times New Roman" w:eastAsia="宋体"/>
                <w:bCs/>
                <w:caps w:val="0"/>
                <w:color w:val="000000" w:themeColor="text1"/>
                <w:kern w:val="0"/>
                <w:sz w:val="24"/>
                <w:highlight w:val="none"/>
                <w:lang w:bidi="en-US"/>
                <w14:textFill>
                  <w14:solidFill>
                    <w14:schemeClr w14:val="tx1"/>
                  </w14:solidFill>
                </w14:textFill>
              </w:rPr>
              <w:t>m</w:t>
            </w:r>
            <w:r>
              <w:rPr>
                <w:rFonts w:ascii="Times New Roman" w:hAnsi="Times New Roman" w:eastAsia="宋体"/>
                <w:bCs/>
                <w:caps w:val="0"/>
                <w:color w:val="000000" w:themeColor="text1"/>
                <w:kern w:val="0"/>
                <w:sz w:val="24"/>
                <w:highlight w:val="none"/>
                <w:vertAlign w:val="superscript"/>
                <w:lang w:bidi="en-US"/>
                <w14:textFill>
                  <w14:solidFill>
                    <w14:schemeClr w14:val="tx1"/>
                  </w14:solidFill>
                </w14:textFill>
              </w:rPr>
              <w:t>3</w:t>
            </w:r>
            <w:r>
              <w:rPr>
                <w:rFonts w:ascii="Times New Roman" w:hAnsi="Times New Roman" w:eastAsia="宋体"/>
                <w:bCs/>
                <w:caps w:val="0"/>
                <w:color w:val="000000" w:themeColor="text1"/>
                <w:kern w:val="0"/>
                <w:sz w:val="24"/>
                <w:highlight w:val="none"/>
                <w:lang w:bidi="en-US"/>
                <w14:textFill>
                  <w14:solidFill>
                    <w14:schemeClr w14:val="tx1"/>
                  </w14:solidFill>
                </w14:textFill>
              </w:rPr>
              <w:t>/h。</w:t>
            </w:r>
            <w:r>
              <w:rPr>
                <w:rFonts w:hint="eastAsia" w:ascii="Times New Roman" w:hAnsi="Times New Roman" w:eastAsia="宋体"/>
                <w:bCs/>
                <w:caps w:val="0"/>
                <w:color w:val="000000" w:themeColor="text1"/>
                <w:kern w:val="0"/>
                <w:sz w:val="24"/>
                <w:highlight w:val="none"/>
                <w:lang w:val="en-US" w:eastAsia="zh-CN" w:bidi="en-US"/>
                <w14:textFill>
                  <w14:solidFill>
                    <w14:schemeClr w14:val="tx1"/>
                  </w14:solidFill>
                </w14:textFill>
              </w:rPr>
              <w:t>共</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设置35个集气罩，总风量为</w:t>
            </w:r>
            <w:r>
              <w:rPr>
                <w:rFonts w:hint="eastAsia" w:ascii="Times New Roman" w:hAnsi="Times New Roman" w:eastAsia="宋体"/>
                <w:bCs/>
                <w:color w:val="000000" w:themeColor="text1"/>
                <w:kern w:val="0"/>
                <w:sz w:val="24"/>
                <w:highlight w:val="none"/>
                <w:lang w:val="en-US" w:eastAsia="zh-CN" w:bidi="en-US"/>
                <w14:textFill>
                  <w14:solidFill>
                    <w14:schemeClr w14:val="tx1"/>
                  </w14:solidFill>
                </w14:textFill>
              </w:rPr>
              <w:t>13860</w:t>
            </w:r>
            <w:r>
              <w:rPr>
                <w:rFonts w:ascii="Times New Roman" w:hAnsi="Times New Roman" w:eastAsia="宋体"/>
                <w:bCs/>
                <w:color w:val="000000" w:themeColor="text1"/>
                <w:kern w:val="0"/>
                <w:sz w:val="24"/>
                <w:highlight w:val="none"/>
                <w:lang w:bidi="en-US"/>
                <w14:textFill>
                  <w14:solidFill>
                    <w14:schemeClr w14:val="tx1"/>
                  </w14:solidFill>
                </w14:textFill>
              </w:rPr>
              <w:t>m</w:t>
            </w:r>
            <w:r>
              <w:rPr>
                <w:rFonts w:ascii="Times New Roman" w:hAnsi="Times New Roman" w:eastAsia="宋体"/>
                <w:bCs/>
                <w:color w:val="000000" w:themeColor="text1"/>
                <w:kern w:val="0"/>
                <w:sz w:val="24"/>
                <w:highlight w:val="none"/>
                <w:vertAlign w:val="superscript"/>
                <w:lang w:bidi="en-US"/>
                <w14:textFill>
                  <w14:solidFill>
                    <w14:schemeClr w14:val="tx1"/>
                  </w14:solidFill>
                </w14:textFill>
              </w:rPr>
              <w:t>3</w:t>
            </w:r>
            <w:r>
              <w:rPr>
                <w:rFonts w:ascii="Times New Roman" w:hAnsi="Times New Roman" w:eastAsia="宋体"/>
                <w:bCs/>
                <w:color w:val="000000" w:themeColor="text1"/>
                <w:kern w:val="0"/>
                <w:sz w:val="24"/>
                <w:highlight w:val="none"/>
                <w:lang w:bidi="en-US"/>
                <w14:textFill>
                  <w14:solidFill>
                    <w14:schemeClr w14:val="tx1"/>
                  </w14:solidFill>
                </w14:textFill>
              </w:rPr>
              <w:t>/h</w:t>
            </w:r>
            <w:r>
              <w:rPr>
                <w:rFonts w:hint="eastAsia" w:ascii="Times New Roman" w:hAnsi="Times New Roman" w:eastAsia="宋体"/>
                <w:bCs/>
                <w:color w:val="000000" w:themeColor="text1"/>
                <w:kern w:val="0"/>
                <w:sz w:val="24"/>
                <w:highlight w:val="none"/>
                <w:lang w:val="en-US" w:eastAsia="zh-CN" w:bidi="en-US"/>
                <w14:textFill>
                  <w14:solidFill>
                    <w14:schemeClr w14:val="tx1"/>
                  </w14:solidFill>
                </w14:textFill>
              </w:rPr>
              <w:t>。</w:t>
            </w:r>
            <w:r>
              <w:rPr>
                <w:rFonts w:ascii="Times New Roman" w:hAnsi="Times New Roman" w:eastAsia="宋体"/>
                <w:bCs/>
                <w:color w:val="000000" w:themeColor="text1"/>
                <w:kern w:val="0"/>
                <w:sz w:val="24"/>
                <w:highlight w:val="none"/>
                <w:lang w:bidi="en-US"/>
                <w14:textFill>
                  <w14:solidFill>
                    <w14:schemeClr w14:val="tx1"/>
                  </w14:solidFill>
                </w14:textFill>
              </w:rPr>
              <w:t>考虑管道的阻力等因素，最终风量确定为</w:t>
            </w:r>
            <w:r>
              <w:rPr>
                <w:rFonts w:hint="eastAsia" w:ascii="Times New Roman" w:hAnsi="Times New Roman" w:eastAsia="宋体"/>
                <w:bCs/>
                <w:color w:val="000000" w:themeColor="text1"/>
                <w:kern w:val="0"/>
                <w:sz w:val="24"/>
                <w:highlight w:val="none"/>
                <w:lang w:val="en-US" w:eastAsia="zh-CN" w:bidi="en-US"/>
                <w14:textFill>
                  <w14:solidFill>
                    <w14:schemeClr w14:val="tx1"/>
                  </w14:solidFill>
                </w14:textFill>
              </w:rPr>
              <w:t>150</w:t>
            </w:r>
            <w:r>
              <w:rPr>
                <w:rFonts w:ascii="Times New Roman" w:hAnsi="Times New Roman" w:eastAsia="宋体"/>
                <w:bCs/>
                <w:color w:val="000000" w:themeColor="text1"/>
                <w:kern w:val="0"/>
                <w:sz w:val="24"/>
                <w:highlight w:val="none"/>
                <w:lang w:bidi="en-US"/>
                <w14:textFill>
                  <w14:solidFill>
                    <w14:schemeClr w14:val="tx1"/>
                  </w14:solidFill>
                </w14:textFill>
              </w:rPr>
              <w:t>00m</w:t>
            </w:r>
            <w:r>
              <w:rPr>
                <w:rFonts w:ascii="Times New Roman" w:hAnsi="Times New Roman" w:eastAsia="宋体"/>
                <w:bCs/>
                <w:color w:val="000000" w:themeColor="text1"/>
                <w:kern w:val="0"/>
                <w:sz w:val="24"/>
                <w:highlight w:val="none"/>
                <w:vertAlign w:val="superscript"/>
                <w:lang w:bidi="en-US"/>
                <w14:textFill>
                  <w14:solidFill>
                    <w14:schemeClr w14:val="tx1"/>
                  </w14:solidFill>
                </w14:textFill>
              </w:rPr>
              <w:t>3</w:t>
            </w:r>
            <w:r>
              <w:rPr>
                <w:rFonts w:ascii="Times New Roman" w:hAnsi="Times New Roman" w:eastAsia="宋体"/>
                <w:bCs/>
                <w:color w:val="000000" w:themeColor="text1"/>
                <w:kern w:val="0"/>
                <w:sz w:val="24"/>
                <w:highlight w:val="none"/>
                <w:lang w:bidi="en-US"/>
                <w14:textFill>
                  <w14:solidFill>
                    <w14:schemeClr w14:val="tx1"/>
                  </w14:solidFill>
                </w14:textFill>
              </w:rPr>
              <w:t>/h。</w:t>
            </w:r>
          </w:p>
          <w:p w14:paraId="0C9FFC17">
            <w:pPr>
              <w:spacing w:line="360" w:lineRule="auto"/>
              <w:ind w:firstLine="480" w:firstLineChars="200"/>
              <w:rPr>
                <w:rFonts w:hint="default"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pPr>
            <w:r>
              <w:rPr>
                <w:rFonts w:ascii="Times New Roman" w:hAnsi="Times New Roman" w:eastAsia="宋体" w:cs="Times New Roman"/>
                <w:bCs/>
                <w:color w:val="000000" w:themeColor="text1"/>
                <w:kern w:val="0"/>
                <w:sz w:val="24"/>
                <w:highlight w:val="none"/>
                <w:lang w:bidi="en-US"/>
                <w14:textFill>
                  <w14:solidFill>
                    <w14:schemeClr w14:val="tx1"/>
                  </w14:solidFill>
                </w14:textFill>
              </w:rPr>
              <w:t>项目PA</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66</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 xml:space="preserve"> 使用量为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100</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t/a，则产生的非甲烷总烃为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0.27</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t/a，</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氨的产生量为0.03t/a。</w:t>
            </w:r>
          </w:p>
          <w:p w14:paraId="14432800">
            <w:pPr>
              <w:spacing w:line="360" w:lineRule="auto"/>
              <w:ind w:firstLine="480" w:firstLineChars="200"/>
              <w:rPr>
                <w:rFonts w:ascii="Times New Roman" w:hAnsi="Times New Roman" w:eastAsia="宋体" w:cs="Times New Roman"/>
                <w:bCs/>
                <w:color w:val="000000" w:themeColor="text1"/>
                <w:kern w:val="0"/>
                <w:sz w:val="24"/>
                <w:highlight w:val="none"/>
                <w:lang w:bidi="en-US"/>
                <w14:textFill>
                  <w14:solidFill>
                    <w14:schemeClr w14:val="tx1"/>
                  </w14:solidFill>
                </w14:textFill>
              </w:rPr>
            </w:pPr>
            <w:r>
              <w:rPr>
                <w:rFonts w:hint="eastAsia" w:cs="Times New Roman"/>
                <w:bCs/>
                <w:color w:val="000000" w:themeColor="text1"/>
                <w:kern w:val="0"/>
                <w:sz w:val="24"/>
                <w:highlight w:val="none"/>
                <w:lang w:val="en-US" w:eastAsia="zh-CN" w:bidi="en-US"/>
                <w14:textFill>
                  <w14:solidFill>
                    <w14:schemeClr w14:val="tx1"/>
                  </w14:solidFill>
                </w14:textFill>
              </w:rPr>
              <w:t>经集气罩收集后（收集效率90%）经二级活性炭吸附装置处理（处理效率为90%），</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非甲烷总烃有组织产生量为0.243t/a，</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产生速率为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0.06</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kg/h，产生浓度为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4</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mg/m</w:t>
            </w:r>
            <w:r>
              <w:rPr>
                <w:rFonts w:ascii="Times New Roman" w:hAnsi="Times New Roman" w:eastAsia="宋体" w:cs="Times New Roman"/>
                <w:bCs/>
                <w:color w:val="000000" w:themeColor="text1"/>
                <w:kern w:val="0"/>
                <w:sz w:val="24"/>
                <w:highlight w:val="none"/>
                <w:vertAlign w:val="superscript"/>
                <w:lang w:bidi="en-US"/>
                <w14:textFill>
                  <w14:solidFill>
                    <w14:schemeClr w14:val="tx1"/>
                  </w14:solidFill>
                </w14:textFill>
              </w:rPr>
              <w:t>3</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。经处理后，有组织排放量为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0.0243</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t/a，排放速率为0.00</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6</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kg/h，排放浓度为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0.4</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mg/m</w:t>
            </w:r>
            <w:r>
              <w:rPr>
                <w:rFonts w:ascii="Times New Roman" w:hAnsi="Times New Roman" w:eastAsia="宋体" w:cs="Times New Roman"/>
                <w:bCs/>
                <w:color w:val="000000" w:themeColor="text1"/>
                <w:kern w:val="0"/>
                <w:sz w:val="24"/>
                <w:highlight w:val="none"/>
                <w:vertAlign w:val="superscript"/>
                <w:lang w:bidi="en-US"/>
                <w14:textFill>
                  <w14:solidFill>
                    <w14:schemeClr w14:val="tx1"/>
                  </w14:solidFill>
                </w14:textFill>
              </w:rPr>
              <w:t>3</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。未收集的废气无组织排放。无组织排放量为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0.027</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t/a，排放速率为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0.0068</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kg/h。</w:t>
            </w:r>
          </w:p>
          <w:p w14:paraId="2F2F3F3D">
            <w:pPr>
              <w:spacing w:line="360" w:lineRule="auto"/>
              <w:ind w:firstLine="480" w:firstLineChars="200"/>
              <w:rPr>
                <w:rFonts w:hint="default"/>
                <w:caps w:val="0"/>
                <w:color w:val="000000" w:themeColor="text1"/>
                <w:sz w:val="24"/>
                <w:highlight w:val="none"/>
                <w:lang w:val="en-US" w:eastAsia="zh-CN"/>
                <w14:textFill>
                  <w14:solidFill>
                    <w14:schemeClr w14:val="tx1"/>
                  </w14:solidFill>
                </w14:textFill>
              </w:rPr>
            </w:pPr>
            <w:r>
              <w:rPr>
                <w:rFonts w:ascii="Times New Roman" w:hAnsi="Times New Roman" w:eastAsia="宋体" w:cs="Times New Roman"/>
                <w:bCs/>
                <w:color w:val="000000" w:themeColor="text1"/>
                <w:kern w:val="0"/>
                <w:sz w:val="24"/>
                <w:highlight w:val="none"/>
                <w:lang w:bidi="en-US"/>
                <w14:textFill>
                  <w14:solidFill>
                    <w14:schemeClr w14:val="tx1"/>
                  </w14:solidFill>
                </w14:textFill>
              </w:rPr>
              <w:t>则</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氨有组织产生量</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0.027</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t/a，产生速率为0.007kg/h，产生浓度为0.</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47</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mg/m</w:t>
            </w:r>
            <w:r>
              <w:rPr>
                <w:rFonts w:ascii="Times New Roman" w:hAnsi="Times New Roman" w:eastAsia="宋体" w:cs="Times New Roman"/>
                <w:bCs/>
                <w:color w:val="000000" w:themeColor="text1"/>
                <w:kern w:val="0"/>
                <w:sz w:val="24"/>
                <w:highlight w:val="none"/>
                <w:vertAlign w:val="superscript"/>
                <w:lang w:bidi="en-US"/>
                <w14:textFill>
                  <w14:solidFill>
                    <w14:schemeClr w14:val="tx1"/>
                  </w14:solidFill>
                </w14:textFill>
              </w:rPr>
              <w:t>3</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，经处理后，有组织排放量为0.00</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27</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t/a，排放速率为0.000</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7</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kg/h，排放浓度为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0.047</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mg/m</w:t>
            </w:r>
            <w:r>
              <w:rPr>
                <w:rFonts w:ascii="Times New Roman" w:hAnsi="Times New Roman" w:eastAsia="宋体" w:cs="Times New Roman"/>
                <w:bCs/>
                <w:color w:val="000000" w:themeColor="text1"/>
                <w:kern w:val="0"/>
                <w:sz w:val="24"/>
                <w:highlight w:val="none"/>
                <w:vertAlign w:val="superscript"/>
                <w:lang w:bidi="en-US"/>
                <w14:textFill>
                  <w14:solidFill>
                    <w14:schemeClr w14:val="tx1"/>
                  </w14:solidFill>
                </w14:textFill>
              </w:rPr>
              <w:t>3</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。未收集的废气无组织排放。无组织排放量为</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0.003</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t/a，排放速率</w:t>
            </w:r>
            <w:r>
              <w:rPr>
                <w:rFonts w:hint="eastAsia" w:ascii="Times New Roman" w:hAnsi="Times New Roman" w:eastAsia="宋体" w:cs="Times New Roman"/>
                <w:bCs/>
                <w:color w:val="000000" w:themeColor="text1"/>
                <w:kern w:val="0"/>
                <w:sz w:val="24"/>
                <w:highlight w:val="none"/>
                <w:lang w:val="en-US" w:eastAsia="zh-CN" w:bidi="en-US"/>
                <w14:textFill>
                  <w14:solidFill>
                    <w14:schemeClr w14:val="tx1"/>
                  </w14:solidFill>
                </w14:textFill>
              </w:rPr>
              <w:t>0.0008</w:t>
            </w:r>
            <w:r>
              <w:rPr>
                <w:rFonts w:ascii="Times New Roman" w:hAnsi="Times New Roman" w:eastAsia="宋体" w:cs="Times New Roman"/>
                <w:bCs/>
                <w:color w:val="000000" w:themeColor="text1"/>
                <w:kern w:val="0"/>
                <w:sz w:val="24"/>
                <w:highlight w:val="none"/>
                <w:lang w:bidi="en-US"/>
                <w14:textFill>
                  <w14:solidFill>
                    <w14:schemeClr w14:val="tx1"/>
                  </w14:solidFill>
                </w14:textFill>
              </w:rPr>
              <w:t>kg/h</w:t>
            </w:r>
            <w:r>
              <w:rPr>
                <w:rFonts w:hint="eastAsia" w:ascii="Times New Roman" w:hAnsi="Times New Roman" w:eastAsia="宋体" w:cs="Times New Roman"/>
                <w:bCs/>
                <w:color w:val="000000" w:themeColor="text1"/>
                <w:kern w:val="0"/>
                <w:sz w:val="24"/>
                <w:highlight w:val="none"/>
                <w:lang w:eastAsia="zh-CN" w:bidi="en-US"/>
                <w14:textFill>
                  <w14:solidFill>
                    <w14:schemeClr w14:val="tx1"/>
                  </w14:solidFill>
                </w14:textFill>
              </w:rPr>
              <w:t>。</w:t>
            </w:r>
          </w:p>
          <w:p w14:paraId="06487909">
            <w:pPr>
              <w:spacing w:line="360" w:lineRule="auto"/>
              <w:ind w:firstLine="480" w:firstLineChars="200"/>
              <w:rPr>
                <w:rFonts w:hint="default" w:ascii="Times New Roman" w:hAnsi="Times New Roman" w:eastAsia="宋体"/>
                <w:caps w:val="0"/>
                <w:color w:val="auto"/>
                <w:sz w:val="24"/>
                <w:highlight w:val="none"/>
                <w:lang w:val="en-US" w:eastAsia="zh-CN"/>
              </w:rPr>
            </w:pPr>
            <w:r>
              <w:rPr>
                <w:rFonts w:hint="eastAsia" w:ascii="Times New Roman" w:hAnsi="Times New Roman" w:eastAsia="宋体"/>
                <w:caps w:val="0"/>
                <w:color w:val="auto"/>
                <w:sz w:val="24"/>
                <w:highlight w:val="none"/>
                <w:lang w:val="en-GB" w:eastAsia="zh-CN"/>
              </w:rPr>
              <w:t>（</w:t>
            </w:r>
            <w:r>
              <w:rPr>
                <w:rFonts w:hint="eastAsia" w:ascii="Times New Roman" w:hAnsi="Times New Roman" w:eastAsia="宋体"/>
                <w:caps w:val="0"/>
                <w:color w:val="auto"/>
                <w:sz w:val="24"/>
                <w:highlight w:val="none"/>
                <w:lang w:val="en-US" w:eastAsia="zh-CN"/>
              </w:rPr>
              <w:t>2</w:t>
            </w:r>
            <w:r>
              <w:rPr>
                <w:rFonts w:hint="eastAsia" w:ascii="Times New Roman" w:hAnsi="Times New Roman" w:eastAsia="宋体"/>
                <w:caps w:val="0"/>
                <w:color w:val="auto"/>
                <w:sz w:val="24"/>
                <w:highlight w:val="none"/>
                <w:lang w:val="en-GB" w:eastAsia="zh-CN"/>
              </w:rPr>
              <w:t>）</w:t>
            </w:r>
            <w:r>
              <w:rPr>
                <w:rFonts w:hint="eastAsia"/>
                <w:caps w:val="0"/>
                <w:color w:val="auto"/>
                <w:sz w:val="24"/>
                <w:highlight w:val="none"/>
                <w:lang w:val="en-US" w:eastAsia="zh-CN"/>
              </w:rPr>
              <w:t>破碎</w:t>
            </w:r>
            <w:r>
              <w:rPr>
                <w:rFonts w:hint="eastAsia" w:ascii="Times New Roman" w:hAnsi="Times New Roman" w:eastAsia="宋体"/>
                <w:caps w:val="0"/>
                <w:color w:val="auto"/>
                <w:sz w:val="24"/>
                <w:highlight w:val="none"/>
                <w:lang w:val="en-US" w:eastAsia="zh-CN"/>
              </w:rPr>
              <w:t>废气</w:t>
            </w:r>
          </w:p>
          <w:p w14:paraId="41AF9F0C">
            <w:pPr>
              <w:spacing w:line="360" w:lineRule="auto"/>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项目依托现有的4台破碎机对本项目产生的塑料不合格品和塑料边角料进行破碎，破碎后回用于本项目生产。现有项目未核算破碎粉尘量且未采取治理措施，本次评价拟采取滤筒除尘器进行处理，故本次破碎粉尘源强按照全厂破碎量进行核算，现有项目产生的塑料不合格品和塑料边角料为13t/a，本项目产生的塑料边角料和塑料不合格品为1t/a。总产生量为14t/a。</w:t>
            </w:r>
          </w:p>
          <w:p w14:paraId="1F227FF9">
            <w:pPr>
              <w:spacing w:line="360" w:lineRule="auto"/>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破碎房整体密闭，负压收集后，经滤筒除尘器进行处理（处理效率为99%），因项目采用全自动注塑工艺，不合格品产生量较少，年破碎时间约为500h，则产生速率为28kg/h。经处理后，排放量为0.14t/a，排放速率为0.28kg/h。</w:t>
            </w:r>
          </w:p>
          <w:p w14:paraId="202F91DF">
            <w:pPr>
              <w:adjustRightInd w:val="0"/>
              <w:snapToGrid w:val="0"/>
              <w:spacing w:line="360" w:lineRule="auto"/>
              <w:ind w:firstLine="420" w:firstLineChars="200"/>
              <w:rPr>
                <w:rFonts w:ascii="Times New Roman" w:hAnsi="Times New Roman" w:eastAsia="宋体"/>
                <w:caps w:val="0"/>
                <w:color w:val="000000" w:themeColor="text1"/>
                <w:highlight w:val="none"/>
                <w14:textFill>
                  <w14:solidFill>
                    <w14:schemeClr w14:val="tx1"/>
                  </w14:solidFill>
                </w14:textFill>
              </w:rPr>
            </w:pPr>
          </w:p>
        </w:tc>
      </w:tr>
    </w:tbl>
    <w:p w14:paraId="3863B77E">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1"/>
        <w:tblW w:w="126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632"/>
      </w:tblGrid>
      <w:tr w14:paraId="5C797E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23" w:hRule="atLeast"/>
          <w:jc w:val="center"/>
        </w:trPr>
        <w:tc>
          <w:tcPr>
            <w:tcW w:w="12632" w:type="dxa"/>
            <w:vAlign w:val="center"/>
          </w:tcPr>
          <w:p w14:paraId="2636CA82">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本项目废气有组织排放情况汇总表见表4-</w:t>
            </w:r>
            <w:r>
              <w:rPr>
                <w:rFonts w:hint="eastAsia"/>
                <w:caps w:val="0"/>
                <w:color w:val="000000" w:themeColor="text1"/>
                <w:sz w:val="24"/>
                <w:highlight w:val="none"/>
                <w:lang w:val="en-US" w:eastAsia="zh-CN"/>
                <w14:textFill>
                  <w14:solidFill>
                    <w14:schemeClr w14:val="tx1"/>
                  </w14:solidFill>
                </w14:textFill>
              </w:rPr>
              <w:t>4</w:t>
            </w:r>
            <w:r>
              <w:rPr>
                <w:rFonts w:hint="eastAsia" w:ascii="Times New Roman" w:hAnsi="Times New Roman" w:eastAsia="宋体"/>
                <w:caps w:val="0"/>
                <w:color w:val="000000" w:themeColor="text1"/>
                <w:sz w:val="24"/>
                <w:highlight w:val="none"/>
                <w14:textFill>
                  <w14:solidFill>
                    <w14:schemeClr w14:val="tx1"/>
                  </w14:solidFill>
                </w14:textFill>
              </w:rPr>
              <w:t>。</w:t>
            </w:r>
          </w:p>
          <w:p w14:paraId="7DF31D04">
            <w:pPr>
              <w:widowControl/>
              <w:jc w:val="center"/>
              <w:rPr>
                <w:rFonts w:ascii="Times New Roman" w:hAnsi="Times New Roman" w:eastAsia="宋体"/>
                <w:b/>
                <w:caps w:val="0"/>
                <w:color w:val="000000" w:themeColor="text1"/>
                <w:kern w:val="0"/>
                <w:sz w:val="24"/>
                <w:szCs w:val="20"/>
                <w:highlight w:val="none"/>
                <w14:textFill>
                  <w14:solidFill>
                    <w14:schemeClr w14:val="tx1"/>
                  </w14:solidFill>
                </w14:textFill>
              </w:rPr>
            </w:pPr>
            <w:r>
              <w:rPr>
                <w:rFonts w:ascii="Times New Roman" w:hAnsi="Times New Roman" w:eastAsia="宋体"/>
                <w:b/>
                <w:caps w:val="0"/>
                <w:color w:val="000000" w:themeColor="text1"/>
                <w:kern w:val="0"/>
                <w:sz w:val="24"/>
                <w:szCs w:val="20"/>
                <w:highlight w:val="none"/>
                <w14:textFill>
                  <w14:solidFill>
                    <w14:schemeClr w14:val="tx1"/>
                  </w14:solidFill>
                </w14:textFill>
              </w:rPr>
              <w:t>表</w:t>
            </w:r>
            <w:r>
              <w:rPr>
                <w:rFonts w:hint="eastAsia" w:ascii="Times New Roman" w:hAnsi="Times New Roman" w:eastAsia="宋体"/>
                <w:b/>
                <w:caps w:val="0"/>
                <w:color w:val="000000" w:themeColor="text1"/>
                <w:kern w:val="0"/>
                <w:sz w:val="24"/>
                <w:szCs w:val="20"/>
                <w:highlight w:val="none"/>
                <w14:textFill>
                  <w14:solidFill>
                    <w14:schemeClr w14:val="tx1"/>
                  </w14:solidFill>
                </w14:textFill>
              </w:rPr>
              <w:t>4</w:t>
            </w:r>
            <w:r>
              <w:rPr>
                <w:rFonts w:ascii="Times New Roman" w:hAnsi="Times New Roman" w:eastAsia="宋体"/>
                <w:b/>
                <w:caps w:val="0"/>
                <w:color w:val="000000" w:themeColor="text1"/>
                <w:kern w:val="0"/>
                <w:sz w:val="24"/>
                <w:szCs w:val="20"/>
                <w:highlight w:val="none"/>
                <w14:textFill>
                  <w14:solidFill>
                    <w14:schemeClr w14:val="tx1"/>
                  </w14:solidFill>
                </w14:textFill>
              </w:rPr>
              <w:t>-</w:t>
            </w:r>
            <w:r>
              <w:rPr>
                <w:rFonts w:hint="eastAsia"/>
                <w:b/>
                <w:caps w:val="0"/>
                <w:color w:val="000000" w:themeColor="text1"/>
                <w:kern w:val="0"/>
                <w:sz w:val="24"/>
                <w:szCs w:val="20"/>
                <w:highlight w:val="none"/>
                <w:lang w:val="en-US" w:eastAsia="zh-CN"/>
                <w14:textFill>
                  <w14:solidFill>
                    <w14:schemeClr w14:val="tx1"/>
                  </w14:solidFill>
                </w14:textFill>
              </w:rPr>
              <w:t>4</w:t>
            </w:r>
            <w:r>
              <w:rPr>
                <w:rFonts w:ascii="Times New Roman" w:hAnsi="Times New Roman" w:eastAsia="宋体"/>
                <w:b/>
                <w:caps w:val="0"/>
                <w:color w:val="000000" w:themeColor="text1"/>
                <w:kern w:val="0"/>
                <w:sz w:val="24"/>
                <w:szCs w:val="20"/>
                <w:highlight w:val="none"/>
                <w14:textFill>
                  <w14:solidFill>
                    <w14:schemeClr w14:val="tx1"/>
                  </w14:solidFill>
                </w14:textFill>
              </w:rPr>
              <w:t xml:space="preserve">  </w:t>
            </w:r>
            <w:r>
              <w:rPr>
                <w:rFonts w:hint="eastAsia"/>
                <w:b/>
                <w:caps w:val="0"/>
                <w:color w:val="000000" w:themeColor="text1"/>
                <w:sz w:val="24"/>
                <w:highlight w:val="none"/>
                <w:lang w:val="en-US" w:eastAsia="zh-CN"/>
                <w14:textFill>
                  <w14:solidFill>
                    <w14:schemeClr w14:val="tx1"/>
                  </w14:solidFill>
                </w14:textFill>
              </w:rPr>
              <w:t>本次扩建项目</w:t>
            </w:r>
            <w:r>
              <w:rPr>
                <w:rFonts w:hint="eastAsia" w:ascii="Times New Roman" w:hAnsi="Times New Roman" w:eastAsia="宋体"/>
                <w:b/>
                <w:caps w:val="0"/>
                <w:color w:val="000000" w:themeColor="text1"/>
                <w:kern w:val="0"/>
                <w:sz w:val="24"/>
                <w:szCs w:val="20"/>
                <w:highlight w:val="none"/>
                <w14:textFill>
                  <w14:solidFill>
                    <w14:schemeClr w14:val="tx1"/>
                  </w14:solidFill>
                </w14:textFill>
              </w:rPr>
              <w:t>大气污染物有组织排放基本情况表</w:t>
            </w:r>
          </w:p>
          <w:tbl>
            <w:tblPr>
              <w:tblStyle w:val="2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936"/>
              <w:gridCol w:w="1494"/>
              <w:gridCol w:w="1133"/>
              <w:gridCol w:w="1350"/>
              <w:gridCol w:w="1150"/>
              <w:gridCol w:w="884"/>
              <w:gridCol w:w="1200"/>
              <w:gridCol w:w="1233"/>
              <w:gridCol w:w="1100"/>
              <w:gridCol w:w="700"/>
              <w:gridCol w:w="1231"/>
            </w:tblGrid>
            <w:tr w14:paraId="758EF2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77" w:type="pct"/>
                  <w:vMerge w:val="restart"/>
                  <w:tcBorders>
                    <w:tl2br w:val="nil"/>
                    <w:tr2bl w:val="nil"/>
                  </w:tcBorders>
                  <w:vAlign w:val="center"/>
                </w:tcPr>
                <w:p w14:paraId="6624E5CA">
                  <w:pPr>
                    <w:widowControl/>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ascii="Times New Roman" w:hAnsi="Times New Roman" w:eastAsia="宋体"/>
                      <w:b/>
                      <w:caps w:val="0"/>
                      <w:color w:val="000000" w:themeColor="text1"/>
                      <w:kern w:val="0"/>
                      <w:szCs w:val="21"/>
                      <w:highlight w:val="none"/>
                      <w14:textFill>
                        <w14:solidFill>
                          <w14:schemeClr w14:val="tx1"/>
                        </w14:solidFill>
                      </w14:textFill>
                    </w:rPr>
                    <w:t>排放口编号</w:t>
                  </w:r>
                </w:p>
              </w:tc>
              <w:tc>
                <w:tcPr>
                  <w:tcW w:w="601" w:type="pct"/>
                  <w:vMerge w:val="restart"/>
                  <w:tcBorders>
                    <w:tl2br w:val="nil"/>
                    <w:tr2bl w:val="nil"/>
                  </w:tcBorders>
                  <w:vAlign w:val="center"/>
                </w:tcPr>
                <w:p w14:paraId="46FF6E43">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hint="eastAsia" w:ascii="Times New Roman" w:hAnsi="Times New Roman" w:eastAsia="宋体"/>
                      <w:b/>
                      <w:caps w:val="0"/>
                      <w:color w:val="000000" w:themeColor="text1"/>
                      <w:kern w:val="0"/>
                      <w:szCs w:val="21"/>
                      <w:highlight w:val="none"/>
                      <w14:textFill>
                        <w14:solidFill>
                          <w14:schemeClr w14:val="tx1"/>
                        </w14:solidFill>
                      </w14:textFill>
                    </w:rPr>
                    <w:t>排放口名称</w:t>
                  </w:r>
                </w:p>
              </w:tc>
              <w:tc>
                <w:tcPr>
                  <w:tcW w:w="456" w:type="pct"/>
                  <w:vMerge w:val="restart"/>
                  <w:tcBorders>
                    <w:tl2br w:val="nil"/>
                    <w:tr2bl w:val="nil"/>
                  </w:tcBorders>
                  <w:vAlign w:val="center"/>
                </w:tcPr>
                <w:p w14:paraId="3033A5E4">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hint="eastAsia" w:ascii="Times New Roman" w:hAnsi="Times New Roman" w:eastAsia="宋体"/>
                      <w:b/>
                      <w:caps w:val="0"/>
                      <w:color w:val="000000" w:themeColor="text1"/>
                      <w:kern w:val="0"/>
                      <w:szCs w:val="21"/>
                      <w:highlight w:val="none"/>
                      <w14:textFill>
                        <w14:solidFill>
                          <w14:schemeClr w14:val="tx1"/>
                        </w14:solidFill>
                      </w14:textFill>
                    </w:rPr>
                    <w:t>排放口类型</w:t>
                  </w:r>
                </w:p>
              </w:tc>
              <w:tc>
                <w:tcPr>
                  <w:tcW w:w="1007" w:type="pct"/>
                  <w:gridSpan w:val="2"/>
                  <w:tcBorders>
                    <w:tl2br w:val="nil"/>
                    <w:tr2bl w:val="nil"/>
                  </w:tcBorders>
                  <w:vAlign w:val="center"/>
                </w:tcPr>
                <w:p w14:paraId="0192FBFD">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hint="eastAsia" w:ascii="Times New Roman" w:hAnsi="Times New Roman" w:eastAsia="宋体"/>
                      <w:b/>
                      <w:caps w:val="0"/>
                      <w:color w:val="000000" w:themeColor="text1"/>
                      <w:kern w:val="0"/>
                      <w:szCs w:val="21"/>
                      <w:highlight w:val="none"/>
                      <w14:textFill>
                        <w14:solidFill>
                          <w14:schemeClr w14:val="tx1"/>
                        </w14:solidFill>
                      </w14:textFill>
                    </w:rPr>
                    <w:t>排放口地理坐标</w:t>
                  </w:r>
                </w:p>
              </w:tc>
              <w:tc>
                <w:tcPr>
                  <w:tcW w:w="2061" w:type="pct"/>
                  <w:gridSpan w:val="5"/>
                  <w:tcBorders>
                    <w:tl2br w:val="nil"/>
                    <w:tr2bl w:val="nil"/>
                  </w:tcBorders>
                  <w:vAlign w:val="center"/>
                </w:tcPr>
                <w:p w14:paraId="1BBE59B2">
                  <w:pPr>
                    <w:widowControl/>
                    <w:snapToGrid w:val="0"/>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排气筒参数</w:t>
                  </w:r>
                </w:p>
              </w:tc>
              <w:tc>
                <w:tcPr>
                  <w:tcW w:w="495" w:type="pct"/>
                  <w:vMerge w:val="restart"/>
                  <w:tcBorders>
                    <w:tl2br w:val="nil"/>
                    <w:tr2bl w:val="nil"/>
                  </w:tcBorders>
                  <w:vAlign w:val="center"/>
                </w:tcPr>
                <w:p w14:paraId="4112801B">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ascii="Times New Roman" w:hAnsi="Times New Roman" w:eastAsia="宋体"/>
                      <w:b/>
                      <w:caps w:val="0"/>
                      <w:color w:val="000000" w:themeColor="text1"/>
                      <w:kern w:val="0"/>
                      <w:szCs w:val="21"/>
                      <w:highlight w:val="none"/>
                      <w14:textFill>
                        <w14:solidFill>
                          <w14:schemeClr w14:val="tx1"/>
                        </w14:solidFill>
                      </w14:textFill>
                    </w:rPr>
                    <w:t>污染物</w:t>
                  </w:r>
                </w:p>
                <w:p w14:paraId="67CCF098">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ascii="Times New Roman" w:hAnsi="Times New Roman" w:eastAsia="宋体"/>
                      <w:b/>
                      <w:caps w:val="0"/>
                      <w:color w:val="000000" w:themeColor="text1"/>
                      <w:kern w:val="0"/>
                      <w:szCs w:val="21"/>
                      <w:highlight w:val="none"/>
                      <w14:textFill>
                        <w14:solidFill>
                          <w14:schemeClr w14:val="tx1"/>
                        </w14:solidFill>
                      </w14:textFill>
                    </w:rPr>
                    <w:t>名称</w:t>
                  </w:r>
                </w:p>
              </w:tc>
            </w:tr>
            <w:tr w14:paraId="030476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34" w:hRule="atLeast"/>
                <w:jc w:val="center"/>
              </w:trPr>
              <w:tc>
                <w:tcPr>
                  <w:tcW w:w="377" w:type="pct"/>
                  <w:vMerge w:val="continue"/>
                  <w:tcBorders>
                    <w:tl2br w:val="nil"/>
                    <w:tr2bl w:val="nil"/>
                  </w:tcBorders>
                  <w:vAlign w:val="center"/>
                </w:tcPr>
                <w:p w14:paraId="1851F48D">
                  <w:pPr>
                    <w:widowControl/>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p>
              </w:tc>
              <w:tc>
                <w:tcPr>
                  <w:tcW w:w="601" w:type="pct"/>
                  <w:vMerge w:val="continue"/>
                  <w:tcBorders>
                    <w:tl2br w:val="nil"/>
                    <w:tr2bl w:val="nil"/>
                  </w:tcBorders>
                  <w:vAlign w:val="center"/>
                </w:tcPr>
                <w:p w14:paraId="20050A06">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p>
              </w:tc>
              <w:tc>
                <w:tcPr>
                  <w:tcW w:w="456" w:type="pct"/>
                  <w:vMerge w:val="continue"/>
                  <w:tcBorders>
                    <w:tl2br w:val="nil"/>
                    <w:tr2bl w:val="nil"/>
                  </w:tcBorders>
                  <w:vAlign w:val="center"/>
                </w:tcPr>
                <w:p w14:paraId="0AD9CED0">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p>
              </w:tc>
              <w:tc>
                <w:tcPr>
                  <w:tcW w:w="543" w:type="pct"/>
                  <w:tcBorders>
                    <w:tl2br w:val="nil"/>
                    <w:tr2bl w:val="nil"/>
                  </w:tcBorders>
                  <w:vAlign w:val="center"/>
                </w:tcPr>
                <w:p w14:paraId="2785A462">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ascii="Times New Roman" w:hAnsi="Times New Roman" w:eastAsia="宋体"/>
                      <w:b/>
                      <w:caps w:val="0"/>
                      <w:color w:val="000000" w:themeColor="text1"/>
                      <w:kern w:val="0"/>
                      <w:szCs w:val="21"/>
                      <w:highlight w:val="none"/>
                      <w14:textFill>
                        <w14:solidFill>
                          <w14:schemeClr w14:val="tx1"/>
                        </w14:solidFill>
                      </w14:textFill>
                    </w:rPr>
                    <w:t>经度</w:t>
                  </w:r>
                </w:p>
              </w:tc>
              <w:tc>
                <w:tcPr>
                  <w:tcW w:w="463" w:type="pct"/>
                  <w:tcBorders>
                    <w:tl2br w:val="nil"/>
                    <w:tr2bl w:val="nil"/>
                  </w:tcBorders>
                  <w:vAlign w:val="center"/>
                </w:tcPr>
                <w:p w14:paraId="6A0A4DE6">
                  <w:pPr>
                    <w:widowControl/>
                    <w:snapToGrid w:val="0"/>
                    <w:jc w:val="center"/>
                    <w:rPr>
                      <w:rFonts w:ascii="Times New Roman" w:hAnsi="Times New Roman" w:eastAsia="宋体"/>
                      <w:b/>
                      <w:caps w:val="0"/>
                      <w:color w:val="000000" w:themeColor="text1"/>
                      <w:kern w:val="0"/>
                      <w:szCs w:val="21"/>
                      <w:highlight w:val="none"/>
                      <w14:textFill>
                        <w14:solidFill>
                          <w14:schemeClr w14:val="tx1"/>
                        </w14:solidFill>
                      </w14:textFill>
                    </w:rPr>
                  </w:pPr>
                  <w:r>
                    <w:rPr>
                      <w:rFonts w:ascii="Times New Roman" w:hAnsi="Times New Roman" w:eastAsia="宋体"/>
                      <w:b/>
                      <w:caps w:val="0"/>
                      <w:color w:val="000000" w:themeColor="text1"/>
                      <w:kern w:val="0"/>
                      <w:szCs w:val="21"/>
                      <w:highlight w:val="none"/>
                      <w14:textFill>
                        <w14:solidFill>
                          <w14:schemeClr w14:val="tx1"/>
                        </w14:solidFill>
                      </w14:textFill>
                    </w:rPr>
                    <w:t>纬度</w:t>
                  </w:r>
                </w:p>
              </w:tc>
              <w:tc>
                <w:tcPr>
                  <w:tcW w:w="356" w:type="pct"/>
                  <w:tcBorders>
                    <w:tl2br w:val="nil"/>
                    <w:tr2bl w:val="nil"/>
                  </w:tcBorders>
                  <w:vAlign w:val="center"/>
                </w:tcPr>
                <w:p w14:paraId="18DE31BC">
                  <w:pPr>
                    <w:widowControl/>
                    <w:snapToGrid w:val="0"/>
                    <w:jc w:val="center"/>
                    <w:rPr>
                      <w:rFonts w:ascii="Times New Roman" w:hAnsi="Times New Roman" w:eastAsia="宋体"/>
                      <w:b/>
                      <w:bCs/>
                      <w:caps w:val="0"/>
                      <w:color w:val="000000" w:themeColor="text1"/>
                      <w:kern w:val="0"/>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高度（m）</w:t>
                  </w:r>
                </w:p>
              </w:tc>
              <w:tc>
                <w:tcPr>
                  <w:tcW w:w="483" w:type="pct"/>
                  <w:tcBorders>
                    <w:tl2br w:val="nil"/>
                    <w:tr2bl w:val="nil"/>
                  </w:tcBorders>
                  <w:vAlign w:val="center"/>
                </w:tcPr>
                <w:p w14:paraId="05C69EFB">
                  <w:pPr>
                    <w:widowControl/>
                    <w:snapToGrid w:val="0"/>
                    <w:jc w:val="center"/>
                    <w:rPr>
                      <w:rFonts w:ascii="Times New Roman" w:hAnsi="Times New Roman" w:eastAsia="宋体"/>
                      <w:b/>
                      <w:bCs/>
                      <w:caps w:val="0"/>
                      <w:color w:val="000000" w:themeColor="text1"/>
                      <w:kern w:val="0"/>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出口内径（m）</w:t>
                  </w:r>
                </w:p>
              </w:tc>
              <w:tc>
                <w:tcPr>
                  <w:tcW w:w="496" w:type="pct"/>
                  <w:tcBorders>
                    <w:tl2br w:val="nil"/>
                    <w:tr2bl w:val="nil"/>
                  </w:tcBorders>
                  <w:vAlign w:val="center"/>
                </w:tcPr>
                <w:p w14:paraId="32C21FAA">
                  <w:pPr>
                    <w:widowControl/>
                    <w:snapToGrid w:val="0"/>
                    <w:jc w:val="center"/>
                    <w:rPr>
                      <w:rFonts w:ascii="Times New Roman" w:hAnsi="Times New Roman" w:eastAsia="宋体"/>
                      <w:b/>
                      <w:bCs/>
                      <w:caps w:val="0"/>
                      <w:color w:val="000000" w:themeColor="text1"/>
                      <w:kern w:val="0"/>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排</w:t>
                  </w:r>
                  <w:r>
                    <w:rPr>
                      <w:rFonts w:hint="eastAsia" w:ascii="Times New Roman" w:hAnsi="Times New Roman" w:eastAsia="宋体"/>
                      <w:b/>
                      <w:bCs/>
                      <w:caps w:val="0"/>
                      <w:color w:val="000000" w:themeColor="text1"/>
                      <w:szCs w:val="21"/>
                      <w:highlight w:val="none"/>
                      <w14:textFill>
                        <w14:solidFill>
                          <w14:schemeClr w14:val="tx1"/>
                        </w14:solidFill>
                      </w14:textFill>
                    </w:rPr>
                    <w:t>放</w:t>
                  </w:r>
                  <w:r>
                    <w:rPr>
                      <w:rFonts w:ascii="Times New Roman" w:hAnsi="Times New Roman" w:eastAsia="宋体"/>
                      <w:b/>
                      <w:bCs/>
                      <w:caps w:val="0"/>
                      <w:color w:val="000000" w:themeColor="text1"/>
                      <w:szCs w:val="21"/>
                      <w:highlight w:val="none"/>
                      <w14:textFill>
                        <w14:solidFill>
                          <w14:schemeClr w14:val="tx1"/>
                        </w14:solidFill>
                      </w14:textFill>
                    </w:rPr>
                    <w:t>温度（℃）</w:t>
                  </w:r>
                </w:p>
              </w:tc>
              <w:tc>
                <w:tcPr>
                  <w:tcW w:w="443" w:type="pct"/>
                  <w:tcBorders>
                    <w:tl2br w:val="nil"/>
                    <w:tr2bl w:val="nil"/>
                  </w:tcBorders>
                  <w:vAlign w:val="center"/>
                </w:tcPr>
                <w:p w14:paraId="077836EE">
                  <w:pPr>
                    <w:widowControl/>
                    <w:snapToGrid w:val="0"/>
                    <w:jc w:val="center"/>
                    <w:rPr>
                      <w:rFonts w:ascii="Times New Roman" w:hAnsi="Times New Roman" w:eastAsia="宋体"/>
                      <w:b/>
                      <w:bCs/>
                      <w:caps w:val="0"/>
                      <w:color w:val="000000" w:themeColor="text1"/>
                      <w:kern w:val="0"/>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排气量（m</w:t>
                  </w:r>
                  <w:r>
                    <w:rPr>
                      <w:rFonts w:ascii="Times New Roman" w:hAnsi="Times New Roman" w:eastAsia="宋体"/>
                      <w:b/>
                      <w:bCs/>
                      <w:caps w:val="0"/>
                      <w:color w:val="000000" w:themeColor="text1"/>
                      <w:szCs w:val="21"/>
                      <w:highlight w:val="none"/>
                      <w:vertAlign w:val="superscript"/>
                      <w14:textFill>
                        <w14:solidFill>
                          <w14:schemeClr w14:val="tx1"/>
                        </w14:solidFill>
                      </w14:textFill>
                    </w:rPr>
                    <w:t>3</w:t>
                  </w:r>
                  <w:r>
                    <w:rPr>
                      <w:rFonts w:ascii="Times New Roman" w:hAnsi="Times New Roman" w:eastAsia="宋体"/>
                      <w:b/>
                      <w:bCs/>
                      <w:caps w:val="0"/>
                      <w:color w:val="000000" w:themeColor="text1"/>
                      <w:szCs w:val="21"/>
                      <w:highlight w:val="none"/>
                      <w14:textFill>
                        <w14:solidFill>
                          <w14:schemeClr w14:val="tx1"/>
                        </w14:solidFill>
                      </w14:textFill>
                    </w:rPr>
                    <w:t>/h）</w:t>
                  </w:r>
                </w:p>
              </w:tc>
              <w:tc>
                <w:tcPr>
                  <w:tcW w:w="282" w:type="pct"/>
                  <w:tcBorders>
                    <w:tl2br w:val="nil"/>
                    <w:tr2bl w:val="nil"/>
                  </w:tcBorders>
                  <w:vAlign w:val="center"/>
                </w:tcPr>
                <w:p w14:paraId="01833670">
                  <w:pPr>
                    <w:widowControl/>
                    <w:snapToGrid w:val="0"/>
                    <w:jc w:val="center"/>
                    <w:rPr>
                      <w:rFonts w:hint="default" w:ascii="Times New Roman" w:hAnsi="Times New Roman" w:eastAsia="宋体"/>
                      <w:b/>
                      <w:bCs/>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b/>
                      <w:bCs/>
                      <w:caps w:val="0"/>
                      <w:color w:val="000000" w:themeColor="text1"/>
                      <w:szCs w:val="21"/>
                      <w:highlight w:val="none"/>
                      <w:lang w:val="en-US" w:eastAsia="zh-CN"/>
                      <w14:textFill>
                        <w14:solidFill>
                          <w14:schemeClr w14:val="tx1"/>
                        </w14:solidFill>
                      </w14:textFill>
                    </w:rPr>
                    <w:t>风速m/s</w:t>
                  </w:r>
                </w:p>
              </w:tc>
              <w:tc>
                <w:tcPr>
                  <w:tcW w:w="495" w:type="pct"/>
                  <w:vMerge w:val="continue"/>
                  <w:tcBorders>
                    <w:tl2br w:val="nil"/>
                    <w:tr2bl w:val="nil"/>
                  </w:tcBorders>
                  <w:vAlign w:val="center"/>
                </w:tcPr>
                <w:p w14:paraId="7A545496">
                  <w:pPr>
                    <w:widowControl/>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p>
              </w:tc>
            </w:tr>
            <w:tr w14:paraId="15A09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0" w:hRule="atLeast"/>
                <w:jc w:val="center"/>
              </w:trPr>
              <w:tc>
                <w:tcPr>
                  <w:tcW w:w="377" w:type="pct"/>
                  <w:vMerge w:val="restart"/>
                  <w:tcBorders>
                    <w:tl2br w:val="nil"/>
                    <w:tr2bl w:val="nil"/>
                  </w:tcBorders>
                  <w:vAlign w:val="center"/>
                </w:tcPr>
                <w:p w14:paraId="42C5CC00">
                  <w:pPr>
                    <w:adjustRightInd w:val="0"/>
                    <w:snapToGrid w:val="0"/>
                    <w:jc w:val="center"/>
                    <w:rPr>
                      <w:rFonts w:hint="eastAsia" w:ascii="Times New Roman" w:hAnsi="Times New Roman" w:eastAsia="宋体"/>
                      <w:caps w:val="0"/>
                      <w:color w:val="000000" w:themeColor="text1"/>
                      <w:szCs w:val="21"/>
                      <w:highlight w:val="none"/>
                      <w:lang w:eastAsia="zh-CN"/>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DA00</w:t>
                  </w:r>
                  <w:r>
                    <w:rPr>
                      <w:rFonts w:hint="eastAsia"/>
                      <w:caps w:val="0"/>
                      <w:color w:val="000000" w:themeColor="text1"/>
                      <w:szCs w:val="21"/>
                      <w:highlight w:val="none"/>
                      <w:lang w:val="en-US" w:eastAsia="zh-CN"/>
                      <w14:textFill>
                        <w14:solidFill>
                          <w14:schemeClr w14:val="tx1"/>
                        </w14:solidFill>
                      </w14:textFill>
                    </w:rPr>
                    <w:t>2</w:t>
                  </w:r>
                </w:p>
              </w:tc>
              <w:tc>
                <w:tcPr>
                  <w:tcW w:w="601" w:type="pct"/>
                  <w:vMerge w:val="restart"/>
                  <w:tcBorders>
                    <w:tl2br w:val="nil"/>
                    <w:tr2bl w:val="nil"/>
                  </w:tcBorders>
                  <w:vAlign w:val="center"/>
                </w:tcPr>
                <w:p w14:paraId="503B133A">
                  <w:pPr>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注塑废气排放口</w:t>
                  </w:r>
                </w:p>
              </w:tc>
              <w:tc>
                <w:tcPr>
                  <w:tcW w:w="456" w:type="pct"/>
                  <w:vMerge w:val="restart"/>
                  <w:tcBorders>
                    <w:tl2br w:val="nil"/>
                    <w:tr2bl w:val="nil"/>
                  </w:tcBorders>
                  <w:vAlign w:val="center"/>
                </w:tcPr>
                <w:p w14:paraId="09BC87CB">
                  <w:pPr>
                    <w:widowControl/>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14:textFill>
                        <w14:solidFill>
                          <w14:schemeClr w14:val="tx1"/>
                        </w14:solidFill>
                      </w14:textFill>
                    </w:rPr>
                    <w:t>一般排放口</w:t>
                  </w:r>
                </w:p>
              </w:tc>
              <w:tc>
                <w:tcPr>
                  <w:tcW w:w="543" w:type="pct"/>
                  <w:vMerge w:val="restart"/>
                  <w:tcBorders>
                    <w:tl2br w:val="nil"/>
                    <w:tr2bl w:val="nil"/>
                  </w:tcBorders>
                  <w:vAlign w:val="center"/>
                </w:tcPr>
                <w:p w14:paraId="40DCB4D8">
                  <w:pPr>
                    <w:widowControl/>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118.3594941</w:t>
                  </w:r>
                </w:p>
              </w:tc>
              <w:tc>
                <w:tcPr>
                  <w:tcW w:w="463" w:type="pct"/>
                  <w:vMerge w:val="restart"/>
                  <w:tcBorders>
                    <w:tl2br w:val="nil"/>
                    <w:tr2bl w:val="nil"/>
                  </w:tcBorders>
                  <w:vAlign w:val="center"/>
                </w:tcPr>
                <w:p w14:paraId="65F536E8">
                  <w:pPr>
                    <w:widowControl/>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31.2565410</w:t>
                  </w:r>
                </w:p>
              </w:tc>
              <w:tc>
                <w:tcPr>
                  <w:tcW w:w="356" w:type="pct"/>
                  <w:vMerge w:val="restart"/>
                  <w:tcBorders>
                    <w:tl2br w:val="nil"/>
                    <w:tr2bl w:val="nil"/>
                  </w:tcBorders>
                  <w:vAlign w:val="center"/>
                </w:tcPr>
                <w:p w14:paraId="0E4EE126">
                  <w:pPr>
                    <w:ind w:left="-105" w:leftChars="-50" w:right="-105" w:rightChars="-5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1</w:t>
                  </w:r>
                  <w:r>
                    <w:rPr>
                      <w:rFonts w:ascii="Times New Roman" w:hAnsi="Times New Roman" w:eastAsia="宋体"/>
                      <w:caps w:val="0"/>
                      <w:color w:val="000000" w:themeColor="text1"/>
                      <w:szCs w:val="21"/>
                      <w:highlight w:val="none"/>
                      <w14:textFill>
                        <w14:solidFill>
                          <w14:schemeClr w14:val="tx1"/>
                        </w14:solidFill>
                      </w14:textFill>
                    </w:rPr>
                    <w:t>5</w:t>
                  </w:r>
                </w:p>
              </w:tc>
              <w:tc>
                <w:tcPr>
                  <w:tcW w:w="483" w:type="pct"/>
                  <w:vMerge w:val="restart"/>
                  <w:tcBorders>
                    <w:tl2br w:val="nil"/>
                    <w:tr2bl w:val="nil"/>
                  </w:tcBorders>
                  <w:vAlign w:val="center"/>
                </w:tcPr>
                <w:p w14:paraId="3860D35C">
                  <w:pPr>
                    <w:ind w:left="-105" w:leftChars="-50" w:right="-105" w:rightChars="-5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0.9</w:t>
                  </w:r>
                </w:p>
              </w:tc>
              <w:tc>
                <w:tcPr>
                  <w:tcW w:w="496" w:type="pct"/>
                  <w:vMerge w:val="restart"/>
                  <w:tcBorders>
                    <w:tl2br w:val="nil"/>
                    <w:tr2bl w:val="nil"/>
                  </w:tcBorders>
                  <w:vAlign w:val="center"/>
                </w:tcPr>
                <w:p w14:paraId="081FF0E6">
                  <w:pPr>
                    <w:ind w:left="-105" w:leftChars="-50" w:right="-105" w:rightChars="-5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25</w:t>
                  </w:r>
                </w:p>
              </w:tc>
              <w:tc>
                <w:tcPr>
                  <w:tcW w:w="443" w:type="pct"/>
                  <w:vMerge w:val="restart"/>
                  <w:tcBorders>
                    <w:tl2br w:val="nil"/>
                    <w:tr2bl w:val="nil"/>
                  </w:tcBorders>
                  <w:vAlign w:val="center"/>
                </w:tcPr>
                <w:p w14:paraId="1F0BE2F6">
                  <w:pPr>
                    <w:ind w:left="-105" w:leftChars="-50" w:right="-105" w:rightChars="-50"/>
                    <w:jc w:val="center"/>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15</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000</w:t>
                  </w:r>
                </w:p>
              </w:tc>
              <w:tc>
                <w:tcPr>
                  <w:tcW w:w="282" w:type="pct"/>
                  <w:vMerge w:val="restart"/>
                  <w:tcBorders>
                    <w:tl2br w:val="nil"/>
                    <w:tr2bl w:val="nil"/>
                  </w:tcBorders>
                  <w:vAlign w:val="center"/>
                </w:tcPr>
                <w:p w14:paraId="2E97C9B1">
                  <w:pPr>
                    <w:ind w:left="-105" w:leftChars="-50" w:right="-105" w:rightChars="-5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14.0</w:t>
                  </w:r>
                </w:p>
              </w:tc>
              <w:tc>
                <w:tcPr>
                  <w:tcW w:w="495" w:type="pct"/>
                  <w:tcBorders>
                    <w:tl2br w:val="nil"/>
                    <w:tr2bl w:val="nil"/>
                  </w:tcBorders>
                  <w:vAlign w:val="center"/>
                </w:tcPr>
                <w:p w14:paraId="52AE0A94">
                  <w:pPr>
                    <w:ind w:left="-105" w:leftChars="-50" w:right="-105" w:rightChars="-50"/>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非甲烷总烃</w:t>
                  </w:r>
                </w:p>
              </w:tc>
            </w:tr>
            <w:tr w14:paraId="5F9C20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377" w:type="pct"/>
                  <w:vMerge w:val="continue"/>
                  <w:tcBorders>
                    <w:tl2br w:val="nil"/>
                    <w:tr2bl w:val="nil"/>
                  </w:tcBorders>
                  <w:vAlign w:val="center"/>
                </w:tcPr>
                <w:p w14:paraId="34246385">
                  <w:pPr>
                    <w:adjustRightInd w:val="0"/>
                    <w:snapToGrid w:val="0"/>
                    <w:jc w:val="center"/>
                    <w:rPr>
                      <w:rFonts w:ascii="Times New Roman" w:hAnsi="Times New Roman" w:eastAsia="宋体"/>
                      <w:caps w:val="0"/>
                      <w:color w:val="000000" w:themeColor="text1"/>
                      <w:szCs w:val="21"/>
                      <w:highlight w:val="none"/>
                      <w14:textFill>
                        <w14:solidFill>
                          <w14:schemeClr w14:val="tx1"/>
                        </w14:solidFill>
                      </w14:textFill>
                    </w:rPr>
                  </w:pPr>
                </w:p>
              </w:tc>
              <w:tc>
                <w:tcPr>
                  <w:tcW w:w="601" w:type="pct"/>
                  <w:vMerge w:val="continue"/>
                  <w:tcBorders>
                    <w:tl2br w:val="nil"/>
                    <w:tr2bl w:val="nil"/>
                  </w:tcBorders>
                  <w:vAlign w:val="center"/>
                </w:tcPr>
                <w:p w14:paraId="2DE1EDB5">
                  <w:pPr>
                    <w:jc w:val="center"/>
                    <w:rPr>
                      <w:rFonts w:ascii="Times New Roman" w:hAnsi="Times New Roman" w:eastAsia="宋体"/>
                      <w:caps w:val="0"/>
                      <w:color w:val="000000" w:themeColor="text1"/>
                      <w:szCs w:val="21"/>
                      <w:highlight w:val="none"/>
                      <w14:textFill>
                        <w14:solidFill>
                          <w14:schemeClr w14:val="tx1"/>
                        </w14:solidFill>
                      </w14:textFill>
                    </w:rPr>
                  </w:pPr>
                </w:p>
              </w:tc>
              <w:tc>
                <w:tcPr>
                  <w:tcW w:w="456" w:type="pct"/>
                  <w:vMerge w:val="continue"/>
                  <w:tcBorders>
                    <w:tl2br w:val="nil"/>
                    <w:tr2bl w:val="nil"/>
                  </w:tcBorders>
                  <w:vAlign w:val="center"/>
                </w:tcPr>
                <w:p w14:paraId="3D59DC79">
                  <w:pPr>
                    <w:widowControl/>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p>
              </w:tc>
              <w:tc>
                <w:tcPr>
                  <w:tcW w:w="543" w:type="pct"/>
                  <w:vMerge w:val="continue"/>
                  <w:tcBorders>
                    <w:tl2br w:val="nil"/>
                    <w:tr2bl w:val="nil"/>
                  </w:tcBorders>
                  <w:vAlign w:val="center"/>
                </w:tcPr>
                <w:p w14:paraId="2BB29B4D">
                  <w:pPr>
                    <w:widowControl/>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p>
              </w:tc>
              <w:tc>
                <w:tcPr>
                  <w:tcW w:w="463" w:type="pct"/>
                  <w:vMerge w:val="continue"/>
                  <w:tcBorders>
                    <w:tl2br w:val="nil"/>
                    <w:tr2bl w:val="nil"/>
                  </w:tcBorders>
                  <w:vAlign w:val="center"/>
                </w:tcPr>
                <w:p w14:paraId="0C29E452">
                  <w:pPr>
                    <w:widowControl/>
                    <w:snapToGrid w:val="0"/>
                    <w:jc w:val="center"/>
                    <w:rPr>
                      <w:rFonts w:ascii="Times New Roman" w:hAnsi="Times New Roman" w:eastAsia="宋体"/>
                      <w:caps w:val="0"/>
                      <w:color w:val="000000" w:themeColor="text1"/>
                      <w:kern w:val="0"/>
                      <w:szCs w:val="21"/>
                      <w:highlight w:val="none"/>
                      <w14:textFill>
                        <w14:solidFill>
                          <w14:schemeClr w14:val="tx1"/>
                        </w14:solidFill>
                      </w14:textFill>
                    </w:rPr>
                  </w:pPr>
                </w:p>
              </w:tc>
              <w:tc>
                <w:tcPr>
                  <w:tcW w:w="356" w:type="pct"/>
                  <w:vMerge w:val="continue"/>
                  <w:tcBorders>
                    <w:tl2br w:val="nil"/>
                    <w:tr2bl w:val="nil"/>
                  </w:tcBorders>
                  <w:vAlign w:val="center"/>
                </w:tcPr>
                <w:p w14:paraId="32237055">
                  <w:pPr>
                    <w:ind w:left="-105" w:leftChars="-50" w:right="-105" w:rightChars="-50"/>
                    <w:jc w:val="center"/>
                    <w:rPr>
                      <w:rFonts w:ascii="Times New Roman" w:hAnsi="Times New Roman" w:eastAsia="宋体"/>
                      <w:caps w:val="0"/>
                      <w:color w:val="000000" w:themeColor="text1"/>
                      <w:szCs w:val="21"/>
                      <w:highlight w:val="none"/>
                      <w14:textFill>
                        <w14:solidFill>
                          <w14:schemeClr w14:val="tx1"/>
                        </w14:solidFill>
                      </w14:textFill>
                    </w:rPr>
                  </w:pPr>
                </w:p>
              </w:tc>
              <w:tc>
                <w:tcPr>
                  <w:tcW w:w="483" w:type="pct"/>
                  <w:vMerge w:val="continue"/>
                  <w:tcBorders>
                    <w:tl2br w:val="nil"/>
                    <w:tr2bl w:val="nil"/>
                  </w:tcBorders>
                  <w:vAlign w:val="center"/>
                </w:tcPr>
                <w:p w14:paraId="376D8364">
                  <w:pPr>
                    <w:ind w:left="-105" w:leftChars="-50" w:right="-105" w:rightChars="-50"/>
                    <w:jc w:val="center"/>
                    <w:rPr>
                      <w:rFonts w:ascii="Times New Roman" w:hAnsi="Times New Roman" w:eastAsia="宋体"/>
                      <w:caps w:val="0"/>
                      <w:color w:val="000000" w:themeColor="text1"/>
                      <w:szCs w:val="21"/>
                      <w:highlight w:val="none"/>
                      <w14:textFill>
                        <w14:solidFill>
                          <w14:schemeClr w14:val="tx1"/>
                        </w14:solidFill>
                      </w14:textFill>
                    </w:rPr>
                  </w:pPr>
                </w:p>
              </w:tc>
              <w:tc>
                <w:tcPr>
                  <w:tcW w:w="496" w:type="pct"/>
                  <w:vMerge w:val="continue"/>
                  <w:tcBorders>
                    <w:tl2br w:val="nil"/>
                    <w:tr2bl w:val="nil"/>
                  </w:tcBorders>
                  <w:vAlign w:val="center"/>
                </w:tcPr>
                <w:p w14:paraId="4C820903">
                  <w:pPr>
                    <w:ind w:left="-105" w:leftChars="-50" w:right="-105" w:rightChars="-50"/>
                    <w:jc w:val="center"/>
                    <w:rPr>
                      <w:rFonts w:ascii="Times New Roman" w:hAnsi="Times New Roman" w:eastAsia="宋体"/>
                      <w:caps w:val="0"/>
                      <w:color w:val="000000" w:themeColor="text1"/>
                      <w:szCs w:val="21"/>
                      <w:highlight w:val="none"/>
                      <w14:textFill>
                        <w14:solidFill>
                          <w14:schemeClr w14:val="tx1"/>
                        </w14:solidFill>
                      </w14:textFill>
                    </w:rPr>
                  </w:pPr>
                </w:p>
              </w:tc>
              <w:tc>
                <w:tcPr>
                  <w:tcW w:w="443" w:type="pct"/>
                  <w:vMerge w:val="continue"/>
                  <w:tcBorders>
                    <w:tl2br w:val="nil"/>
                    <w:tr2bl w:val="nil"/>
                  </w:tcBorders>
                  <w:vAlign w:val="center"/>
                </w:tcPr>
                <w:p w14:paraId="5BFDDE9A">
                  <w:pPr>
                    <w:ind w:left="-105" w:leftChars="-50" w:right="-105" w:rightChars="-50"/>
                    <w:jc w:val="center"/>
                    <w:rPr>
                      <w:rFonts w:ascii="Times New Roman" w:hAnsi="Times New Roman" w:eastAsia="宋体"/>
                      <w:caps w:val="0"/>
                      <w:color w:val="000000" w:themeColor="text1"/>
                      <w:szCs w:val="21"/>
                      <w:highlight w:val="none"/>
                      <w14:textFill>
                        <w14:solidFill>
                          <w14:schemeClr w14:val="tx1"/>
                        </w14:solidFill>
                      </w14:textFill>
                    </w:rPr>
                  </w:pPr>
                </w:p>
              </w:tc>
              <w:tc>
                <w:tcPr>
                  <w:tcW w:w="282" w:type="pct"/>
                  <w:vMerge w:val="continue"/>
                  <w:tcBorders>
                    <w:tl2br w:val="nil"/>
                    <w:tr2bl w:val="nil"/>
                  </w:tcBorders>
                  <w:vAlign w:val="center"/>
                </w:tcPr>
                <w:p w14:paraId="2E52D84C">
                  <w:pPr>
                    <w:ind w:left="-105" w:leftChars="-50" w:right="-105" w:rightChars="-50"/>
                    <w:jc w:val="center"/>
                    <w:rPr>
                      <w:rFonts w:ascii="Times New Roman" w:hAnsi="Times New Roman" w:eastAsia="宋体"/>
                      <w:caps w:val="0"/>
                      <w:color w:val="000000" w:themeColor="text1"/>
                      <w:szCs w:val="21"/>
                      <w:highlight w:val="none"/>
                      <w14:textFill>
                        <w14:solidFill>
                          <w14:schemeClr w14:val="tx1"/>
                        </w14:solidFill>
                      </w14:textFill>
                    </w:rPr>
                  </w:pPr>
                </w:p>
              </w:tc>
              <w:tc>
                <w:tcPr>
                  <w:tcW w:w="495" w:type="pct"/>
                  <w:tcBorders>
                    <w:tl2br w:val="nil"/>
                    <w:tr2bl w:val="nil"/>
                  </w:tcBorders>
                  <w:vAlign w:val="center"/>
                </w:tcPr>
                <w:p w14:paraId="6F256495">
                  <w:pPr>
                    <w:ind w:left="-105" w:leftChars="-50" w:right="-105" w:rightChars="-50"/>
                    <w:jc w:val="center"/>
                    <w:rPr>
                      <w:rFonts w:hint="eastAsia"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氨</w:t>
                  </w:r>
                </w:p>
              </w:tc>
            </w:tr>
            <w:tr w14:paraId="75F9C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377" w:type="pct"/>
                  <w:vMerge w:val="continue"/>
                  <w:tcBorders>
                    <w:tl2br w:val="nil"/>
                    <w:tr2bl w:val="nil"/>
                  </w:tcBorders>
                  <w:vAlign w:val="center"/>
                </w:tcPr>
                <w:p w14:paraId="623FE1DF">
                  <w:pPr>
                    <w:ind w:left="-105" w:leftChars="-50" w:right="-105" w:rightChars="-50"/>
                    <w:jc w:val="center"/>
                  </w:pPr>
                </w:p>
              </w:tc>
              <w:tc>
                <w:tcPr>
                  <w:tcW w:w="601" w:type="pct"/>
                  <w:vMerge w:val="continue"/>
                  <w:tcBorders>
                    <w:tl2br w:val="nil"/>
                    <w:tr2bl w:val="nil"/>
                  </w:tcBorders>
                  <w:vAlign w:val="center"/>
                </w:tcPr>
                <w:p w14:paraId="581263D4">
                  <w:pPr>
                    <w:ind w:left="-105" w:leftChars="-50" w:right="-105" w:rightChars="-50"/>
                    <w:jc w:val="center"/>
                  </w:pPr>
                </w:p>
              </w:tc>
              <w:tc>
                <w:tcPr>
                  <w:tcW w:w="456" w:type="pct"/>
                  <w:vMerge w:val="continue"/>
                  <w:tcBorders>
                    <w:tl2br w:val="nil"/>
                    <w:tr2bl w:val="nil"/>
                  </w:tcBorders>
                  <w:vAlign w:val="center"/>
                </w:tcPr>
                <w:p w14:paraId="1A87196E">
                  <w:pPr>
                    <w:ind w:left="-105" w:leftChars="-50" w:right="-105" w:rightChars="-50"/>
                    <w:jc w:val="center"/>
                  </w:pPr>
                </w:p>
              </w:tc>
              <w:tc>
                <w:tcPr>
                  <w:tcW w:w="543" w:type="pct"/>
                  <w:vMerge w:val="continue"/>
                  <w:tcBorders>
                    <w:tl2br w:val="nil"/>
                    <w:tr2bl w:val="nil"/>
                  </w:tcBorders>
                  <w:vAlign w:val="center"/>
                </w:tcPr>
                <w:p w14:paraId="4CE4FC4A">
                  <w:pPr>
                    <w:ind w:left="-105" w:leftChars="-50" w:right="-105" w:rightChars="-50"/>
                    <w:jc w:val="center"/>
                  </w:pPr>
                </w:p>
              </w:tc>
              <w:tc>
                <w:tcPr>
                  <w:tcW w:w="463" w:type="pct"/>
                  <w:vMerge w:val="continue"/>
                  <w:tcBorders>
                    <w:tl2br w:val="nil"/>
                    <w:tr2bl w:val="nil"/>
                  </w:tcBorders>
                  <w:vAlign w:val="center"/>
                </w:tcPr>
                <w:p w14:paraId="50FE0B88">
                  <w:pPr>
                    <w:ind w:left="-105" w:leftChars="-50" w:right="-105" w:rightChars="-50"/>
                    <w:jc w:val="center"/>
                  </w:pPr>
                </w:p>
              </w:tc>
              <w:tc>
                <w:tcPr>
                  <w:tcW w:w="356" w:type="pct"/>
                  <w:vMerge w:val="continue"/>
                  <w:tcBorders>
                    <w:tl2br w:val="nil"/>
                    <w:tr2bl w:val="nil"/>
                  </w:tcBorders>
                  <w:vAlign w:val="center"/>
                </w:tcPr>
                <w:p w14:paraId="50F6C72C">
                  <w:pPr>
                    <w:ind w:left="-105" w:leftChars="-50" w:right="-105" w:rightChars="-50"/>
                    <w:jc w:val="center"/>
                  </w:pPr>
                </w:p>
              </w:tc>
              <w:tc>
                <w:tcPr>
                  <w:tcW w:w="483" w:type="pct"/>
                  <w:vMerge w:val="continue"/>
                  <w:tcBorders>
                    <w:tl2br w:val="nil"/>
                    <w:tr2bl w:val="nil"/>
                  </w:tcBorders>
                  <w:vAlign w:val="center"/>
                </w:tcPr>
                <w:p w14:paraId="6BD4AF95">
                  <w:pPr>
                    <w:ind w:left="-105" w:leftChars="-50" w:right="-105" w:rightChars="-50"/>
                    <w:jc w:val="center"/>
                  </w:pPr>
                </w:p>
              </w:tc>
              <w:tc>
                <w:tcPr>
                  <w:tcW w:w="496" w:type="pct"/>
                  <w:vMerge w:val="continue"/>
                  <w:tcBorders>
                    <w:tl2br w:val="nil"/>
                    <w:tr2bl w:val="nil"/>
                  </w:tcBorders>
                  <w:vAlign w:val="center"/>
                </w:tcPr>
                <w:p w14:paraId="2321CACE">
                  <w:pPr>
                    <w:ind w:left="-105" w:leftChars="-50" w:right="-105" w:rightChars="-50"/>
                    <w:jc w:val="center"/>
                  </w:pPr>
                </w:p>
              </w:tc>
              <w:tc>
                <w:tcPr>
                  <w:tcW w:w="443" w:type="pct"/>
                  <w:vMerge w:val="continue"/>
                  <w:tcBorders>
                    <w:tl2br w:val="nil"/>
                    <w:tr2bl w:val="nil"/>
                  </w:tcBorders>
                  <w:vAlign w:val="center"/>
                </w:tcPr>
                <w:p w14:paraId="294A7CCD">
                  <w:pPr>
                    <w:ind w:left="-105" w:leftChars="-50" w:right="-105" w:rightChars="-50"/>
                    <w:jc w:val="center"/>
                  </w:pPr>
                </w:p>
              </w:tc>
              <w:tc>
                <w:tcPr>
                  <w:tcW w:w="282" w:type="pct"/>
                  <w:vMerge w:val="continue"/>
                  <w:tcBorders>
                    <w:tl2br w:val="nil"/>
                    <w:tr2bl w:val="nil"/>
                  </w:tcBorders>
                  <w:vAlign w:val="center"/>
                </w:tcPr>
                <w:p w14:paraId="37F8FB41">
                  <w:pPr>
                    <w:ind w:left="-105" w:leftChars="-50" w:right="-105" w:rightChars="-50"/>
                    <w:jc w:val="center"/>
                  </w:pPr>
                </w:p>
              </w:tc>
              <w:tc>
                <w:tcPr>
                  <w:tcW w:w="495" w:type="pct"/>
                  <w:tcBorders>
                    <w:tl2br w:val="nil"/>
                    <w:tr2bl w:val="nil"/>
                  </w:tcBorders>
                  <w:vAlign w:val="center"/>
                </w:tcPr>
                <w:p w14:paraId="15D3A96C">
                  <w:pPr>
                    <w:ind w:left="-105" w:leftChars="-50" w:right="-105" w:rightChars="-50"/>
                    <w:jc w:val="center"/>
                    <w:rPr>
                      <w:rFonts w:hint="default"/>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臭气浓度</w:t>
                  </w:r>
                </w:p>
              </w:tc>
            </w:tr>
          </w:tbl>
          <w:p w14:paraId="0FE8B607">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Times New Roman" w:hAnsi="Times New Roman" w:eastAsia="宋体"/>
                <w:caps w:val="0"/>
                <w:color w:val="000000" w:themeColor="text1"/>
                <w:sz w:val="24"/>
                <w:szCs w:val="32"/>
                <w:highlight w:val="none"/>
                <w14:textFill>
                  <w14:solidFill>
                    <w14:schemeClr w14:val="tx1"/>
                  </w14:solidFill>
                </w14:textFill>
              </w:rPr>
            </w:pPr>
            <w:r>
              <w:rPr>
                <w:rFonts w:hint="eastAsia" w:ascii="Times New Roman" w:hAnsi="Times New Roman" w:eastAsia="宋体"/>
                <w:b/>
                <w:bCs/>
                <w:caps w:val="0"/>
                <w:color w:val="000000" w:themeColor="text1"/>
                <w:sz w:val="24"/>
                <w:szCs w:val="32"/>
                <w:highlight w:val="none"/>
                <w14:textFill>
                  <w14:solidFill>
                    <w14:schemeClr w14:val="tx1"/>
                  </w14:solidFill>
                </w14:textFill>
              </w:rPr>
              <w:t>表4-</w:t>
            </w:r>
            <w:r>
              <w:rPr>
                <w:rFonts w:hint="eastAsia"/>
                <w:b/>
                <w:bCs/>
                <w:caps w:val="0"/>
                <w:color w:val="000000" w:themeColor="text1"/>
                <w:sz w:val="24"/>
                <w:szCs w:val="32"/>
                <w:highlight w:val="none"/>
                <w:lang w:val="en-US" w:eastAsia="zh-CN"/>
                <w14:textFill>
                  <w14:solidFill>
                    <w14:schemeClr w14:val="tx1"/>
                  </w14:solidFill>
                </w14:textFill>
              </w:rPr>
              <w:t>5</w:t>
            </w:r>
            <w:r>
              <w:rPr>
                <w:rFonts w:ascii="Times New Roman" w:hAnsi="Times New Roman" w:eastAsia="宋体"/>
                <w:b/>
                <w:bCs/>
                <w:caps w:val="0"/>
                <w:color w:val="000000" w:themeColor="text1"/>
                <w:sz w:val="24"/>
                <w:szCs w:val="32"/>
                <w:highlight w:val="none"/>
                <w14:textFill>
                  <w14:solidFill>
                    <w14:schemeClr w14:val="tx1"/>
                  </w14:solidFill>
                </w14:textFill>
              </w:rPr>
              <w:t xml:space="preserve">  </w:t>
            </w:r>
            <w:r>
              <w:rPr>
                <w:rFonts w:hint="eastAsia" w:ascii="Times New Roman" w:hAnsi="Times New Roman" w:eastAsia="宋体"/>
                <w:b/>
                <w:bCs/>
                <w:caps w:val="0"/>
                <w:color w:val="000000" w:themeColor="text1"/>
                <w:sz w:val="24"/>
                <w:szCs w:val="24"/>
                <w:highlight w:val="none"/>
                <w:lang w:val="en-US" w:eastAsia="zh-CN"/>
                <w14:textFill>
                  <w14:solidFill>
                    <w14:schemeClr w14:val="tx1"/>
                  </w14:solidFill>
                </w14:textFill>
              </w:rPr>
              <w:t>本</w:t>
            </w:r>
            <w:r>
              <w:rPr>
                <w:rFonts w:hint="eastAsia"/>
                <w:b/>
                <w:bCs/>
                <w:caps w:val="0"/>
                <w:color w:val="000000" w:themeColor="text1"/>
                <w:sz w:val="24"/>
                <w:szCs w:val="24"/>
                <w:highlight w:val="none"/>
                <w:lang w:val="en-US" w:eastAsia="zh-CN"/>
                <w14:textFill>
                  <w14:solidFill>
                    <w14:schemeClr w14:val="tx1"/>
                  </w14:solidFill>
                </w14:textFill>
              </w:rPr>
              <w:t>次扩建项目</w:t>
            </w:r>
            <w:r>
              <w:rPr>
                <w:rFonts w:hint="eastAsia" w:ascii="Times New Roman" w:hAnsi="Times New Roman" w:eastAsia="宋体"/>
                <w:b/>
                <w:bCs/>
                <w:caps w:val="0"/>
                <w:color w:val="000000" w:themeColor="text1"/>
                <w:sz w:val="24"/>
                <w:szCs w:val="24"/>
                <w:highlight w:val="none"/>
                <w14:textFill>
                  <w14:solidFill>
                    <w14:schemeClr w14:val="tx1"/>
                  </w14:solidFill>
                </w14:textFill>
              </w:rPr>
              <w:t>主</w:t>
            </w:r>
            <w:r>
              <w:rPr>
                <w:rFonts w:hint="eastAsia" w:ascii="Times New Roman" w:hAnsi="Times New Roman" w:eastAsia="宋体"/>
                <w:b/>
                <w:bCs/>
                <w:caps w:val="0"/>
                <w:color w:val="000000" w:themeColor="text1"/>
                <w:sz w:val="24"/>
                <w:szCs w:val="32"/>
                <w:highlight w:val="none"/>
                <w14:textFill>
                  <w14:solidFill>
                    <w14:schemeClr w14:val="tx1"/>
                  </w14:solidFill>
                </w14:textFill>
              </w:rPr>
              <w:t>要大气污染源及污染物有组织排放情况</w:t>
            </w:r>
          </w:p>
          <w:tbl>
            <w:tblPr>
              <w:tblStyle w:val="21"/>
              <w:tblW w:w="1251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9"/>
              <w:gridCol w:w="678"/>
              <w:gridCol w:w="1267"/>
              <w:gridCol w:w="1298"/>
              <w:gridCol w:w="944"/>
              <w:gridCol w:w="969"/>
              <w:gridCol w:w="937"/>
              <w:gridCol w:w="1150"/>
              <w:gridCol w:w="983"/>
              <w:gridCol w:w="894"/>
              <w:gridCol w:w="1341"/>
              <w:gridCol w:w="1166"/>
            </w:tblGrid>
            <w:tr w14:paraId="3DB742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89" w:type="dxa"/>
                  <w:vMerge w:val="restart"/>
                  <w:tcBorders>
                    <w:tl2br w:val="nil"/>
                    <w:tr2bl w:val="nil"/>
                  </w:tcBorders>
                  <w:noWrap w:val="0"/>
                  <w:vAlign w:val="center"/>
                </w:tcPr>
                <w:p w14:paraId="749F3870">
                  <w:pPr>
                    <w:spacing w:line="240" w:lineRule="auto"/>
                    <w:ind w:firstLine="0" w:firstLineChars="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排气筒编号</w:t>
                  </w:r>
                </w:p>
              </w:tc>
              <w:tc>
                <w:tcPr>
                  <w:tcW w:w="678" w:type="dxa"/>
                  <w:vMerge w:val="restart"/>
                  <w:tcBorders>
                    <w:tl2br w:val="nil"/>
                    <w:tr2bl w:val="nil"/>
                  </w:tcBorders>
                  <w:noWrap w:val="0"/>
                  <w:vAlign w:val="center"/>
                </w:tcPr>
                <w:p w14:paraId="74F0DB74">
                  <w:pPr>
                    <w:spacing w:line="240" w:lineRule="auto"/>
                    <w:ind w:firstLine="0" w:firstLineChars="0"/>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污染源</w:t>
                  </w:r>
                </w:p>
              </w:tc>
              <w:tc>
                <w:tcPr>
                  <w:tcW w:w="4478" w:type="dxa"/>
                  <w:gridSpan w:val="4"/>
                  <w:tcBorders>
                    <w:tl2br w:val="nil"/>
                    <w:tr2bl w:val="nil"/>
                  </w:tcBorders>
                  <w:noWrap w:val="0"/>
                  <w:vAlign w:val="center"/>
                </w:tcPr>
                <w:p w14:paraId="45A0F60D">
                  <w:pPr>
                    <w:spacing w:line="240" w:lineRule="auto"/>
                    <w:ind w:firstLine="0" w:firstLineChars="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污染物产生情况</w:t>
                  </w:r>
                </w:p>
              </w:tc>
              <w:tc>
                <w:tcPr>
                  <w:tcW w:w="937" w:type="dxa"/>
                  <w:vMerge w:val="restart"/>
                  <w:tcBorders>
                    <w:tl2br w:val="nil"/>
                    <w:tr2bl w:val="nil"/>
                  </w:tcBorders>
                  <w:noWrap w:val="0"/>
                  <w:vAlign w:val="center"/>
                </w:tcPr>
                <w:p w14:paraId="552DC6B1">
                  <w:pPr>
                    <w:spacing w:line="240" w:lineRule="auto"/>
                    <w:ind w:firstLine="0" w:firstLineChars="0"/>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治理措施</w:t>
                  </w:r>
                </w:p>
              </w:tc>
              <w:tc>
                <w:tcPr>
                  <w:tcW w:w="3027" w:type="dxa"/>
                  <w:gridSpan w:val="3"/>
                  <w:tcBorders>
                    <w:tl2br w:val="nil"/>
                    <w:tr2bl w:val="nil"/>
                  </w:tcBorders>
                  <w:noWrap w:val="0"/>
                  <w:vAlign w:val="center"/>
                </w:tcPr>
                <w:p w14:paraId="06E14EAB">
                  <w:pPr>
                    <w:spacing w:line="240" w:lineRule="auto"/>
                    <w:ind w:firstLine="0" w:firstLineChars="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排放情况</w:t>
                  </w:r>
                </w:p>
              </w:tc>
              <w:tc>
                <w:tcPr>
                  <w:tcW w:w="2507" w:type="dxa"/>
                  <w:gridSpan w:val="2"/>
                  <w:tcBorders>
                    <w:tl2br w:val="nil"/>
                    <w:tr2bl w:val="nil"/>
                  </w:tcBorders>
                  <w:noWrap w:val="0"/>
                  <w:vAlign w:val="center"/>
                </w:tcPr>
                <w:p w14:paraId="4F900559">
                  <w:pPr>
                    <w:spacing w:line="240" w:lineRule="auto"/>
                    <w:ind w:firstLine="0" w:firstLineChars="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污染物排放标准</w:t>
                  </w:r>
                </w:p>
              </w:tc>
            </w:tr>
            <w:tr w14:paraId="67E7A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89" w:type="dxa"/>
                  <w:vMerge w:val="continue"/>
                  <w:tcBorders>
                    <w:tl2br w:val="nil"/>
                    <w:tr2bl w:val="nil"/>
                  </w:tcBorders>
                  <w:noWrap w:val="0"/>
                  <w:vAlign w:val="center"/>
                </w:tcPr>
                <w:p w14:paraId="1C44396A">
                  <w:pPr>
                    <w:spacing w:line="240" w:lineRule="auto"/>
                    <w:ind w:firstLine="0" w:firstLineChars="0"/>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p>
              </w:tc>
              <w:tc>
                <w:tcPr>
                  <w:tcW w:w="678" w:type="dxa"/>
                  <w:vMerge w:val="continue"/>
                  <w:tcBorders>
                    <w:tl2br w:val="nil"/>
                    <w:tr2bl w:val="nil"/>
                  </w:tcBorders>
                  <w:noWrap w:val="0"/>
                  <w:vAlign w:val="center"/>
                </w:tcPr>
                <w:p w14:paraId="347A54CB">
                  <w:pPr>
                    <w:spacing w:line="240" w:lineRule="auto"/>
                    <w:ind w:firstLine="0" w:firstLineChars="0"/>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p>
              </w:tc>
              <w:tc>
                <w:tcPr>
                  <w:tcW w:w="1267" w:type="dxa"/>
                  <w:tcBorders>
                    <w:tl2br w:val="nil"/>
                    <w:tr2bl w:val="nil"/>
                  </w:tcBorders>
                  <w:noWrap w:val="0"/>
                  <w:vAlign w:val="center"/>
                </w:tcPr>
                <w:p w14:paraId="10998425">
                  <w:pPr>
                    <w:spacing w:line="240" w:lineRule="auto"/>
                    <w:ind w:firstLine="0" w:firstLineChars="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污染物名称</w:t>
                  </w:r>
                </w:p>
              </w:tc>
              <w:tc>
                <w:tcPr>
                  <w:tcW w:w="1298" w:type="dxa"/>
                  <w:tcBorders>
                    <w:tl2br w:val="nil"/>
                    <w:tr2bl w:val="nil"/>
                  </w:tcBorders>
                  <w:noWrap w:val="0"/>
                  <w:vAlign w:val="center"/>
                </w:tcPr>
                <w:p w14:paraId="5C6580C5">
                  <w:pPr>
                    <w:spacing w:line="240" w:lineRule="auto"/>
                    <w:ind w:firstLine="0" w:firstLineChars="0"/>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浓度（mg/m</w:t>
                  </w:r>
                  <w:r>
                    <w:rPr>
                      <w:rFonts w:hint="eastAsia" w:ascii="Times New Roman" w:hAnsi="Times New Roman" w:eastAsia="宋体"/>
                      <w:b/>
                      <w:bCs/>
                      <w:caps w:val="0"/>
                      <w:color w:val="000000" w:themeColor="text1"/>
                      <w:sz w:val="21"/>
                      <w:szCs w:val="21"/>
                      <w:highlight w:val="none"/>
                      <w:vertAlign w:val="superscript"/>
                      <w14:textFill>
                        <w14:solidFill>
                          <w14:schemeClr w14:val="tx1"/>
                        </w14:solidFill>
                      </w14:textFill>
                    </w:rPr>
                    <w:t>3</w:t>
                  </w:r>
                  <w:r>
                    <w:rPr>
                      <w:rFonts w:hint="eastAsia" w:ascii="Times New Roman" w:hAnsi="Times New Roman" w:eastAsia="宋体"/>
                      <w:b/>
                      <w:bCs/>
                      <w:caps w:val="0"/>
                      <w:color w:val="000000" w:themeColor="text1"/>
                      <w:sz w:val="21"/>
                      <w:szCs w:val="21"/>
                      <w:highlight w:val="none"/>
                      <w14:textFill>
                        <w14:solidFill>
                          <w14:schemeClr w14:val="tx1"/>
                        </w14:solidFill>
                      </w14:textFill>
                    </w:rPr>
                    <w:t>）</w:t>
                  </w:r>
                </w:p>
              </w:tc>
              <w:tc>
                <w:tcPr>
                  <w:tcW w:w="944" w:type="dxa"/>
                  <w:tcBorders>
                    <w:tl2br w:val="nil"/>
                    <w:tr2bl w:val="nil"/>
                  </w:tcBorders>
                  <w:noWrap w:val="0"/>
                  <w:vAlign w:val="center"/>
                </w:tcPr>
                <w:p w14:paraId="13D2D6E0">
                  <w:pPr>
                    <w:spacing w:line="240" w:lineRule="auto"/>
                    <w:ind w:firstLine="0" w:firstLineChars="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速率（kg/h）</w:t>
                  </w:r>
                </w:p>
              </w:tc>
              <w:tc>
                <w:tcPr>
                  <w:tcW w:w="969" w:type="dxa"/>
                  <w:tcBorders>
                    <w:tl2br w:val="nil"/>
                    <w:tr2bl w:val="nil"/>
                  </w:tcBorders>
                  <w:noWrap w:val="0"/>
                  <w:vAlign w:val="center"/>
                </w:tcPr>
                <w:p w14:paraId="6D6D24A3">
                  <w:pPr>
                    <w:spacing w:line="240" w:lineRule="auto"/>
                    <w:ind w:firstLine="0" w:firstLineChars="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产生量（t/a）</w:t>
                  </w:r>
                </w:p>
              </w:tc>
              <w:tc>
                <w:tcPr>
                  <w:tcW w:w="937" w:type="dxa"/>
                  <w:vMerge w:val="continue"/>
                  <w:tcBorders>
                    <w:tl2br w:val="nil"/>
                    <w:tr2bl w:val="nil"/>
                  </w:tcBorders>
                  <w:noWrap w:val="0"/>
                  <w:vAlign w:val="center"/>
                </w:tcPr>
                <w:p w14:paraId="42D20BC7">
                  <w:pPr>
                    <w:spacing w:line="240" w:lineRule="auto"/>
                    <w:ind w:firstLine="0" w:firstLineChars="0"/>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p>
              </w:tc>
              <w:tc>
                <w:tcPr>
                  <w:tcW w:w="1150" w:type="dxa"/>
                  <w:tcBorders>
                    <w:tl2br w:val="nil"/>
                    <w:tr2bl w:val="nil"/>
                  </w:tcBorders>
                  <w:noWrap w:val="0"/>
                  <w:vAlign w:val="center"/>
                </w:tcPr>
                <w:p w14:paraId="28951935">
                  <w:pPr>
                    <w:spacing w:line="240" w:lineRule="auto"/>
                    <w:ind w:firstLine="0" w:firstLineChars="0"/>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浓度（mg/m</w:t>
                  </w:r>
                  <w:r>
                    <w:rPr>
                      <w:rFonts w:hint="eastAsia" w:ascii="Times New Roman" w:hAnsi="Times New Roman" w:eastAsia="宋体"/>
                      <w:b/>
                      <w:bCs/>
                      <w:caps w:val="0"/>
                      <w:color w:val="000000" w:themeColor="text1"/>
                      <w:sz w:val="21"/>
                      <w:szCs w:val="21"/>
                      <w:highlight w:val="none"/>
                      <w:vertAlign w:val="superscript"/>
                      <w14:textFill>
                        <w14:solidFill>
                          <w14:schemeClr w14:val="tx1"/>
                        </w14:solidFill>
                      </w14:textFill>
                    </w:rPr>
                    <w:t>3</w:t>
                  </w:r>
                  <w:r>
                    <w:rPr>
                      <w:rFonts w:hint="eastAsia" w:ascii="Times New Roman" w:hAnsi="Times New Roman" w:eastAsia="宋体"/>
                      <w:b/>
                      <w:bCs/>
                      <w:caps w:val="0"/>
                      <w:color w:val="000000" w:themeColor="text1"/>
                      <w:sz w:val="21"/>
                      <w:szCs w:val="21"/>
                      <w:highlight w:val="none"/>
                      <w14:textFill>
                        <w14:solidFill>
                          <w14:schemeClr w14:val="tx1"/>
                        </w14:solidFill>
                      </w14:textFill>
                    </w:rPr>
                    <w:t>）</w:t>
                  </w:r>
                </w:p>
              </w:tc>
              <w:tc>
                <w:tcPr>
                  <w:tcW w:w="983" w:type="dxa"/>
                  <w:tcBorders>
                    <w:tl2br w:val="nil"/>
                    <w:tr2bl w:val="nil"/>
                  </w:tcBorders>
                  <w:noWrap w:val="0"/>
                  <w:vAlign w:val="center"/>
                </w:tcPr>
                <w:p w14:paraId="3F763732">
                  <w:pPr>
                    <w:spacing w:line="240" w:lineRule="auto"/>
                    <w:ind w:firstLine="0" w:firstLineChars="0"/>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速率（kg/h）</w:t>
                  </w:r>
                </w:p>
              </w:tc>
              <w:tc>
                <w:tcPr>
                  <w:tcW w:w="894" w:type="dxa"/>
                  <w:tcBorders>
                    <w:tl2br w:val="nil"/>
                    <w:tr2bl w:val="nil"/>
                  </w:tcBorders>
                  <w:noWrap w:val="0"/>
                  <w:vAlign w:val="center"/>
                </w:tcPr>
                <w:p w14:paraId="6485AD44">
                  <w:pPr>
                    <w:spacing w:line="240" w:lineRule="auto"/>
                    <w:ind w:firstLine="0" w:firstLineChars="0"/>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排放量（t/a）</w:t>
                  </w:r>
                </w:p>
              </w:tc>
              <w:tc>
                <w:tcPr>
                  <w:tcW w:w="1341" w:type="dxa"/>
                  <w:tcBorders>
                    <w:tl2br w:val="nil"/>
                    <w:tr2bl w:val="nil"/>
                  </w:tcBorders>
                  <w:noWrap w:val="0"/>
                  <w:vAlign w:val="center"/>
                </w:tcPr>
                <w:p w14:paraId="3AB07E0B">
                  <w:pPr>
                    <w:spacing w:line="240" w:lineRule="auto"/>
                    <w:ind w:firstLine="0" w:firstLineChars="0"/>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浓度限值（mg/m</w:t>
                  </w:r>
                  <w:r>
                    <w:rPr>
                      <w:rFonts w:hint="eastAsia" w:ascii="Times New Roman" w:hAnsi="Times New Roman" w:eastAsia="宋体"/>
                      <w:b/>
                      <w:bCs/>
                      <w:caps w:val="0"/>
                      <w:color w:val="000000" w:themeColor="text1"/>
                      <w:sz w:val="21"/>
                      <w:szCs w:val="21"/>
                      <w:highlight w:val="none"/>
                      <w:vertAlign w:val="superscript"/>
                      <w14:textFill>
                        <w14:solidFill>
                          <w14:schemeClr w14:val="tx1"/>
                        </w14:solidFill>
                      </w14:textFill>
                    </w:rPr>
                    <w:t>3</w:t>
                  </w:r>
                  <w:r>
                    <w:rPr>
                      <w:rFonts w:hint="eastAsia" w:ascii="Times New Roman" w:hAnsi="Times New Roman" w:eastAsia="宋体"/>
                      <w:b/>
                      <w:bCs/>
                      <w:caps w:val="0"/>
                      <w:color w:val="000000" w:themeColor="text1"/>
                      <w:sz w:val="21"/>
                      <w:szCs w:val="21"/>
                      <w:highlight w:val="none"/>
                      <w14:textFill>
                        <w14:solidFill>
                          <w14:schemeClr w14:val="tx1"/>
                        </w14:solidFill>
                      </w14:textFill>
                    </w:rPr>
                    <w:t>）</w:t>
                  </w:r>
                </w:p>
              </w:tc>
              <w:tc>
                <w:tcPr>
                  <w:tcW w:w="1166" w:type="dxa"/>
                  <w:tcBorders>
                    <w:tl2br w:val="nil"/>
                    <w:tr2bl w:val="nil"/>
                  </w:tcBorders>
                  <w:noWrap w:val="0"/>
                  <w:vAlign w:val="center"/>
                </w:tcPr>
                <w:p w14:paraId="6AC86540">
                  <w:pPr>
                    <w:spacing w:line="240" w:lineRule="auto"/>
                    <w:ind w:firstLine="0" w:firstLineChars="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速率限值（kg/h）</w:t>
                  </w:r>
                </w:p>
              </w:tc>
            </w:tr>
            <w:tr w14:paraId="49182A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9" w:type="dxa"/>
                  <w:vMerge w:val="restart"/>
                  <w:tcBorders>
                    <w:tl2br w:val="nil"/>
                    <w:tr2bl w:val="nil"/>
                  </w:tcBorders>
                  <w:noWrap w:val="0"/>
                  <w:vAlign w:val="center"/>
                </w:tcPr>
                <w:p w14:paraId="5C406805">
                  <w:pPr>
                    <w:spacing w:line="240" w:lineRule="auto"/>
                    <w:ind w:firstLine="0" w:firstLineChars="0"/>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DA00</w:t>
                  </w:r>
                  <w:r>
                    <w:rPr>
                      <w:rFonts w:hint="eastAsia"/>
                      <w:caps w:val="0"/>
                      <w:color w:val="000000" w:themeColor="text1"/>
                      <w:sz w:val="21"/>
                      <w:szCs w:val="21"/>
                      <w:highlight w:val="none"/>
                      <w:lang w:val="en-US" w:eastAsia="zh-CN"/>
                      <w14:textFill>
                        <w14:solidFill>
                          <w14:schemeClr w14:val="tx1"/>
                        </w14:solidFill>
                      </w14:textFill>
                    </w:rPr>
                    <w:t>2</w:t>
                  </w:r>
                </w:p>
              </w:tc>
              <w:tc>
                <w:tcPr>
                  <w:tcW w:w="678" w:type="dxa"/>
                  <w:vMerge w:val="restart"/>
                  <w:tcBorders>
                    <w:tl2br w:val="nil"/>
                    <w:tr2bl w:val="nil"/>
                  </w:tcBorders>
                  <w:noWrap w:val="0"/>
                  <w:vAlign w:val="center"/>
                </w:tcPr>
                <w:p w14:paraId="64130F45">
                  <w:pPr>
                    <w:spacing w:line="240" w:lineRule="auto"/>
                    <w:ind w:firstLine="0" w:firstLineChars="0"/>
                    <w:jc w:val="center"/>
                    <w:rPr>
                      <w:rFonts w:hint="eastAsia"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注塑</w:t>
                  </w:r>
                </w:p>
              </w:tc>
              <w:tc>
                <w:tcPr>
                  <w:tcW w:w="1267" w:type="dxa"/>
                  <w:tcBorders>
                    <w:tl2br w:val="nil"/>
                    <w:tr2bl w:val="nil"/>
                  </w:tcBorders>
                  <w:noWrap w:val="0"/>
                  <w:vAlign w:val="center"/>
                </w:tcPr>
                <w:p w14:paraId="0818E74E">
                  <w:pPr>
                    <w:spacing w:line="240" w:lineRule="auto"/>
                    <w:ind w:firstLine="0" w:firstLineChars="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非甲烷总烃</w:t>
                  </w:r>
                </w:p>
              </w:tc>
              <w:tc>
                <w:tcPr>
                  <w:tcW w:w="1298" w:type="dxa"/>
                  <w:tcBorders>
                    <w:tl2br w:val="nil"/>
                    <w:tr2bl w:val="nil"/>
                  </w:tcBorders>
                  <w:noWrap w:val="0"/>
                  <w:vAlign w:val="center"/>
                </w:tcPr>
                <w:p w14:paraId="657CA022">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4</w:t>
                  </w:r>
                </w:p>
              </w:tc>
              <w:tc>
                <w:tcPr>
                  <w:tcW w:w="944" w:type="dxa"/>
                  <w:tcBorders>
                    <w:tl2br w:val="nil"/>
                    <w:tr2bl w:val="nil"/>
                  </w:tcBorders>
                  <w:noWrap w:val="0"/>
                  <w:vAlign w:val="center"/>
                </w:tcPr>
                <w:p w14:paraId="354DE85D">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0.06</w:t>
                  </w:r>
                </w:p>
              </w:tc>
              <w:tc>
                <w:tcPr>
                  <w:tcW w:w="969" w:type="dxa"/>
                  <w:tcBorders>
                    <w:tl2br w:val="nil"/>
                    <w:tr2bl w:val="nil"/>
                  </w:tcBorders>
                  <w:noWrap w:val="0"/>
                  <w:vAlign w:val="center"/>
                </w:tcPr>
                <w:p w14:paraId="70EFC39A">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0.243</w:t>
                  </w:r>
                </w:p>
              </w:tc>
              <w:tc>
                <w:tcPr>
                  <w:tcW w:w="937" w:type="dxa"/>
                  <w:vMerge w:val="restart"/>
                  <w:tcBorders>
                    <w:tl2br w:val="nil"/>
                    <w:tr2bl w:val="nil"/>
                  </w:tcBorders>
                  <w:noWrap w:val="0"/>
                  <w:vAlign w:val="center"/>
                </w:tcPr>
                <w:p w14:paraId="13F57A6E">
                  <w:pPr>
                    <w:spacing w:line="240" w:lineRule="auto"/>
                    <w:ind w:firstLine="0" w:firstLineChars="0"/>
                    <w:jc w:val="center"/>
                    <w:rPr>
                      <w:rFonts w:hint="eastAsia"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二</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级活性炭装置</w:t>
                  </w:r>
                </w:p>
              </w:tc>
              <w:tc>
                <w:tcPr>
                  <w:tcW w:w="1150" w:type="dxa"/>
                  <w:tcBorders>
                    <w:tl2br w:val="nil"/>
                    <w:tr2bl w:val="nil"/>
                  </w:tcBorders>
                  <w:noWrap w:val="0"/>
                  <w:vAlign w:val="center"/>
                </w:tcPr>
                <w:p w14:paraId="5FDC593D">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0.4</w:t>
                  </w:r>
                </w:p>
              </w:tc>
              <w:tc>
                <w:tcPr>
                  <w:tcW w:w="983" w:type="dxa"/>
                  <w:tcBorders>
                    <w:tl2br w:val="nil"/>
                    <w:tr2bl w:val="nil"/>
                  </w:tcBorders>
                  <w:noWrap w:val="0"/>
                  <w:vAlign w:val="center"/>
                </w:tcPr>
                <w:p w14:paraId="764B165C">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0.006</w:t>
                  </w:r>
                </w:p>
              </w:tc>
              <w:tc>
                <w:tcPr>
                  <w:tcW w:w="894" w:type="dxa"/>
                  <w:tcBorders>
                    <w:tl2br w:val="nil"/>
                    <w:tr2bl w:val="nil"/>
                  </w:tcBorders>
                  <w:noWrap w:val="0"/>
                  <w:vAlign w:val="center"/>
                </w:tcPr>
                <w:p w14:paraId="145454A3">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0.0243</w:t>
                  </w:r>
                </w:p>
              </w:tc>
              <w:tc>
                <w:tcPr>
                  <w:tcW w:w="1341" w:type="dxa"/>
                  <w:tcBorders>
                    <w:tl2br w:val="nil"/>
                    <w:tr2bl w:val="nil"/>
                  </w:tcBorders>
                  <w:noWrap w:val="0"/>
                  <w:vAlign w:val="center"/>
                </w:tcPr>
                <w:p w14:paraId="7CB895FF">
                  <w:pPr>
                    <w:adjustRightInd w:val="0"/>
                    <w:snapToGrid w:val="0"/>
                    <w:ind w:left="-105" w:leftChars="-50" w:right="-105" w:rightChars="-5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40</w:t>
                  </w:r>
                </w:p>
              </w:tc>
              <w:tc>
                <w:tcPr>
                  <w:tcW w:w="1166" w:type="dxa"/>
                  <w:tcBorders>
                    <w:tl2br w:val="nil"/>
                    <w:tr2bl w:val="nil"/>
                  </w:tcBorders>
                  <w:noWrap w:val="0"/>
                  <w:vAlign w:val="center"/>
                </w:tcPr>
                <w:p w14:paraId="51132574">
                  <w:pPr>
                    <w:adjustRightInd w:val="0"/>
                    <w:snapToGrid w:val="0"/>
                    <w:ind w:left="-105" w:leftChars="-50" w:right="-105" w:rightChars="-50"/>
                    <w:jc w:val="center"/>
                    <w:rPr>
                      <w:rFonts w:hint="default" w:ascii="Times New Roman" w:hAnsi="Times New Roman" w:eastAsia="宋体"/>
                      <w:bCs/>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1.6</w:t>
                  </w:r>
                </w:p>
              </w:tc>
            </w:tr>
            <w:tr w14:paraId="2663ED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889" w:type="dxa"/>
                  <w:vMerge w:val="continue"/>
                  <w:tcBorders>
                    <w:tl2br w:val="nil"/>
                    <w:tr2bl w:val="nil"/>
                  </w:tcBorders>
                  <w:noWrap w:val="0"/>
                  <w:vAlign w:val="center"/>
                </w:tcPr>
                <w:p w14:paraId="0B25B566">
                  <w:pPr>
                    <w:spacing w:line="240" w:lineRule="auto"/>
                    <w:ind w:firstLine="0" w:firstLineChars="0"/>
                    <w:jc w:val="center"/>
                    <w:rPr>
                      <w:rFonts w:hint="eastAsia" w:ascii="Times New Roman" w:hAnsi="Times New Roman" w:eastAsia="宋体"/>
                      <w:caps w:val="0"/>
                      <w:color w:val="000000" w:themeColor="text1"/>
                      <w:sz w:val="21"/>
                      <w:szCs w:val="21"/>
                      <w:highlight w:val="none"/>
                      <w14:textFill>
                        <w14:solidFill>
                          <w14:schemeClr w14:val="tx1"/>
                        </w14:solidFill>
                      </w14:textFill>
                    </w:rPr>
                  </w:pPr>
                </w:p>
              </w:tc>
              <w:tc>
                <w:tcPr>
                  <w:tcW w:w="678" w:type="dxa"/>
                  <w:vMerge w:val="continue"/>
                  <w:tcBorders>
                    <w:tl2br w:val="nil"/>
                    <w:tr2bl w:val="nil"/>
                  </w:tcBorders>
                  <w:noWrap w:val="0"/>
                  <w:vAlign w:val="center"/>
                </w:tcPr>
                <w:p w14:paraId="3D09438E">
                  <w:pPr>
                    <w:spacing w:line="240" w:lineRule="auto"/>
                    <w:ind w:firstLine="0" w:firstLineChars="0"/>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1267" w:type="dxa"/>
                  <w:tcBorders>
                    <w:tl2br w:val="nil"/>
                    <w:tr2bl w:val="nil"/>
                  </w:tcBorders>
                  <w:noWrap w:val="0"/>
                  <w:vAlign w:val="center"/>
                </w:tcPr>
                <w:p w14:paraId="6F6F5FDF">
                  <w:pPr>
                    <w:spacing w:line="240" w:lineRule="auto"/>
                    <w:ind w:firstLine="0" w:firstLineChars="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氨</w:t>
                  </w:r>
                </w:p>
              </w:tc>
              <w:tc>
                <w:tcPr>
                  <w:tcW w:w="1298" w:type="dxa"/>
                  <w:tcBorders>
                    <w:tl2br w:val="nil"/>
                    <w:tr2bl w:val="nil"/>
                  </w:tcBorders>
                  <w:noWrap w:val="0"/>
                  <w:vAlign w:val="center"/>
                </w:tcPr>
                <w:p w14:paraId="46CAB047">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0.47</w:t>
                  </w:r>
                </w:p>
              </w:tc>
              <w:tc>
                <w:tcPr>
                  <w:tcW w:w="944" w:type="dxa"/>
                  <w:tcBorders>
                    <w:tl2br w:val="nil"/>
                    <w:tr2bl w:val="nil"/>
                  </w:tcBorders>
                  <w:noWrap w:val="0"/>
                  <w:vAlign w:val="center"/>
                </w:tcPr>
                <w:p w14:paraId="559ABE69">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0.007</w:t>
                  </w:r>
                </w:p>
              </w:tc>
              <w:tc>
                <w:tcPr>
                  <w:tcW w:w="969" w:type="dxa"/>
                  <w:tcBorders>
                    <w:tl2br w:val="nil"/>
                    <w:tr2bl w:val="nil"/>
                  </w:tcBorders>
                  <w:noWrap w:val="0"/>
                  <w:vAlign w:val="center"/>
                </w:tcPr>
                <w:p w14:paraId="30A5905A">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0.027</w:t>
                  </w:r>
                </w:p>
              </w:tc>
              <w:tc>
                <w:tcPr>
                  <w:tcW w:w="937" w:type="dxa"/>
                  <w:vMerge w:val="continue"/>
                  <w:tcBorders>
                    <w:tl2br w:val="nil"/>
                    <w:tr2bl w:val="nil"/>
                  </w:tcBorders>
                  <w:noWrap w:val="0"/>
                  <w:vAlign w:val="center"/>
                </w:tcPr>
                <w:p w14:paraId="14955943">
                  <w:pPr>
                    <w:spacing w:line="240" w:lineRule="auto"/>
                    <w:ind w:firstLine="0" w:firstLineChars="0"/>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1150" w:type="dxa"/>
                  <w:tcBorders>
                    <w:tl2br w:val="nil"/>
                    <w:tr2bl w:val="nil"/>
                  </w:tcBorders>
                  <w:noWrap w:val="0"/>
                  <w:vAlign w:val="center"/>
                </w:tcPr>
                <w:p w14:paraId="50830E2B">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0.047</w:t>
                  </w:r>
                </w:p>
              </w:tc>
              <w:tc>
                <w:tcPr>
                  <w:tcW w:w="983" w:type="dxa"/>
                  <w:tcBorders>
                    <w:tl2br w:val="nil"/>
                    <w:tr2bl w:val="nil"/>
                  </w:tcBorders>
                  <w:noWrap w:val="0"/>
                  <w:vAlign w:val="center"/>
                </w:tcPr>
                <w:p w14:paraId="6AF3B3E4">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0.0007</w:t>
                  </w:r>
                </w:p>
              </w:tc>
              <w:tc>
                <w:tcPr>
                  <w:tcW w:w="894" w:type="dxa"/>
                  <w:tcBorders>
                    <w:tl2br w:val="nil"/>
                    <w:tr2bl w:val="nil"/>
                  </w:tcBorders>
                  <w:noWrap w:val="0"/>
                  <w:vAlign w:val="center"/>
                </w:tcPr>
                <w:p w14:paraId="50561888">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0.0027</w:t>
                  </w:r>
                </w:p>
              </w:tc>
              <w:tc>
                <w:tcPr>
                  <w:tcW w:w="1341" w:type="dxa"/>
                  <w:tcBorders>
                    <w:tl2br w:val="nil"/>
                    <w:tr2bl w:val="nil"/>
                  </w:tcBorders>
                  <w:noWrap w:val="0"/>
                  <w:vAlign w:val="center"/>
                </w:tcPr>
                <w:p w14:paraId="75152F9A">
                  <w:pPr>
                    <w:adjustRightInd w:val="0"/>
                    <w:snapToGrid w:val="0"/>
                    <w:ind w:left="-105" w:leftChars="-50" w:right="-105" w:rightChars="-5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20</w:t>
                  </w:r>
                </w:p>
              </w:tc>
              <w:tc>
                <w:tcPr>
                  <w:tcW w:w="1166" w:type="dxa"/>
                  <w:tcBorders>
                    <w:tl2br w:val="nil"/>
                    <w:tr2bl w:val="nil"/>
                  </w:tcBorders>
                  <w:noWrap w:val="0"/>
                  <w:vAlign w:val="center"/>
                </w:tcPr>
                <w:p w14:paraId="5726985A">
                  <w:pPr>
                    <w:adjustRightInd w:val="0"/>
                    <w:snapToGrid w:val="0"/>
                    <w:ind w:left="-105" w:leftChars="-50" w:right="-105" w:rightChars="-50"/>
                    <w:jc w:val="center"/>
                    <w:rPr>
                      <w:rFonts w:hint="default" w:ascii="Times New Roman" w:hAnsi="Times New Roman" w:eastAsia="宋体"/>
                      <w:bCs/>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Cs/>
                      <w:caps w:val="0"/>
                      <w:color w:val="000000" w:themeColor="text1"/>
                      <w:sz w:val="21"/>
                      <w:szCs w:val="21"/>
                      <w:highlight w:val="none"/>
                      <w:lang w:val="en-US" w:eastAsia="zh-CN"/>
                      <w14:textFill>
                        <w14:solidFill>
                          <w14:schemeClr w14:val="tx1"/>
                        </w14:solidFill>
                      </w14:textFill>
                    </w:rPr>
                    <w:t>/</w:t>
                  </w:r>
                </w:p>
              </w:tc>
            </w:tr>
            <w:tr w14:paraId="11CD9E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889" w:type="dxa"/>
                  <w:vMerge w:val="continue"/>
                  <w:tcBorders>
                    <w:tl2br w:val="nil"/>
                    <w:tr2bl w:val="nil"/>
                  </w:tcBorders>
                  <w:noWrap w:val="0"/>
                  <w:vAlign w:val="center"/>
                </w:tcPr>
                <w:p w14:paraId="42E4DCBD">
                  <w:pPr>
                    <w:spacing w:line="240" w:lineRule="auto"/>
                    <w:ind w:firstLine="0" w:firstLineChars="0"/>
                    <w:jc w:val="center"/>
                    <w:rPr>
                      <w:rFonts w:hint="eastAsia" w:ascii="Times New Roman" w:hAnsi="Times New Roman" w:eastAsia="宋体"/>
                      <w:caps w:val="0"/>
                      <w:color w:val="000000" w:themeColor="text1"/>
                      <w:sz w:val="21"/>
                      <w:szCs w:val="21"/>
                      <w:highlight w:val="none"/>
                      <w14:textFill>
                        <w14:solidFill>
                          <w14:schemeClr w14:val="tx1"/>
                        </w14:solidFill>
                      </w14:textFill>
                    </w:rPr>
                  </w:pPr>
                </w:p>
              </w:tc>
              <w:tc>
                <w:tcPr>
                  <w:tcW w:w="678" w:type="dxa"/>
                  <w:vMerge w:val="continue"/>
                  <w:tcBorders>
                    <w:tl2br w:val="nil"/>
                    <w:tr2bl w:val="nil"/>
                  </w:tcBorders>
                  <w:noWrap w:val="0"/>
                  <w:vAlign w:val="center"/>
                </w:tcPr>
                <w:p w14:paraId="0B45C14A">
                  <w:pPr>
                    <w:spacing w:line="240" w:lineRule="auto"/>
                    <w:ind w:firstLine="0" w:firstLineChars="0"/>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1267" w:type="dxa"/>
                  <w:tcBorders>
                    <w:tl2br w:val="nil"/>
                    <w:tr2bl w:val="nil"/>
                  </w:tcBorders>
                  <w:noWrap w:val="0"/>
                  <w:vAlign w:val="center"/>
                </w:tcPr>
                <w:p w14:paraId="65ABD372">
                  <w:pPr>
                    <w:spacing w:line="240" w:lineRule="auto"/>
                    <w:ind w:firstLine="0" w:firstLineChars="0"/>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臭气浓度</w:t>
                  </w:r>
                </w:p>
              </w:tc>
              <w:tc>
                <w:tcPr>
                  <w:tcW w:w="1298" w:type="dxa"/>
                  <w:tcBorders>
                    <w:tl2br w:val="nil"/>
                    <w:tr2bl w:val="nil"/>
                  </w:tcBorders>
                  <w:noWrap w:val="0"/>
                  <w:vAlign w:val="center"/>
                </w:tcPr>
                <w:p w14:paraId="741FF62E">
                  <w:pPr>
                    <w:keepNext w:val="0"/>
                    <w:keepLines w:val="0"/>
                    <w:widowControl/>
                    <w:suppressLineNumbers w:val="0"/>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944" w:type="dxa"/>
                  <w:tcBorders>
                    <w:tl2br w:val="nil"/>
                    <w:tr2bl w:val="nil"/>
                  </w:tcBorders>
                  <w:noWrap w:val="0"/>
                  <w:vAlign w:val="center"/>
                </w:tcPr>
                <w:p w14:paraId="4CAA3063">
                  <w:pPr>
                    <w:keepNext w:val="0"/>
                    <w:keepLines w:val="0"/>
                    <w:widowControl/>
                    <w:suppressLineNumbers w:val="0"/>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969" w:type="dxa"/>
                  <w:tcBorders>
                    <w:tl2br w:val="nil"/>
                    <w:tr2bl w:val="nil"/>
                  </w:tcBorders>
                  <w:noWrap w:val="0"/>
                  <w:vAlign w:val="center"/>
                </w:tcPr>
                <w:p w14:paraId="5047B57B">
                  <w:pPr>
                    <w:keepNext w:val="0"/>
                    <w:keepLines w:val="0"/>
                    <w:widowControl/>
                    <w:suppressLineNumbers w:val="0"/>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937" w:type="dxa"/>
                  <w:vMerge w:val="continue"/>
                  <w:tcBorders>
                    <w:tl2br w:val="nil"/>
                    <w:tr2bl w:val="nil"/>
                  </w:tcBorders>
                  <w:noWrap w:val="0"/>
                  <w:vAlign w:val="center"/>
                </w:tcPr>
                <w:p w14:paraId="675381FC">
                  <w:pPr>
                    <w:spacing w:line="240" w:lineRule="auto"/>
                    <w:ind w:firstLine="0" w:firstLineChars="0"/>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1150" w:type="dxa"/>
                  <w:tcBorders>
                    <w:tl2br w:val="nil"/>
                    <w:tr2bl w:val="nil"/>
                  </w:tcBorders>
                  <w:noWrap w:val="0"/>
                  <w:vAlign w:val="center"/>
                </w:tcPr>
                <w:p w14:paraId="3C8B0455">
                  <w:pPr>
                    <w:keepNext w:val="0"/>
                    <w:keepLines w:val="0"/>
                    <w:widowControl/>
                    <w:suppressLineNumbers w:val="0"/>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983" w:type="dxa"/>
                  <w:tcBorders>
                    <w:tl2br w:val="nil"/>
                    <w:tr2bl w:val="nil"/>
                  </w:tcBorders>
                  <w:noWrap w:val="0"/>
                  <w:vAlign w:val="center"/>
                </w:tcPr>
                <w:p w14:paraId="34BACA2C">
                  <w:pPr>
                    <w:keepNext w:val="0"/>
                    <w:keepLines w:val="0"/>
                    <w:widowControl/>
                    <w:suppressLineNumbers w:val="0"/>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894" w:type="dxa"/>
                  <w:tcBorders>
                    <w:tl2br w:val="nil"/>
                    <w:tr2bl w:val="nil"/>
                  </w:tcBorders>
                  <w:noWrap w:val="0"/>
                  <w:vAlign w:val="center"/>
                </w:tcPr>
                <w:p w14:paraId="740CECC2">
                  <w:pPr>
                    <w:keepNext w:val="0"/>
                    <w:keepLines w:val="0"/>
                    <w:widowControl/>
                    <w:suppressLineNumbers w:val="0"/>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1341" w:type="dxa"/>
                  <w:tcBorders>
                    <w:tl2br w:val="nil"/>
                    <w:tr2bl w:val="nil"/>
                  </w:tcBorders>
                  <w:noWrap w:val="0"/>
                  <w:vAlign w:val="center"/>
                </w:tcPr>
                <w:p w14:paraId="2BE1A3F6">
                  <w:pPr>
                    <w:adjustRightInd w:val="0"/>
                    <w:snapToGrid w:val="0"/>
                    <w:ind w:left="-105" w:leftChars="-50" w:right="-105" w:rightChars="-50"/>
                    <w:jc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1166" w:type="dxa"/>
                  <w:tcBorders>
                    <w:tl2br w:val="nil"/>
                    <w:tr2bl w:val="nil"/>
                  </w:tcBorders>
                  <w:noWrap w:val="0"/>
                  <w:vAlign w:val="center"/>
                </w:tcPr>
                <w:p w14:paraId="3FF03AA0">
                  <w:pPr>
                    <w:adjustRightInd w:val="0"/>
                    <w:snapToGrid w:val="0"/>
                    <w:ind w:left="-105" w:leftChars="-50" w:right="-105" w:rightChars="-50"/>
                    <w:jc w:val="center"/>
                    <w:rPr>
                      <w:rFonts w:hint="default" w:ascii="Times New Roman" w:hAnsi="Times New Roman" w:eastAsia="宋体"/>
                      <w:bCs/>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2000（无量纲）</w:t>
                  </w:r>
                </w:p>
              </w:tc>
            </w:tr>
            <w:tr w14:paraId="29B72F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516" w:type="dxa"/>
                  <w:gridSpan w:val="12"/>
                  <w:tcBorders>
                    <w:tl2br w:val="nil"/>
                    <w:tr2bl w:val="nil"/>
                  </w:tcBorders>
                  <w:noWrap w:val="0"/>
                  <w:vAlign w:val="center"/>
                </w:tcPr>
                <w:p w14:paraId="25830DED">
                  <w:pPr>
                    <w:adjustRightInd w:val="0"/>
                    <w:snapToGrid w:val="0"/>
                    <w:ind w:left="-105" w:leftChars="-50" w:right="-105" w:rightChars="-50"/>
                    <w:jc w:val="both"/>
                    <w:rPr>
                      <w:rFonts w:ascii="Times New Roman" w:hAnsi="Times New Roman" w:eastAsia="宋体"/>
                      <w:bCs/>
                      <w:caps w:val="0"/>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备注：本项目年工作时间为</w:t>
                  </w:r>
                  <w:r>
                    <w:rPr>
                      <w:rFonts w:hint="eastAsia"/>
                      <w:bCs/>
                      <w:color w:val="000000" w:themeColor="text1"/>
                      <w:sz w:val="21"/>
                      <w:szCs w:val="21"/>
                      <w:highlight w:val="none"/>
                      <w:lang w:val="en-US" w:eastAsia="zh-CN"/>
                      <w14:textFill>
                        <w14:solidFill>
                          <w14:schemeClr w14:val="tx1"/>
                        </w14:solidFill>
                      </w14:textFill>
                    </w:rPr>
                    <w:t>40</w:t>
                  </w:r>
                  <w:r>
                    <w:rPr>
                      <w:rFonts w:ascii="Times New Roman" w:hAnsi="Times New Roman" w:eastAsia="宋体"/>
                      <w:bCs/>
                      <w:color w:val="000000" w:themeColor="text1"/>
                      <w:sz w:val="21"/>
                      <w:szCs w:val="21"/>
                      <w:highlight w:val="none"/>
                      <w14:textFill>
                        <w14:solidFill>
                          <w14:schemeClr w14:val="tx1"/>
                        </w14:solidFill>
                      </w14:textFill>
                    </w:rPr>
                    <w:t>00h（300*</w:t>
                  </w:r>
                  <w:r>
                    <w:rPr>
                      <w:rFonts w:hint="eastAsia"/>
                      <w:bCs/>
                      <w:color w:val="000000" w:themeColor="text1"/>
                      <w:sz w:val="21"/>
                      <w:szCs w:val="21"/>
                      <w:highlight w:val="none"/>
                      <w:lang w:val="en-US" w:eastAsia="zh-CN"/>
                      <w14:textFill>
                        <w14:solidFill>
                          <w14:schemeClr w14:val="tx1"/>
                        </w14:solidFill>
                      </w14:textFill>
                    </w:rPr>
                    <w:t>16</w:t>
                  </w:r>
                  <w:r>
                    <w:rPr>
                      <w:rFonts w:ascii="Times New Roman" w:hAnsi="Times New Roman" w:eastAsia="宋体"/>
                      <w:bCs/>
                      <w:color w:val="000000" w:themeColor="text1"/>
                      <w:sz w:val="21"/>
                      <w:szCs w:val="21"/>
                      <w:highlight w:val="none"/>
                      <w14:textFill>
                        <w14:solidFill>
                          <w14:schemeClr w14:val="tx1"/>
                        </w14:solidFill>
                      </w14:textFill>
                    </w:rPr>
                    <w:t>h）</w:t>
                  </w:r>
                </w:p>
              </w:tc>
            </w:tr>
          </w:tbl>
          <w:p w14:paraId="7A8E51BB">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eastAsia="宋体"/>
                <w:b/>
                <w:bCs/>
                <w:caps w:val="0"/>
                <w:color w:val="000000" w:themeColor="text1"/>
                <w:sz w:val="24"/>
                <w:szCs w:val="32"/>
                <w:highlight w:val="none"/>
                <w14:textFill>
                  <w14:solidFill>
                    <w14:schemeClr w14:val="tx1"/>
                  </w14:solidFill>
                </w14:textFill>
              </w:rPr>
            </w:pPr>
            <w:r>
              <w:rPr>
                <w:rFonts w:hint="eastAsia" w:ascii="Times New Roman" w:hAnsi="Times New Roman" w:eastAsia="宋体"/>
                <w:b/>
                <w:bCs/>
                <w:caps w:val="0"/>
                <w:color w:val="000000" w:themeColor="text1"/>
                <w:sz w:val="24"/>
                <w:szCs w:val="32"/>
                <w:highlight w:val="none"/>
                <w14:textFill>
                  <w14:solidFill>
                    <w14:schemeClr w14:val="tx1"/>
                  </w14:solidFill>
                </w14:textFill>
              </w:rPr>
              <w:t>表4-</w:t>
            </w:r>
            <w:r>
              <w:rPr>
                <w:rFonts w:hint="eastAsia"/>
                <w:b/>
                <w:bCs/>
                <w:caps w:val="0"/>
                <w:color w:val="000000" w:themeColor="text1"/>
                <w:sz w:val="24"/>
                <w:szCs w:val="32"/>
                <w:highlight w:val="none"/>
                <w:lang w:val="en-US" w:eastAsia="zh-CN"/>
                <w14:textFill>
                  <w14:solidFill>
                    <w14:schemeClr w14:val="tx1"/>
                  </w14:solidFill>
                </w14:textFill>
              </w:rPr>
              <w:t>6</w:t>
            </w:r>
            <w:r>
              <w:rPr>
                <w:rFonts w:ascii="Times New Roman" w:hAnsi="Times New Roman" w:eastAsia="宋体"/>
                <w:b/>
                <w:bCs/>
                <w:caps w:val="0"/>
                <w:color w:val="000000" w:themeColor="text1"/>
                <w:sz w:val="24"/>
                <w:szCs w:val="32"/>
                <w:highlight w:val="none"/>
                <w14:textFill>
                  <w14:solidFill>
                    <w14:schemeClr w14:val="tx1"/>
                  </w14:solidFill>
                </w14:textFill>
              </w:rPr>
              <w:t xml:space="preserve">  </w:t>
            </w:r>
            <w:r>
              <w:rPr>
                <w:rFonts w:hint="eastAsia" w:ascii="Times New Roman" w:hAnsi="Times New Roman" w:eastAsia="宋体"/>
                <w:b/>
                <w:bCs/>
                <w:caps w:val="0"/>
                <w:color w:val="000000" w:themeColor="text1"/>
                <w:sz w:val="24"/>
                <w:szCs w:val="32"/>
                <w:highlight w:val="none"/>
                <w14:textFill>
                  <w14:solidFill>
                    <w14:schemeClr w14:val="tx1"/>
                  </w14:solidFill>
                </w14:textFill>
              </w:rPr>
              <w:t>主要大气污染源及污染物无组织排放情况</w:t>
            </w:r>
          </w:p>
          <w:tbl>
            <w:tblPr>
              <w:tblStyle w:val="21"/>
              <w:tblW w:w="1250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95"/>
              <w:gridCol w:w="988"/>
              <w:gridCol w:w="1068"/>
              <w:gridCol w:w="1169"/>
              <w:gridCol w:w="751"/>
              <w:gridCol w:w="668"/>
              <w:gridCol w:w="751"/>
              <w:gridCol w:w="734"/>
              <w:gridCol w:w="684"/>
              <w:gridCol w:w="935"/>
              <w:gridCol w:w="967"/>
              <w:gridCol w:w="718"/>
              <w:gridCol w:w="467"/>
              <w:gridCol w:w="1218"/>
              <w:gridCol w:w="695"/>
            </w:tblGrid>
            <w:tr w14:paraId="2C1862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7" w:hRule="atLeast"/>
                <w:jc w:val="center"/>
              </w:trPr>
              <w:tc>
                <w:tcPr>
                  <w:tcW w:w="277" w:type="pct"/>
                  <w:vMerge w:val="restart"/>
                  <w:tcBorders>
                    <w:tl2br w:val="nil"/>
                    <w:tr2bl w:val="nil"/>
                  </w:tcBorders>
                  <w:noWrap w:val="0"/>
                  <w:tcMar>
                    <w:top w:w="15" w:type="dxa"/>
                    <w:left w:w="15" w:type="dxa"/>
                    <w:right w:w="15" w:type="dxa"/>
                  </w:tcMar>
                  <w:vAlign w:val="center"/>
                </w:tcPr>
                <w:p w14:paraId="23810F81">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序号</w:t>
                  </w:r>
                </w:p>
              </w:tc>
              <w:tc>
                <w:tcPr>
                  <w:tcW w:w="394" w:type="pct"/>
                  <w:vMerge w:val="restart"/>
                  <w:tcBorders>
                    <w:tl2br w:val="nil"/>
                    <w:tr2bl w:val="nil"/>
                  </w:tcBorders>
                  <w:noWrap w:val="0"/>
                  <w:tcMar>
                    <w:top w:w="15" w:type="dxa"/>
                    <w:left w:w="15" w:type="dxa"/>
                    <w:right w:w="15" w:type="dxa"/>
                  </w:tcMar>
                  <w:vAlign w:val="center"/>
                </w:tcPr>
                <w:p w14:paraId="17B0606F">
                  <w:pPr>
                    <w:pStyle w:val="96"/>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无组织排放</w:t>
                  </w:r>
                  <w:r>
                    <w:rPr>
                      <w:rFonts w:hint="eastAsia" w:ascii="Times New Roman" w:hAnsi="Times New Roman" w:eastAsia="宋体"/>
                      <w:b/>
                      <w:bCs/>
                      <w:caps w:val="0"/>
                      <w:color w:val="000000" w:themeColor="text1"/>
                      <w:sz w:val="21"/>
                      <w:szCs w:val="21"/>
                      <w:highlight w:val="none"/>
                      <w14:textFill>
                        <w14:solidFill>
                          <w14:schemeClr w14:val="tx1"/>
                        </w14:solidFill>
                      </w14:textFill>
                    </w:rPr>
                    <w:t>源</w:t>
                  </w:r>
                </w:p>
              </w:tc>
              <w:tc>
                <w:tcPr>
                  <w:tcW w:w="426" w:type="pct"/>
                  <w:vMerge w:val="restart"/>
                  <w:tcBorders>
                    <w:tl2br w:val="nil"/>
                    <w:tr2bl w:val="nil"/>
                  </w:tcBorders>
                  <w:noWrap/>
                  <w:tcMar>
                    <w:top w:w="15" w:type="dxa"/>
                    <w:left w:w="15" w:type="dxa"/>
                    <w:right w:w="15" w:type="dxa"/>
                  </w:tcMar>
                  <w:vAlign w:val="center"/>
                </w:tcPr>
                <w:p w14:paraId="3FF2693B">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产污环节</w:t>
                  </w:r>
                </w:p>
              </w:tc>
              <w:tc>
                <w:tcPr>
                  <w:tcW w:w="467" w:type="pct"/>
                  <w:vMerge w:val="restart"/>
                  <w:tcBorders>
                    <w:tl2br w:val="nil"/>
                    <w:tr2bl w:val="nil"/>
                  </w:tcBorders>
                  <w:noWrap/>
                  <w:tcMar>
                    <w:top w:w="15" w:type="dxa"/>
                    <w:left w:w="15" w:type="dxa"/>
                    <w:right w:w="15" w:type="dxa"/>
                  </w:tcMar>
                  <w:vAlign w:val="center"/>
                </w:tcPr>
                <w:p w14:paraId="20ECC65B">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污染物种类</w:t>
                  </w:r>
                </w:p>
              </w:tc>
              <w:tc>
                <w:tcPr>
                  <w:tcW w:w="567" w:type="pct"/>
                  <w:gridSpan w:val="2"/>
                  <w:tcBorders>
                    <w:tl2br w:val="nil"/>
                    <w:tr2bl w:val="nil"/>
                  </w:tcBorders>
                  <w:noWrap/>
                  <w:tcMar>
                    <w:top w:w="15" w:type="dxa"/>
                    <w:left w:w="15" w:type="dxa"/>
                    <w:right w:w="15" w:type="dxa"/>
                  </w:tcMar>
                  <w:vAlign w:val="center"/>
                </w:tcPr>
                <w:p w14:paraId="2F3090CD">
                  <w:pPr>
                    <w:pStyle w:val="96"/>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面源起点</w:t>
                  </w:r>
                  <w:r>
                    <w:rPr>
                      <w:rFonts w:ascii="Times New Roman" w:hAnsi="Times New Roman" w:eastAsia="宋体"/>
                      <w:b/>
                      <w:bCs/>
                      <w:caps w:val="0"/>
                      <w:color w:val="000000" w:themeColor="text1"/>
                      <w:sz w:val="21"/>
                      <w:szCs w:val="21"/>
                      <w:highlight w:val="none"/>
                      <w14:textFill>
                        <w14:solidFill>
                          <w14:schemeClr w14:val="tx1"/>
                        </w14:solidFill>
                      </w14:textFill>
                    </w:rPr>
                    <w:t>坐标</w:t>
                  </w:r>
                </w:p>
              </w:tc>
              <w:tc>
                <w:tcPr>
                  <w:tcW w:w="2865" w:type="pct"/>
                  <w:gridSpan w:val="9"/>
                  <w:tcBorders>
                    <w:tl2br w:val="nil"/>
                    <w:tr2bl w:val="nil"/>
                  </w:tcBorders>
                  <w:noWrap/>
                  <w:tcMar>
                    <w:top w:w="15" w:type="dxa"/>
                    <w:left w:w="15" w:type="dxa"/>
                    <w:right w:w="15" w:type="dxa"/>
                  </w:tcMar>
                  <w:vAlign w:val="center"/>
                </w:tcPr>
                <w:p w14:paraId="6A75C188">
                  <w:pPr>
                    <w:pStyle w:val="96"/>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排放源参数</w:t>
                  </w:r>
                </w:p>
              </w:tc>
            </w:tr>
            <w:tr w14:paraId="16F16D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59" w:hRule="atLeast"/>
                <w:jc w:val="center"/>
              </w:trPr>
              <w:tc>
                <w:tcPr>
                  <w:tcW w:w="277" w:type="pct"/>
                  <w:vMerge w:val="continue"/>
                  <w:tcBorders>
                    <w:tl2br w:val="nil"/>
                    <w:tr2bl w:val="nil"/>
                  </w:tcBorders>
                  <w:noWrap w:val="0"/>
                  <w:tcMar>
                    <w:top w:w="15" w:type="dxa"/>
                    <w:left w:w="15" w:type="dxa"/>
                    <w:right w:w="15" w:type="dxa"/>
                  </w:tcMar>
                  <w:vAlign w:val="center"/>
                </w:tcPr>
                <w:p w14:paraId="52398F39">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394" w:type="pct"/>
                  <w:vMerge w:val="continue"/>
                  <w:tcBorders>
                    <w:tl2br w:val="nil"/>
                    <w:tr2bl w:val="nil"/>
                  </w:tcBorders>
                  <w:noWrap w:val="0"/>
                  <w:tcMar>
                    <w:top w:w="15" w:type="dxa"/>
                    <w:left w:w="15" w:type="dxa"/>
                    <w:right w:w="15" w:type="dxa"/>
                  </w:tcMar>
                  <w:vAlign w:val="center"/>
                </w:tcPr>
                <w:p w14:paraId="0D1B650C">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426" w:type="pct"/>
                  <w:vMerge w:val="continue"/>
                  <w:tcBorders>
                    <w:tl2br w:val="nil"/>
                    <w:tr2bl w:val="nil"/>
                  </w:tcBorders>
                  <w:noWrap/>
                  <w:tcMar>
                    <w:top w:w="15" w:type="dxa"/>
                    <w:left w:w="15" w:type="dxa"/>
                    <w:right w:w="15" w:type="dxa"/>
                  </w:tcMar>
                  <w:vAlign w:val="center"/>
                </w:tcPr>
                <w:p w14:paraId="4275976D">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467" w:type="pct"/>
                  <w:vMerge w:val="continue"/>
                  <w:tcBorders>
                    <w:tl2br w:val="nil"/>
                    <w:tr2bl w:val="nil"/>
                  </w:tcBorders>
                  <w:noWrap/>
                  <w:tcMar>
                    <w:top w:w="15" w:type="dxa"/>
                    <w:left w:w="15" w:type="dxa"/>
                    <w:right w:w="15" w:type="dxa"/>
                  </w:tcMar>
                  <w:vAlign w:val="center"/>
                </w:tcPr>
                <w:p w14:paraId="1CA78D19">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300" w:type="pct"/>
                  <w:tcBorders>
                    <w:tl2br w:val="nil"/>
                    <w:tr2bl w:val="nil"/>
                  </w:tcBorders>
                  <w:noWrap/>
                  <w:tcMar>
                    <w:top w:w="15" w:type="dxa"/>
                    <w:left w:w="15" w:type="dxa"/>
                    <w:right w:w="15" w:type="dxa"/>
                  </w:tcMar>
                  <w:vAlign w:val="center"/>
                </w:tcPr>
                <w:p w14:paraId="249F90AB">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X</w:t>
                  </w:r>
                </w:p>
              </w:tc>
              <w:tc>
                <w:tcPr>
                  <w:tcW w:w="267" w:type="pct"/>
                  <w:tcBorders>
                    <w:tl2br w:val="nil"/>
                    <w:tr2bl w:val="nil"/>
                  </w:tcBorders>
                  <w:noWrap/>
                  <w:tcMar>
                    <w:top w:w="15" w:type="dxa"/>
                    <w:left w:w="15" w:type="dxa"/>
                    <w:right w:w="15" w:type="dxa"/>
                  </w:tcMar>
                  <w:vAlign w:val="center"/>
                </w:tcPr>
                <w:p w14:paraId="37FB209C">
                  <w:pPr>
                    <w:pStyle w:val="96"/>
                    <w:jc w:val="center"/>
                    <w:rPr>
                      <w:rFonts w:hint="eastAsia"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Y</w:t>
                  </w:r>
                </w:p>
              </w:tc>
              <w:tc>
                <w:tcPr>
                  <w:tcW w:w="300" w:type="pct"/>
                  <w:tcBorders>
                    <w:tl2br w:val="nil"/>
                    <w:tr2bl w:val="nil"/>
                  </w:tcBorders>
                  <w:noWrap/>
                  <w:tcMar>
                    <w:top w:w="15" w:type="dxa"/>
                    <w:left w:w="15" w:type="dxa"/>
                    <w:right w:w="15" w:type="dxa"/>
                  </w:tcMar>
                  <w:vAlign w:val="center"/>
                </w:tcPr>
                <w:p w14:paraId="1639C225">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面源</w:t>
                  </w:r>
                  <w:r>
                    <w:rPr>
                      <w:rFonts w:ascii="Times New Roman" w:hAnsi="Times New Roman" w:eastAsia="宋体"/>
                      <w:b/>
                      <w:bCs/>
                      <w:caps w:val="0"/>
                      <w:color w:val="000000" w:themeColor="text1"/>
                      <w:sz w:val="21"/>
                      <w:szCs w:val="21"/>
                      <w:highlight w:val="none"/>
                      <w14:textFill>
                        <w14:solidFill>
                          <w14:schemeClr w14:val="tx1"/>
                        </w14:solidFill>
                      </w14:textFill>
                    </w:rPr>
                    <w:t>海拔高度m</w:t>
                  </w:r>
                </w:p>
              </w:tc>
              <w:tc>
                <w:tcPr>
                  <w:tcW w:w="293" w:type="pct"/>
                  <w:tcBorders>
                    <w:tl2br w:val="nil"/>
                    <w:tr2bl w:val="nil"/>
                  </w:tcBorders>
                  <w:noWrap/>
                  <w:tcMar>
                    <w:top w:w="15" w:type="dxa"/>
                    <w:left w:w="15" w:type="dxa"/>
                    <w:right w:w="15" w:type="dxa"/>
                  </w:tcMar>
                  <w:vAlign w:val="center"/>
                </w:tcPr>
                <w:p w14:paraId="270CDFB5">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面源</w:t>
                  </w:r>
                  <w:r>
                    <w:rPr>
                      <w:rFonts w:ascii="Times New Roman" w:hAnsi="Times New Roman" w:eastAsia="宋体"/>
                      <w:b/>
                      <w:bCs/>
                      <w:caps w:val="0"/>
                      <w:color w:val="000000" w:themeColor="text1"/>
                      <w:sz w:val="21"/>
                      <w:szCs w:val="21"/>
                      <w:highlight w:val="none"/>
                      <w14:textFill>
                        <w14:solidFill>
                          <w14:schemeClr w14:val="tx1"/>
                        </w14:solidFill>
                      </w14:textFill>
                    </w:rPr>
                    <w:t>长度m</w:t>
                  </w:r>
                </w:p>
              </w:tc>
              <w:tc>
                <w:tcPr>
                  <w:tcW w:w="273" w:type="pct"/>
                  <w:tcBorders>
                    <w:tl2br w:val="nil"/>
                    <w:tr2bl w:val="nil"/>
                  </w:tcBorders>
                  <w:noWrap/>
                  <w:tcMar>
                    <w:top w:w="15" w:type="dxa"/>
                    <w:left w:w="15" w:type="dxa"/>
                    <w:right w:w="15" w:type="dxa"/>
                  </w:tcMar>
                  <w:vAlign w:val="center"/>
                </w:tcPr>
                <w:p w14:paraId="28234CE1">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面源</w:t>
                  </w:r>
                  <w:r>
                    <w:rPr>
                      <w:rFonts w:ascii="Times New Roman" w:hAnsi="Times New Roman" w:eastAsia="宋体"/>
                      <w:b/>
                      <w:bCs/>
                      <w:caps w:val="0"/>
                      <w:color w:val="000000" w:themeColor="text1"/>
                      <w:sz w:val="21"/>
                      <w:szCs w:val="21"/>
                      <w:highlight w:val="none"/>
                      <w14:textFill>
                        <w14:solidFill>
                          <w14:schemeClr w14:val="tx1"/>
                        </w14:solidFill>
                      </w14:textFill>
                    </w:rPr>
                    <w:t>宽度m</w:t>
                  </w:r>
                </w:p>
              </w:tc>
              <w:tc>
                <w:tcPr>
                  <w:tcW w:w="373" w:type="pct"/>
                  <w:tcBorders>
                    <w:tl2br w:val="nil"/>
                    <w:tr2bl w:val="nil"/>
                  </w:tcBorders>
                  <w:noWrap/>
                  <w:tcMar>
                    <w:top w:w="15" w:type="dxa"/>
                    <w:left w:w="15" w:type="dxa"/>
                    <w:right w:w="15" w:type="dxa"/>
                  </w:tcMar>
                  <w:vAlign w:val="center"/>
                </w:tcPr>
                <w:p w14:paraId="12719AE0">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与正北方向夹角/°</w:t>
                  </w:r>
                </w:p>
              </w:tc>
              <w:tc>
                <w:tcPr>
                  <w:tcW w:w="386" w:type="pct"/>
                  <w:tcBorders>
                    <w:tl2br w:val="nil"/>
                    <w:tr2bl w:val="nil"/>
                  </w:tcBorders>
                  <w:noWrap/>
                  <w:tcMar>
                    <w:top w:w="15" w:type="dxa"/>
                    <w:left w:w="15" w:type="dxa"/>
                    <w:right w:w="15" w:type="dxa"/>
                  </w:tcMar>
                  <w:vAlign w:val="center"/>
                </w:tcPr>
                <w:p w14:paraId="6B5021DF">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面源有效排放高度m</w:t>
                  </w:r>
                </w:p>
              </w:tc>
              <w:tc>
                <w:tcPr>
                  <w:tcW w:w="287" w:type="pct"/>
                  <w:tcBorders>
                    <w:tl2br w:val="nil"/>
                    <w:tr2bl w:val="nil"/>
                  </w:tcBorders>
                  <w:noWrap/>
                  <w:tcMar>
                    <w:top w:w="15" w:type="dxa"/>
                    <w:left w:w="15" w:type="dxa"/>
                    <w:right w:w="15" w:type="dxa"/>
                  </w:tcMar>
                  <w:vAlign w:val="center"/>
                </w:tcPr>
                <w:p w14:paraId="02A7BD15">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年排放小时h</w:t>
                  </w:r>
                </w:p>
              </w:tc>
              <w:tc>
                <w:tcPr>
                  <w:tcW w:w="186" w:type="pct"/>
                  <w:tcBorders>
                    <w:tl2br w:val="nil"/>
                    <w:tr2bl w:val="nil"/>
                  </w:tcBorders>
                  <w:noWrap/>
                  <w:tcMar>
                    <w:top w:w="15" w:type="dxa"/>
                    <w:left w:w="15" w:type="dxa"/>
                    <w:right w:w="15" w:type="dxa"/>
                  </w:tcMar>
                  <w:vAlign w:val="center"/>
                </w:tcPr>
                <w:p w14:paraId="7C704DB9">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排放工况</w:t>
                  </w:r>
                </w:p>
              </w:tc>
              <w:tc>
                <w:tcPr>
                  <w:tcW w:w="486" w:type="pct"/>
                  <w:tcBorders>
                    <w:tl2br w:val="nil"/>
                    <w:tr2bl w:val="nil"/>
                  </w:tcBorders>
                  <w:noWrap/>
                  <w:tcMar>
                    <w:top w:w="15" w:type="dxa"/>
                    <w:left w:w="15" w:type="dxa"/>
                    <w:right w:w="15" w:type="dxa"/>
                  </w:tcMar>
                  <w:vAlign w:val="center"/>
                </w:tcPr>
                <w:p w14:paraId="30777C21">
                  <w:pPr>
                    <w:pStyle w:val="96"/>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排放量t/a</w:t>
                  </w:r>
                </w:p>
              </w:tc>
              <w:tc>
                <w:tcPr>
                  <w:tcW w:w="277" w:type="pct"/>
                  <w:tcBorders>
                    <w:tl2br w:val="nil"/>
                    <w:tr2bl w:val="nil"/>
                  </w:tcBorders>
                  <w:noWrap w:val="0"/>
                  <w:tcMar>
                    <w:top w:w="15" w:type="dxa"/>
                    <w:left w:w="15" w:type="dxa"/>
                    <w:right w:w="15" w:type="dxa"/>
                  </w:tcMar>
                  <w:vAlign w:val="center"/>
                </w:tcPr>
                <w:p w14:paraId="2D2214E0">
                  <w:pPr>
                    <w:pStyle w:val="96"/>
                    <w:jc w:val="center"/>
                    <w:rPr>
                      <w:rFonts w:hint="default" w:ascii="Times New Roman" w:hAnsi="Times New Roman" w:eastAsia="宋体"/>
                      <w:b/>
                      <w:bCs/>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污染物</w:t>
                  </w:r>
                  <w:r>
                    <w:rPr>
                      <w:rFonts w:ascii="Times New Roman" w:hAnsi="Times New Roman" w:eastAsia="宋体"/>
                      <w:b/>
                      <w:bCs/>
                      <w:caps w:val="0"/>
                      <w:color w:val="000000" w:themeColor="text1"/>
                      <w:sz w:val="21"/>
                      <w:szCs w:val="21"/>
                      <w:highlight w:val="none"/>
                      <w14:textFill>
                        <w14:solidFill>
                          <w14:schemeClr w14:val="tx1"/>
                        </w14:solidFill>
                      </w14:textFill>
                    </w:rPr>
                    <w:t>排放速率kg/h</w:t>
                  </w:r>
                </w:p>
              </w:tc>
            </w:tr>
            <w:tr w14:paraId="7298BF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0" w:hRule="atLeast"/>
                <w:jc w:val="center"/>
              </w:trPr>
              <w:tc>
                <w:tcPr>
                  <w:tcW w:w="277" w:type="pct"/>
                  <w:tcBorders>
                    <w:tl2br w:val="nil"/>
                    <w:tr2bl w:val="nil"/>
                  </w:tcBorders>
                  <w:noWrap/>
                  <w:tcMar>
                    <w:top w:w="15" w:type="dxa"/>
                    <w:left w:w="15" w:type="dxa"/>
                    <w:right w:w="15" w:type="dxa"/>
                  </w:tcMar>
                  <w:vAlign w:val="center"/>
                </w:tcPr>
                <w:p w14:paraId="1DAD779A">
                  <w:pPr>
                    <w:pStyle w:val="96"/>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w:t>
                  </w:r>
                </w:p>
              </w:tc>
              <w:tc>
                <w:tcPr>
                  <w:tcW w:w="394" w:type="pct"/>
                  <w:vMerge w:val="restart"/>
                  <w:tcBorders>
                    <w:tl2br w:val="nil"/>
                    <w:tr2bl w:val="nil"/>
                  </w:tcBorders>
                  <w:noWrap/>
                  <w:tcMar>
                    <w:top w:w="15" w:type="dxa"/>
                    <w:left w:w="15" w:type="dxa"/>
                    <w:right w:w="15" w:type="dxa"/>
                  </w:tcMar>
                  <w:vAlign w:val="center"/>
                </w:tcPr>
                <w:p w14:paraId="6938CF98">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生产车间</w:t>
                  </w:r>
                </w:p>
              </w:tc>
              <w:tc>
                <w:tcPr>
                  <w:tcW w:w="426" w:type="pct"/>
                  <w:vMerge w:val="restart"/>
                  <w:tcBorders>
                    <w:tl2br w:val="nil"/>
                    <w:tr2bl w:val="nil"/>
                  </w:tcBorders>
                  <w:noWrap/>
                  <w:tcMar>
                    <w:top w:w="15" w:type="dxa"/>
                    <w:left w:w="15" w:type="dxa"/>
                    <w:right w:w="15" w:type="dxa"/>
                  </w:tcMar>
                  <w:vAlign w:val="center"/>
                </w:tcPr>
                <w:p w14:paraId="12ECD6F5">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注塑</w:t>
                  </w:r>
                </w:p>
              </w:tc>
              <w:tc>
                <w:tcPr>
                  <w:tcW w:w="467" w:type="pct"/>
                  <w:tcBorders>
                    <w:tl2br w:val="nil"/>
                    <w:tr2bl w:val="nil"/>
                  </w:tcBorders>
                  <w:noWrap/>
                  <w:tcMar>
                    <w:top w:w="15" w:type="dxa"/>
                    <w:left w:w="15" w:type="dxa"/>
                    <w:right w:w="15" w:type="dxa"/>
                  </w:tcMar>
                  <w:vAlign w:val="center"/>
                </w:tcPr>
                <w:p w14:paraId="2917C441">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非甲烷总烃</w:t>
                  </w:r>
                </w:p>
              </w:tc>
              <w:tc>
                <w:tcPr>
                  <w:tcW w:w="300" w:type="pct"/>
                  <w:vMerge w:val="restart"/>
                  <w:tcBorders>
                    <w:tl2br w:val="nil"/>
                    <w:tr2bl w:val="nil"/>
                  </w:tcBorders>
                  <w:noWrap/>
                  <w:tcMar>
                    <w:top w:w="15" w:type="dxa"/>
                    <w:left w:w="15" w:type="dxa"/>
                    <w:right w:w="15" w:type="dxa"/>
                  </w:tcMar>
                  <w:vAlign w:val="center"/>
                </w:tcPr>
                <w:p w14:paraId="570753E0">
                  <w:pPr>
                    <w:pStyle w:val="96"/>
                    <w:ind w:firstLine="0" w:firstLineChars="0"/>
                    <w:jc w:val="center"/>
                    <w:rPr>
                      <w:rFonts w:hint="eastAsia" w:ascii="Times New Roman" w:hAnsi="Times New Roman" w:eastAsia="宋体" w:cs="Times New Roman"/>
                      <w:caps w:val="0"/>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w:t>
                  </w:r>
                </w:p>
              </w:tc>
              <w:tc>
                <w:tcPr>
                  <w:tcW w:w="267" w:type="pct"/>
                  <w:vMerge w:val="restart"/>
                  <w:tcBorders>
                    <w:tl2br w:val="nil"/>
                    <w:tr2bl w:val="nil"/>
                  </w:tcBorders>
                  <w:noWrap/>
                  <w:tcMar>
                    <w:top w:w="15" w:type="dxa"/>
                    <w:left w:w="15" w:type="dxa"/>
                    <w:right w:w="15" w:type="dxa"/>
                  </w:tcMar>
                  <w:vAlign w:val="center"/>
                </w:tcPr>
                <w:p w14:paraId="48EB676E">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300" w:type="pct"/>
                  <w:vMerge w:val="restart"/>
                  <w:tcBorders>
                    <w:tl2br w:val="nil"/>
                    <w:tr2bl w:val="nil"/>
                  </w:tcBorders>
                  <w:noWrap/>
                  <w:tcMar>
                    <w:top w:w="15" w:type="dxa"/>
                    <w:left w:w="15" w:type="dxa"/>
                    <w:right w:w="15" w:type="dxa"/>
                  </w:tcMar>
                  <w:vAlign w:val="center"/>
                </w:tcPr>
                <w:p w14:paraId="64BDAFFE">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8</w:t>
                  </w:r>
                </w:p>
              </w:tc>
              <w:tc>
                <w:tcPr>
                  <w:tcW w:w="293" w:type="pct"/>
                  <w:vMerge w:val="restart"/>
                  <w:tcBorders>
                    <w:tl2br w:val="nil"/>
                    <w:tr2bl w:val="nil"/>
                  </w:tcBorders>
                  <w:noWrap/>
                  <w:tcMar>
                    <w:top w:w="15" w:type="dxa"/>
                    <w:left w:w="15" w:type="dxa"/>
                    <w:right w:w="15" w:type="dxa"/>
                  </w:tcMar>
                  <w:vAlign w:val="center"/>
                </w:tcPr>
                <w:p w14:paraId="6E07B762">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60</w:t>
                  </w:r>
                </w:p>
              </w:tc>
              <w:tc>
                <w:tcPr>
                  <w:tcW w:w="273" w:type="pct"/>
                  <w:vMerge w:val="restart"/>
                  <w:tcBorders>
                    <w:tl2br w:val="nil"/>
                    <w:tr2bl w:val="nil"/>
                  </w:tcBorders>
                  <w:noWrap/>
                  <w:tcMar>
                    <w:top w:w="15" w:type="dxa"/>
                    <w:left w:w="15" w:type="dxa"/>
                    <w:right w:w="15" w:type="dxa"/>
                  </w:tcMar>
                  <w:vAlign w:val="center"/>
                </w:tcPr>
                <w:p w14:paraId="030BD3EC">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40</w:t>
                  </w:r>
                </w:p>
              </w:tc>
              <w:tc>
                <w:tcPr>
                  <w:tcW w:w="373" w:type="pct"/>
                  <w:vMerge w:val="restart"/>
                  <w:tcBorders>
                    <w:tl2br w:val="nil"/>
                    <w:tr2bl w:val="nil"/>
                  </w:tcBorders>
                  <w:noWrap/>
                  <w:tcMar>
                    <w:top w:w="15" w:type="dxa"/>
                    <w:left w:w="15" w:type="dxa"/>
                    <w:right w:w="15" w:type="dxa"/>
                  </w:tcMar>
                  <w:vAlign w:val="center"/>
                </w:tcPr>
                <w:p w14:paraId="5785A9E0">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15</w:t>
                  </w:r>
                </w:p>
              </w:tc>
              <w:tc>
                <w:tcPr>
                  <w:tcW w:w="386" w:type="pct"/>
                  <w:vMerge w:val="restart"/>
                  <w:tcBorders>
                    <w:tl2br w:val="nil"/>
                    <w:tr2bl w:val="nil"/>
                  </w:tcBorders>
                  <w:noWrap/>
                  <w:tcMar>
                    <w:top w:w="15" w:type="dxa"/>
                    <w:left w:w="15" w:type="dxa"/>
                    <w:right w:w="15" w:type="dxa"/>
                  </w:tcMar>
                  <w:vAlign w:val="center"/>
                </w:tcPr>
                <w:p w14:paraId="61C43617">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8</w:t>
                  </w:r>
                </w:p>
              </w:tc>
              <w:tc>
                <w:tcPr>
                  <w:tcW w:w="287" w:type="pct"/>
                  <w:tcBorders>
                    <w:tl2br w:val="nil"/>
                    <w:tr2bl w:val="nil"/>
                  </w:tcBorders>
                  <w:noWrap/>
                  <w:tcMar>
                    <w:top w:w="15" w:type="dxa"/>
                    <w:left w:w="15" w:type="dxa"/>
                    <w:right w:w="15" w:type="dxa"/>
                  </w:tcMar>
                  <w:vAlign w:val="center"/>
                </w:tcPr>
                <w:p w14:paraId="611BB2EF">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40</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w:t>
                  </w:r>
                </w:p>
              </w:tc>
              <w:tc>
                <w:tcPr>
                  <w:tcW w:w="186" w:type="pct"/>
                  <w:tcBorders>
                    <w:tl2br w:val="nil"/>
                    <w:tr2bl w:val="nil"/>
                  </w:tcBorders>
                  <w:noWrap/>
                  <w:tcMar>
                    <w:top w:w="15" w:type="dxa"/>
                    <w:left w:w="15" w:type="dxa"/>
                    <w:right w:w="15" w:type="dxa"/>
                  </w:tcMar>
                  <w:vAlign w:val="center"/>
                </w:tcPr>
                <w:p w14:paraId="3C978439">
                  <w:pPr>
                    <w:pStyle w:val="96"/>
                    <w:jc w:val="center"/>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正常</w:t>
                  </w:r>
                </w:p>
              </w:tc>
              <w:tc>
                <w:tcPr>
                  <w:tcW w:w="486" w:type="pct"/>
                  <w:tcBorders>
                    <w:tl2br w:val="nil"/>
                    <w:tr2bl w:val="nil"/>
                  </w:tcBorders>
                  <w:noWrap/>
                  <w:tcMar>
                    <w:top w:w="15" w:type="dxa"/>
                    <w:left w:w="15" w:type="dxa"/>
                    <w:right w:w="15" w:type="dxa"/>
                  </w:tcMar>
                  <w:vAlign w:val="center"/>
                </w:tcPr>
                <w:p w14:paraId="5D772E2C">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0.027</w:t>
                  </w:r>
                </w:p>
              </w:tc>
              <w:tc>
                <w:tcPr>
                  <w:tcW w:w="277" w:type="pct"/>
                  <w:tcBorders>
                    <w:tl2br w:val="nil"/>
                    <w:tr2bl w:val="nil"/>
                  </w:tcBorders>
                  <w:noWrap/>
                  <w:tcMar>
                    <w:top w:w="15" w:type="dxa"/>
                    <w:left w:w="15" w:type="dxa"/>
                    <w:right w:w="15" w:type="dxa"/>
                  </w:tcMar>
                  <w:vAlign w:val="center"/>
                </w:tcPr>
                <w:p w14:paraId="57BB67D1">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0.0068</w:t>
                  </w:r>
                </w:p>
              </w:tc>
            </w:tr>
            <w:tr w14:paraId="664487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8" w:hRule="atLeast"/>
                <w:jc w:val="center"/>
              </w:trPr>
              <w:tc>
                <w:tcPr>
                  <w:tcW w:w="277" w:type="pct"/>
                  <w:tcBorders>
                    <w:tl2br w:val="nil"/>
                    <w:tr2bl w:val="nil"/>
                  </w:tcBorders>
                  <w:noWrap/>
                  <w:tcMar>
                    <w:top w:w="15" w:type="dxa"/>
                    <w:left w:w="15" w:type="dxa"/>
                    <w:right w:w="15" w:type="dxa"/>
                  </w:tcMar>
                  <w:vAlign w:val="center"/>
                </w:tcPr>
                <w:p w14:paraId="31AED971">
                  <w:pPr>
                    <w:pStyle w:val="96"/>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w:t>
                  </w:r>
                </w:p>
              </w:tc>
              <w:tc>
                <w:tcPr>
                  <w:tcW w:w="394" w:type="pct"/>
                  <w:vMerge w:val="continue"/>
                  <w:tcBorders>
                    <w:tl2br w:val="nil"/>
                    <w:tr2bl w:val="nil"/>
                  </w:tcBorders>
                  <w:noWrap/>
                  <w:tcMar>
                    <w:top w:w="15" w:type="dxa"/>
                    <w:left w:w="15" w:type="dxa"/>
                    <w:right w:w="15" w:type="dxa"/>
                  </w:tcMar>
                  <w:vAlign w:val="center"/>
                </w:tcPr>
                <w:p w14:paraId="29867AD3">
                  <w:pPr>
                    <w:pStyle w:val="96"/>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426" w:type="pct"/>
                  <w:vMerge w:val="continue"/>
                  <w:tcBorders>
                    <w:tl2br w:val="nil"/>
                    <w:tr2bl w:val="nil"/>
                  </w:tcBorders>
                  <w:noWrap/>
                  <w:tcMar>
                    <w:top w:w="15" w:type="dxa"/>
                    <w:left w:w="15" w:type="dxa"/>
                    <w:right w:w="15" w:type="dxa"/>
                  </w:tcMar>
                  <w:vAlign w:val="center"/>
                </w:tcPr>
                <w:p w14:paraId="1240611C">
                  <w:pPr>
                    <w:pStyle w:val="96"/>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467" w:type="pct"/>
                  <w:tcBorders>
                    <w:tl2br w:val="nil"/>
                    <w:tr2bl w:val="nil"/>
                  </w:tcBorders>
                  <w:noWrap/>
                  <w:tcMar>
                    <w:top w:w="15" w:type="dxa"/>
                    <w:left w:w="15" w:type="dxa"/>
                    <w:right w:w="15" w:type="dxa"/>
                  </w:tcMar>
                  <w:vAlign w:val="center"/>
                </w:tcPr>
                <w:p w14:paraId="35E16BAA">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氨</w:t>
                  </w:r>
                </w:p>
              </w:tc>
              <w:tc>
                <w:tcPr>
                  <w:tcW w:w="300" w:type="pct"/>
                  <w:vMerge w:val="continue"/>
                  <w:tcBorders>
                    <w:tl2br w:val="nil"/>
                    <w:tr2bl w:val="nil"/>
                  </w:tcBorders>
                  <w:noWrap/>
                  <w:tcMar>
                    <w:top w:w="15" w:type="dxa"/>
                    <w:left w:w="15" w:type="dxa"/>
                    <w:right w:w="15" w:type="dxa"/>
                  </w:tcMar>
                  <w:vAlign w:val="center"/>
                </w:tcPr>
                <w:p w14:paraId="4E1399A2">
                  <w:pPr>
                    <w:pStyle w:val="96"/>
                    <w:ind w:firstLine="0" w:firstLineChars="0"/>
                    <w:jc w:val="center"/>
                    <w:rPr>
                      <w:rFonts w:hint="eastAsia" w:ascii="Times New Roman" w:hAnsi="Times New Roman" w:eastAsia="宋体"/>
                      <w:caps w:val="0"/>
                      <w:color w:val="000000" w:themeColor="text1"/>
                      <w:sz w:val="21"/>
                      <w:szCs w:val="21"/>
                      <w:highlight w:val="none"/>
                      <w14:textFill>
                        <w14:solidFill>
                          <w14:schemeClr w14:val="tx1"/>
                        </w14:solidFill>
                      </w14:textFill>
                    </w:rPr>
                  </w:pPr>
                </w:p>
              </w:tc>
              <w:tc>
                <w:tcPr>
                  <w:tcW w:w="267" w:type="pct"/>
                  <w:vMerge w:val="continue"/>
                  <w:tcBorders>
                    <w:tl2br w:val="nil"/>
                    <w:tr2bl w:val="nil"/>
                  </w:tcBorders>
                  <w:noWrap/>
                  <w:tcMar>
                    <w:top w:w="15" w:type="dxa"/>
                    <w:left w:w="15" w:type="dxa"/>
                    <w:right w:w="15" w:type="dxa"/>
                  </w:tcMar>
                  <w:vAlign w:val="center"/>
                </w:tcPr>
                <w:p w14:paraId="073C5A48">
                  <w:pPr>
                    <w:pStyle w:val="96"/>
                    <w:jc w:val="center"/>
                    <w:rPr>
                      <w:rFonts w:hint="eastAsia" w:ascii="Times New Roman" w:hAnsi="Times New Roman" w:eastAsia="宋体"/>
                      <w:caps w:val="0"/>
                      <w:color w:val="000000" w:themeColor="text1"/>
                      <w:sz w:val="21"/>
                      <w:szCs w:val="21"/>
                      <w:highlight w:val="none"/>
                      <w14:textFill>
                        <w14:solidFill>
                          <w14:schemeClr w14:val="tx1"/>
                        </w14:solidFill>
                      </w14:textFill>
                    </w:rPr>
                  </w:pPr>
                </w:p>
              </w:tc>
              <w:tc>
                <w:tcPr>
                  <w:tcW w:w="300" w:type="pct"/>
                  <w:vMerge w:val="continue"/>
                  <w:tcBorders>
                    <w:tl2br w:val="nil"/>
                    <w:tr2bl w:val="nil"/>
                  </w:tcBorders>
                  <w:noWrap/>
                  <w:tcMar>
                    <w:top w:w="15" w:type="dxa"/>
                    <w:left w:w="15" w:type="dxa"/>
                    <w:right w:w="15" w:type="dxa"/>
                  </w:tcMar>
                  <w:vAlign w:val="center"/>
                </w:tcPr>
                <w:p w14:paraId="30603E08">
                  <w:pPr>
                    <w:pStyle w:val="96"/>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293" w:type="pct"/>
                  <w:vMerge w:val="continue"/>
                  <w:tcBorders>
                    <w:tl2br w:val="nil"/>
                    <w:tr2bl w:val="nil"/>
                  </w:tcBorders>
                  <w:noWrap/>
                  <w:tcMar>
                    <w:top w:w="15" w:type="dxa"/>
                    <w:left w:w="15" w:type="dxa"/>
                    <w:right w:w="15" w:type="dxa"/>
                  </w:tcMar>
                  <w:vAlign w:val="center"/>
                </w:tcPr>
                <w:p w14:paraId="3DC77C1C">
                  <w:pPr>
                    <w:pStyle w:val="96"/>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273" w:type="pct"/>
                  <w:vMerge w:val="continue"/>
                  <w:tcBorders>
                    <w:tl2br w:val="nil"/>
                    <w:tr2bl w:val="nil"/>
                  </w:tcBorders>
                  <w:noWrap/>
                  <w:tcMar>
                    <w:top w:w="15" w:type="dxa"/>
                    <w:left w:w="15" w:type="dxa"/>
                    <w:right w:w="15" w:type="dxa"/>
                  </w:tcMar>
                  <w:vAlign w:val="center"/>
                </w:tcPr>
                <w:p w14:paraId="72B52777">
                  <w:pPr>
                    <w:pStyle w:val="96"/>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373" w:type="pct"/>
                  <w:vMerge w:val="continue"/>
                  <w:tcBorders>
                    <w:tl2br w:val="nil"/>
                    <w:tr2bl w:val="nil"/>
                  </w:tcBorders>
                  <w:noWrap/>
                  <w:tcMar>
                    <w:top w:w="15" w:type="dxa"/>
                    <w:left w:w="15" w:type="dxa"/>
                    <w:right w:w="15" w:type="dxa"/>
                  </w:tcMar>
                  <w:vAlign w:val="center"/>
                </w:tcPr>
                <w:p w14:paraId="2598D234">
                  <w:pPr>
                    <w:pStyle w:val="96"/>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386" w:type="pct"/>
                  <w:vMerge w:val="continue"/>
                  <w:tcBorders>
                    <w:tl2br w:val="nil"/>
                    <w:tr2bl w:val="nil"/>
                  </w:tcBorders>
                  <w:noWrap/>
                  <w:tcMar>
                    <w:top w:w="15" w:type="dxa"/>
                    <w:left w:w="15" w:type="dxa"/>
                    <w:right w:w="15" w:type="dxa"/>
                  </w:tcMar>
                  <w:vAlign w:val="center"/>
                </w:tcPr>
                <w:p w14:paraId="170E1CFC">
                  <w:pPr>
                    <w:pStyle w:val="96"/>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287" w:type="pct"/>
                  <w:tcBorders>
                    <w:tl2br w:val="nil"/>
                    <w:tr2bl w:val="nil"/>
                  </w:tcBorders>
                  <w:noWrap/>
                  <w:tcMar>
                    <w:top w:w="15" w:type="dxa"/>
                    <w:left w:w="15" w:type="dxa"/>
                    <w:right w:w="15" w:type="dxa"/>
                  </w:tcMar>
                  <w:vAlign w:val="center"/>
                </w:tcPr>
                <w:p w14:paraId="168B7A73">
                  <w:pPr>
                    <w:pStyle w:val="96"/>
                    <w:ind w:firstLine="0" w:firstLineChars="0"/>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40</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w:t>
                  </w:r>
                </w:p>
              </w:tc>
              <w:tc>
                <w:tcPr>
                  <w:tcW w:w="186" w:type="pct"/>
                  <w:tcBorders>
                    <w:tl2br w:val="nil"/>
                    <w:tr2bl w:val="nil"/>
                  </w:tcBorders>
                  <w:noWrap/>
                  <w:tcMar>
                    <w:top w:w="15" w:type="dxa"/>
                    <w:left w:w="15" w:type="dxa"/>
                    <w:right w:w="15" w:type="dxa"/>
                  </w:tcMar>
                  <w:vAlign w:val="center"/>
                </w:tcPr>
                <w:p w14:paraId="2B938A68">
                  <w:pPr>
                    <w:pStyle w:val="96"/>
                    <w:ind w:firstLine="0" w:firstLineChars="0"/>
                    <w:jc w:val="center"/>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正常</w:t>
                  </w:r>
                </w:p>
              </w:tc>
              <w:tc>
                <w:tcPr>
                  <w:tcW w:w="486" w:type="pct"/>
                  <w:tcBorders>
                    <w:tl2br w:val="nil"/>
                    <w:tr2bl w:val="nil"/>
                  </w:tcBorders>
                  <w:noWrap/>
                  <w:tcMar>
                    <w:top w:w="15" w:type="dxa"/>
                    <w:left w:w="15" w:type="dxa"/>
                    <w:right w:w="15" w:type="dxa"/>
                  </w:tcMar>
                  <w:vAlign w:val="center"/>
                </w:tcPr>
                <w:p w14:paraId="59B5897C">
                  <w:pPr>
                    <w:keepNext w:val="0"/>
                    <w:keepLines w:val="0"/>
                    <w:widowControl/>
                    <w:suppressLineNumbers w:val="0"/>
                    <w:jc w:val="center"/>
                    <w:textAlignment w:val="center"/>
                    <w:rPr>
                      <w:rFonts w:hint="default" w:ascii="Times New Roman" w:hAnsi="Times New Roman" w:eastAsia="宋体" w:cs="宋体"/>
                      <w:i w:val="0"/>
                      <w:iCs w:val="0"/>
                      <w:caps w:val="0"/>
                      <w:color w:val="000000" w:themeColor="text1"/>
                      <w:kern w:val="0"/>
                      <w:sz w:val="21"/>
                      <w:szCs w:val="21"/>
                      <w:highlight w:val="none"/>
                      <w:u w:val="none"/>
                      <w:lang w:val="en-US" w:eastAsia="zh-CN" w:bidi="ar"/>
                      <w14:textFill>
                        <w14:solidFill>
                          <w14:schemeClr w14:val="tx1"/>
                        </w14:solidFill>
                      </w14:textFill>
                    </w:rPr>
                  </w:pPr>
                  <w:r>
                    <w:rPr>
                      <w:rFonts w:hint="eastAsia" w:cs="宋体"/>
                      <w:i w:val="0"/>
                      <w:iCs w:val="0"/>
                      <w:caps w:val="0"/>
                      <w:color w:val="000000" w:themeColor="text1"/>
                      <w:kern w:val="0"/>
                      <w:sz w:val="21"/>
                      <w:szCs w:val="21"/>
                      <w:highlight w:val="none"/>
                      <w:u w:val="none"/>
                      <w:lang w:val="en-US" w:eastAsia="zh-CN" w:bidi="ar"/>
                      <w14:textFill>
                        <w14:solidFill>
                          <w14:schemeClr w14:val="tx1"/>
                        </w14:solidFill>
                      </w14:textFill>
                    </w:rPr>
                    <w:t>0.003</w:t>
                  </w:r>
                </w:p>
              </w:tc>
              <w:tc>
                <w:tcPr>
                  <w:tcW w:w="277" w:type="pct"/>
                  <w:tcBorders>
                    <w:tl2br w:val="nil"/>
                    <w:tr2bl w:val="nil"/>
                  </w:tcBorders>
                  <w:noWrap/>
                  <w:tcMar>
                    <w:top w:w="15" w:type="dxa"/>
                    <w:left w:w="15" w:type="dxa"/>
                    <w:right w:w="15" w:type="dxa"/>
                  </w:tcMar>
                  <w:vAlign w:val="center"/>
                </w:tcPr>
                <w:p w14:paraId="39E530A2">
                  <w:pPr>
                    <w:keepNext w:val="0"/>
                    <w:keepLines w:val="0"/>
                    <w:widowControl/>
                    <w:suppressLineNumbers w:val="0"/>
                    <w:jc w:val="center"/>
                    <w:textAlignment w:val="center"/>
                    <w:rPr>
                      <w:rFonts w:hint="default" w:ascii="Times New Roman" w:hAnsi="Times New Roman" w:eastAsia="宋体" w:cs="宋体"/>
                      <w:i w:val="0"/>
                      <w:iCs w:val="0"/>
                      <w:caps w:val="0"/>
                      <w:color w:val="000000" w:themeColor="text1"/>
                      <w:kern w:val="0"/>
                      <w:sz w:val="21"/>
                      <w:szCs w:val="21"/>
                      <w:highlight w:val="none"/>
                      <w:u w:val="none"/>
                      <w:lang w:val="en-US" w:eastAsia="zh-CN" w:bidi="ar"/>
                      <w14:textFill>
                        <w14:solidFill>
                          <w14:schemeClr w14:val="tx1"/>
                        </w14:solidFill>
                      </w14:textFill>
                    </w:rPr>
                  </w:pPr>
                  <w:r>
                    <w:rPr>
                      <w:rFonts w:hint="eastAsia" w:cs="宋体"/>
                      <w:i w:val="0"/>
                      <w:iCs w:val="0"/>
                      <w:caps w:val="0"/>
                      <w:color w:val="000000" w:themeColor="text1"/>
                      <w:kern w:val="0"/>
                      <w:sz w:val="21"/>
                      <w:szCs w:val="21"/>
                      <w:highlight w:val="none"/>
                      <w:u w:val="none"/>
                      <w:lang w:val="en-US" w:eastAsia="zh-CN" w:bidi="ar"/>
                      <w14:textFill>
                        <w14:solidFill>
                          <w14:schemeClr w14:val="tx1"/>
                        </w14:solidFill>
                      </w14:textFill>
                    </w:rPr>
                    <w:t>0.0008</w:t>
                  </w:r>
                </w:p>
              </w:tc>
            </w:tr>
            <w:tr w14:paraId="0F0492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8" w:hRule="atLeast"/>
                <w:jc w:val="center"/>
              </w:trPr>
              <w:tc>
                <w:tcPr>
                  <w:tcW w:w="277" w:type="pct"/>
                  <w:tcBorders>
                    <w:tl2br w:val="nil"/>
                    <w:tr2bl w:val="nil"/>
                  </w:tcBorders>
                  <w:noWrap/>
                  <w:tcMar>
                    <w:top w:w="15" w:type="dxa"/>
                    <w:left w:w="15" w:type="dxa"/>
                    <w:right w:w="15" w:type="dxa"/>
                  </w:tcMar>
                  <w:vAlign w:val="center"/>
                </w:tcPr>
                <w:p w14:paraId="64C7163C">
                  <w:pPr>
                    <w:pStyle w:val="96"/>
                    <w:jc w:val="center"/>
                  </w:pPr>
                  <w:r>
                    <w:rPr>
                      <w:rFonts w:hint="eastAsia"/>
                      <w:caps w:val="0"/>
                      <w:color w:val="000000" w:themeColor="text1"/>
                      <w:sz w:val="21"/>
                      <w:szCs w:val="21"/>
                      <w:highlight w:val="none"/>
                      <w:lang w:val="en-US" w:eastAsia="zh-CN"/>
                      <w14:textFill>
                        <w14:solidFill>
                          <w14:schemeClr w14:val="tx1"/>
                        </w14:solidFill>
                      </w14:textFill>
                    </w:rPr>
                    <w:t>3</w:t>
                  </w:r>
                </w:p>
              </w:tc>
              <w:tc>
                <w:tcPr>
                  <w:tcW w:w="394" w:type="pct"/>
                  <w:vMerge w:val="continue"/>
                  <w:tcBorders>
                    <w:tl2br w:val="nil"/>
                    <w:tr2bl w:val="nil"/>
                  </w:tcBorders>
                  <w:noWrap/>
                  <w:tcMar>
                    <w:top w:w="15" w:type="dxa"/>
                    <w:left w:w="15" w:type="dxa"/>
                    <w:right w:w="15" w:type="dxa"/>
                  </w:tcMar>
                  <w:vAlign w:val="center"/>
                </w:tcPr>
                <w:p w14:paraId="29037173">
                  <w:pPr>
                    <w:pStyle w:val="96"/>
                    <w:jc w:val="center"/>
                  </w:pPr>
                </w:p>
              </w:tc>
              <w:tc>
                <w:tcPr>
                  <w:tcW w:w="426" w:type="pct"/>
                  <w:vMerge w:val="continue"/>
                  <w:tcBorders>
                    <w:tl2br w:val="nil"/>
                    <w:tr2bl w:val="nil"/>
                  </w:tcBorders>
                  <w:noWrap/>
                  <w:tcMar>
                    <w:top w:w="15" w:type="dxa"/>
                    <w:left w:w="15" w:type="dxa"/>
                    <w:right w:w="15" w:type="dxa"/>
                  </w:tcMar>
                  <w:vAlign w:val="center"/>
                </w:tcPr>
                <w:p w14:paraId="29231821">
                  <w:pPr>
                    <w:pStyle w:val="96"/>
                    <w:jc w:val="center"/>
                  </w:pPr>
                </w:p>
              </w:tc>
              <w:tc>
                <w:tcPr>
                  <w:tcW w:w="467" w:type="pct"/>
                  <w:tcBorders>
                    <w:tl2br w:val="nil"/>
                    <w:tr2bl w:val="nil"/>
                  </w:tcBorders>
                  <w:noWrap/>
                  <w:tcMar>
                    <w:top w:w="15" w:type="dxa"/>
                    <w:left w:w="15" w:type="dxa"/>
                    <w:right w:w="15" w:type="dxa"/>
                  </w:tcMar>
                  <w:vAlign w:val="center"/>
                </w:tcPr>
                <w:p w14:paraId="3BF342BA">
                  <w:pPr>
                    <w:pStyle w:val="96"/>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臭气浓度</w:t>
                  </w:r>
                </w:p>
              </w:tc>
              <w:tc>
                <w:tcPr>
                  <w:tcW w:w="300" w:type="pct"/>
                  <w:vMerge w:val="continue"/>
                  <w:tcBorders>
                    <w:tl2br w:val="nil"/>
                    <w:tr2bl w:val="nil"/>
                  </w:tcBorders>
                  <w:noWrap/>
                  <w:tcMar>
                    <w:top w:w="15" w:type="dxa"/>
                    <w:left w:w="15" w:type="dxa"/>
                    <w:right w:w="15" w:type="dxa"/>
                  </w:tcMar>
                  <w:vAlign w:val="center"/>
                </w:tcPr>
                <w:p w14:paraId="14859156">
                  <w:pPr>
                    <w:pStyle w:val="96"/>
                    <w:jc w:val="center"/>
                    <w:rPr>
                      <w:rFonts w:hint="eastAsia"/>
                      <w:caps w:val="0"/>
                      <w:color w:val="000000" w:themeColor="text1"/>
                      <w:sz w:val="21"/>
                      <w:szCs w:val="21"/>
                      <w:highlight w:val="none"/>
                      <w:lang w:val="en-US" w:eastAsia="zh-CN"/>
                      <w14:textFill>
                        <w14:solidFill>
                          <w14:schemeClr w14:val="tx1"/>
                        </w14:solidFill>
                      </w14:textFill>
                    </w:rPr>
                  </w:pPr>
                </w:p>
              </w:tc>
              <w:tc>
                <w:tcPr>
                  <w:tcW w:w="267" w:type="pct"/>
                  <w:vMerge w:val="continue"/>
                  <w:tcBorders>
                    <w:tl2br w:val="nil"/>
                    <w:tr2bl w:val="nil"/>
                  </w:tcBorders>
                  <w:noWrap/>
                  <w:tcMar>
                    <w:top w:w="15" w:type="dxa"/>
                    <w:left w:w="15" w:type="dxa"/>
                    <w:right w:w="15" w:type="dxa"/>
                  </w:tcMar>
                  <w:vAlign w:val="center"/>
                </w:tcPr>
                <w:p w14:paraId="411E33C0">
                  <w:pPr>
                    <w:pStyle w:val="96"/>
                    <w:jc w:val="center"/>
                    <w:rPr>
                      <w:rFonts w:hint="eastAsia"/>
                      <w:caps w:val="0"/>
                      <w:color w:val="000000" w:themeColor="text1"/>
                      <w:sz w:val="21"/>
                      <w:szCs w:val="21"/>
                      <w:highlight w:val="none"/>
                      <w:lang w:val="en-US" w:eastAsia="zh-CN"/>
                      <w14:textFill>
                        <w14:solidFill>
                          <w14:schemeClr w14:val="tx1"/>
                        </w14:solidFill>
                      </w14:textFill>
                    </w:rPr>
                  </w:pPr>
                </w:p>
              </w:tc>
              <w:tc>
                <w:tcPr>
                  <w:tcW w:w="300" w:type="pct"/>
                  <w:vMerge w:val="continue"/>
                  <w:tcBorders>
                    <w:tl2br w:val="nil"/>
                    <w:tr2bl w:val="nil"/>
                  </w:tcBorders>
                  <w:noWrap/>
                  <w:tcMar>
                    <w:top w:w="15" w:type="dxa"/>
                    <w:left w:w="15" w:type="dxa"/>
                    <w:right w:w="15" w:type="dxa"/>
                  </w:tcMar>
                  <w:vAlign w:val="center"/>
                </w:tcPr>
                <w:p w14:paraId="3943F694">
                  <w:pPr>
                    <w:pStyle w:val="96"/>
                    <w:jc w:val="center"/>
                    <w:rPr>
                      <w:rFonts w:hint="eastAsia"/>
                      <w:caps w:val="0"/>
                      <w:color w:val="000000" w:themeColor="text1"/>
                      <w:sz w:val="21"/>
                      <w:szCs w:val="21"/>
                      <w:highlight w:val="none"/>
                      <w:lang w:val="en-US" w:eastAsia="zh-CN"/>
                      <w14:textFill>
                        <w14:solidFill>
                          <w14:schemeClr w14:val="tx1"/>
                        </w14:solidFill>
                      </w14:textFill>
                    </w:rPr>
                  </w:pPr>
                </w:p>
              </w:tc>
              <w:tc>
                <w:tcPr>
                  <w:tcW w:w="293" w:type="pct"/>
                  <w:vMerge w:val="continue"/>
                  <w:tcBorders>
                    <w:tl2br w:val="nil"/>
                    <w:tr2bl w:val="nil"/>
                  </w:tcBorders>
                  <w:noWrap/>
                  <w:tcMar>
                    <w:top w:w="15" w:type="dxa"/>
                    <w:left w:w="15" w:type="dxa"/>
                    <w:right w:w="15" w:type="dxa"/>
                  </w:tcMar>
                  <w:vAlign w:val="center"/>
                </w:tcPr>
                <w:p w14:paraId="3FEA4343">
                  <w:pPr>
                    <w:pStyle w:val="96"/>
                    <w:jc w:val="center"/>
                    <w:rPr>
                      <w:rFonts w:hint="eastAsia"/>
                      <w:caps w:val="0"/>
                      <w:color w:val="000000" w:themeColor="text1"/>
                      <w:sz w:val="21"/>
                      <w:szCs w:val="21"/>
                      <w:highlight w:val="none"/>
                      <w:lang w:val="en-US" w:eastAsia="zh-CN"/>
                      <w14:textFill>
                        <w14:solidFill>
                          <w14:schemeClr w14:val="tx1"/>
                        </w14:solidFill>
                      </w14:textFill>
                    </w:rPr>
                  </w:pPr>
                </w:p>
              </w:tc>
              <w:tc>
                <w:tcPr>
                  <w:tcW w:w="273" w:type="pct"/>
                  <w:vMerge w:val="continue"/>
                  <w:tcBorders>
                    <w:tl2br w:val="nil"/>
                    <w:tr2bl w:val="nil"/>
                  </w:tcBorders>
                  <w:noWrap/>
                  <w:tcMar>
                    <w:top w:w="15" w:type="dxa"/>
                    <w:left w:w="15" w:type="dxa"/>
                    <w:right w:w="15" w:type="dxa"/>
                  </w:tcMar>
                  <w:vAlign w:val="center"/>
                </w:tcPr>
                <w:p w14:paraId="4D2621A8">
                  <w:pPr>
                    <w:pStyle w:val="96"/>
                    <w:jc w:val="center"/>
                    <w:rPr>
                      <w:rFonts w:hint="eastAsia"/>
                      <w:caps w:val="0"/>
                      <w:color w:val="000000" w:themeColor="text1"/>
                      <w:sz w:val="21"/>
                      <w:szCs w:val="21"/>
                      <w:highlight w:val="none"/>
                      <w:lang w:val="en-US" w:eastAsia="zh-CN"/>
                      <w14:textFill>
                        <w14:solidFill>
                          <w14:schemeClr w14:val="tx1"/>
                        </w14:solidFill>
                      </w14:textFill>
                    </w:rPr>
                  </w:pPr>
                </w:p>
              </w:tc>
              <w:tc>
                <w:tcPr>
                  <w:tcW w:w="373" w:type="pct"/>
                  <w:vMerge w:val="continue"/>
                  <w:tcBorders>
                    <w:tl2br w:val="nil"/>
                    <w:tr2bl w:val="nil"/>
                  </w:tcBorders>
                  <w:noWrap/>
                  <w:tcMar>
                    <w:top w:w="15" w:type="dxa"/>
                    <w:left w:w="15" w:type="dxa"/>
                    <w:right w:w="15" w:type="dxa"/>
                  </w:tcMar>
                  <w:vAlign w:val="center"/>
                </w:tcPr>
                <w:p w14:paraId="4B650623">
                  <w:pPr>
                    <w:pStyle w:val="96"/>
                    <w:jc w:val="center"/>
                    <w:rPr>
                      <w:rFonts w:hint="eastAsia"/>
                      <w:caps w:val="0"/>
                      <w:color w:val="000000" w:themeColor="text1"/>
                      <w:sz w:val="21"/>
                      <w:szCs w:val="21"/>
                      <w:highlight w:val="none"/>
                      <w:lang w:val="en-US" w:eastAsia="zh-CN"/>
                      <w14:textFill>
                        <w14:solidFill>
                          <w14:schemeClr w14:val="tx1"/>
                        </w14:solidFill>
                      </w14:textFill>
                    </w:rPr>
                  </w:pPr>
                </w:p>
              </w:tc>
              <w:tc>
                <w:tcPr>
                  <w:tcW w:w="386" w:type="pct"/>
                  <w:vMerge w:val="continue"/>
                  <w:tcBorders>
                    <w:tl2br w:val="nil"/>
                    <w:tr2bl w:val="nil"/>
                  </w:tcBorders>
                  <w:noWrap/>
                  <w:tcMar>
                    <w:top w:w="15" w:type="dxa"/>
                    <w:left w:w="15" w:type="dxa"/>
                    <w:right w:w="15" w:type="dxa"/>
                  </w:tcMar>
                  <w:vAlign w:val="center"/>
                </w:tcPr>
                <w:p w14:paraId="1A6A01D3">
                  <w:pPr>
                    <w:pStyle w:val="96"/>
                    <w:jc w:val="center"/>
                    <w:rPr>
                      <w:rFonts w:hint="eastAsia"/>
                      <w:caps w:val="0"/>
                      <w:color w:val="000000" w:themeColor="text1"/>
                      <w:sz w:val="21"/>
                      <w:szCs w:val="21"/>
                      <w:highlight w:val="none"/>
                      <w:lang w:val="en-US" w:eastAsia="zh-CN"/>
                      <w14:textFill>
                        <w14:solidFill>
                          <w14:schemeClr w14:val="tx1"/>
                        </w14:solidFill>
                      </w14:textFill>
                    </w:rPr>
                  </w:pPr>
                </w:p>
              </w:tc>
              <w:tc>
                <w:tcPr>
                  <w:tcW w:w="287" w:type="pct"/>
                  <w:tcBorders>
                    <w:tl2br w:val="nil"/>
                    <w:tr2bl w:val="nil"/>
                  </w:tcBorders>
                  <w:noWrap/>
                  <w:tcMar>
                    <w:top w:w="15" w:type="dxa"/>
                    <w:left w:w="15" w:type="dxa"/>
                    <w:right w:w="15" w:type="dxa"/>
                  </w:tcMar>
                  <w:vAlign w:val="center"/>
                </w:tcPr>
                <w:p w14:paraId="6FFA7979">
                  <w:pPr>
                    <w:pStyle w:val="96"/>
                    <w:ind w:firstLine="0" w:firstLineChars="0"/>
                    <w:jc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40</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w:t>
                  </w:r>
                </w:p>
              </w:tc>
              <w:tc>
                <w:tcPr>
                  <w:tcW w:w="186" w:type="pct"/>
                  <w:tcBorders>
                    <w:tl2br w:val="nil"/>
                    <w:tr2bl w:val="nil"/>
                  </w:tcBorders>
                  <w:noWrap/>
                  <w:tcMar>
                    <w:top w:w="15" w:type="dxa"/>
                    <w:left w:w="15" w:type="dxa"/>
                    <w:right w:w="15" w:type="dxa"/>
                  </w:tcMar>
                  <w:vAlign w:val="center"/>
                </w:tcPr>
                <w:p w14:paraId="77974CA1">
                  <w:pPr>
                    <w:pStyle w:val="96"/>
                    <w:ind w:firstLine="0" w:firstLineChars="0"/>
                    <w:jc w:val="center"/>
                    <w:rPr>
                      <w:rFonts w:hint="eastAsia"/>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正常</w:t>
                  </w:r>
                </w:p>
              </w:tc>
              <w:tc>
                <w:tcPr>
                  <w:tcW w:w="486" w:type="pct"/>
                  <w:tcBorders>
                    <w:tl2br w:val="nil"/>
                    <w:tr2bl w:val="nil"/>
                  </w:tcBorders>
                  <w:noWrap/>
                  <w:tcMar>
                    <w:top w:w="15" w:type="dxa"/>
                    <w:left w:w="15" w:type="dxa"/>
                    <w:right w:w="15" w:type="dxa"/>
                  </w:tcMar>
                  <w:vAlign w:val="center"/>
                </w:tcPr>
                <w:p w14:paraId="0D56FF5F">
                  <w:pPr>
                    <w:pStyle w:val="96"/>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277" w:type="pct"/>
                  <w:tcBorders>
                    <w:tl2br w:val="nil"/>
                    <w:tr2bl w:val="nil"/>
                  </w:tcBorders>
                  <w:noWrap/>
                  <w:tcMar>
                    <w:top w:w="15" w:type="dxa"/>
                    <w:left w:w="15" w:type="dxa"/>
                    <w:right w:w="15" w:type="dxa"/>
                  </w:tcMar>
                  <w:vAlign w:val="center"/>
                </w:tcPr>
                <w:p w14:paraId="39278785">
                  <w:pPr>
                    <w:pStyle w:val="96"/>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r>
            <w:tr w14:paraId="060716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6" w:hRule="atLeast"/>
                <w:jc w:val="center"/>
              </w:trPr>
              <w:tc>
                <w:tcPr>
                  <w:tcW w:w="277" w:type="pct"/>
                  <w:tcBorders>
                    <w:tl2br w:val="nil"/>
                    <w:tr2bl w:val="nil"/>
                  </w:tcBorders>
                  <w:noWrap/>
                  <w:tcMar>
                    <w:top w:w="15" w:type="dxa"/>
                    <w:left w:w="15" w:type="dxa"/>
                    <w:right w:w="15" w:type="dxa"/>
                  </w:tcMar>
                  <w:vAlign w:val="center"/>
                </w:tcPr>
                <w:p w14:paraId="7F12553B">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4</w:t>
                  </w:r>
                </w:p>
              </w:tc>
              <w:tc>
                <w:tcPr>
                  <w:tcW w:w="394" w:type="pct"/>
                  <w:tcBorders>
                    <w:tl2br w:val="nil"/>
                    <w:tr2bl w:val="nil"/>
                  </w:tcBorders>
                  <w:noWrap/>
                  <w:tcMar>
                    <w:top w:w="15" w:type="dxa"/>
                    <w:left w:w="15" w:type="dxa"/>
                    <w:right w:w="15" w:type="dxa"/>
                  </w:tcMar>
                  <w:vAlign w:val="center"/>
                </w:tcPr>
                <w:p w14:paraId="3AACF78A">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破碎间</w:t>
                  </w:r>
                </w:p>
              </w:tc>
              <w:tc>
                <w:tcPr>
                  <w:tcW w:w="426" w:type="pct"/>
                  <w:tcBorders>
                    <w:tl2br w:val="nil"/>
                    <w:tr2bl w:val="nil"/>
                  </w:tcBorders>
                  <w:noWrap/>
                  <w:tcMar>
                    <w:top w:w="15" w:type="dxa"/>
                    <w:left w:w="15" w:type="dxa"/>
                    <w:right w:w="15" w:type="dxa"/>
                  </w:tcMar>
                  <w:vAlign w:val="center"/>
                </w:tcPr>
                <w:p w14:paraId="083813F5">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破碎</w:t>
                  </w:r>
                </w:p>
              </w:tc>
              <w:tc>
                <w:tcPr>
                  <w:tcW w:w="467" w:type="pct"/>
                  <w:tcBorders>
                    <w:tl2br w:val="nil"/>
                    <w:tr2bl w:val="nil"/>
                  </w:tcBorders>
                  <w:noWrap/>
                  <w:tcMar>
                    <w:top w:w="15" w:type="dxa"/>
                    <w:left w:w="15" w:type="dxa"/>
                    <w:right w:w="15" w:type="dxa"/>
                  </w:tcMar>
                  <w:vAlign w:val="center"/>
                </w:tcPr>
                <w:p w14:paraId="4D8124D2">
                  <w:pPr>
                    <w:pStyle w:val="96"/>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颗粒物</w:t>
                  </w:r>
                </w:p>
              </w:tc>
              <w:tc>
                <w:tcPr>
                  <w:tcW w:w="300" w:type="pct"/>
                  <w:tcBorders>
                    <w:tl2br w:val="nil"/>
                    <w:tr2bl w:val="nil"/>
                  </w:tcBorders>
                  <w:noWrap/>
                  <w:tcMar>
                    <w:top w:w="15" w:type="dxa"/>
                    <w:left w:w="15" w:type="dxa"/>
                    <w:right w:w="15" w:type="dxa"/>
                  </w:tcMar>
                  <w:vAlign w:val="center"/>
                </w:tcPr>
                <w:p w14:paraId="6CDF88BA">
                  <w:pPr>
                    <w:pStyle w:val="96"/>
                    <w:ind w:firstLine="0" w:firstLineChars="0"/>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267" w:type="pct"/>
                  <w:tcBorders>
                    <w:tl2br w:val="nil"/>
                    <w:tr2bl w:val="nil"/>
                  </w:tcBorders>
                  <w:noWrap/>
                  <w:tcMar>
                    <w:top w:w="15" w:type="dxa"/>
                    <w:left w:w="15" w:type="dxa"/>
                    <w:right w:w="15" w:type="dxa"/>
                  </w:tcMar>
                  <w:vAlign w:val="center"/>
                </w:tcPr>
                <w:p w14:paraId="05F0627D">
                  <w:pPr>
                    <w:pStyle w:val="96"/>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w:t>
                  </w:r>
                </w:p>
              </w:tc>
              <w:tc>
                <w:tcPr>
                  <w:tcW w:w="300" w:type="pct"/>
                  <w:tcBorders>
                    <w:tl2br w:val="nil"/>
                    <w:tr2bl w:val="nil"/>
                  </w:tcBorders>
                  <w:noWrap/>
                  <w:tcMar>
                    <w:top w:w="15" w:type="dxa"/>
                    <w:left w:w="15" w:type="dxa"/>
                    <w:right w:w="15" w:type="dxa"/>
                  </w:tcMar>
                  <w:vAlign w:val="center"/>
                </w:tcPr>
                <w:p w14:paraId="254679EF">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8</w:t>
                  </w:r>
                </w:p>
              </w:tc>
              <w:tc>
                <w:tcPr>
                  <w:tcW w:w="293" w:type="pct"/>
                  <w:tcBorders>
                    <w:tl2br w:val="nil"/>
                    <w:tr2bl w:val="nil"/>
                  </w:tcBorders>
                  <w:noWrap/>
                  <w:tcMar>
                    <w:top w:w="15" w:type="dxa"/>
                    <w:left w:w="15" w:type="dxa"/>
                    <w:right w:w="15" w:type="dxa"/>
                  </w:tcMar>
                  <w:vAlign w:val="center"/>
                </w:tcPr>
                <w:p w14:paraId="10F18DAF">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8</w:t>
                  </w:r>
                </w:p>
              </w:tc>
              <w:tc>
                <w:tcPr>
                  <w:tcW w:w="273" w:type="pct"/>
                  <w:tcBorders>
                    <w:tl2br w:val="nil"/>
                    <w:tr2bl w:val="nil"/>
                  </w:tcBorders>
                  <w:noWrap/>
                  <w:tcMar>
                    <w:top w:w="15" w:type="dxa"/>
                    <w:left w:w="15" w:type="dxa"/>
                    <w:right w:w="15" w:type="dxa"/>
                  </w:tcMar>
                  <w:vAlign w:val="center"/>
                </w:tcPr>
                <w:p w14:paraId="5523FC42">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5</w:t>
                  </w:r>
                </w:p>
              </w:tc>
              <w:tc>
                <w:tcPr>
                  <w:tcW w:w="373" w:type="pct"/>
                  <w:tcBorders>
                    <w:tl2br w:val="nil"/>
                    <w:tr2bl w:val="nil"/>
                  </w:tcBorders>
                  <w:noWrap/>
                  <w:tcMar>
                    <w:top w:w="15" w:type="dxa"/>
                    <w:left w:w="15" w:type="dxa"/>
                    <w:right w:w="15" w:type="dxa"/>
                  </w:tcMar>
                  <w:vAlign w:val="center"/>
                </w:tcPr>
                <w:p w14:paraId="21ACFA25">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15</w:t>
                  </w:r>
                </w:p>
              </w:tc>
              <w:tc>
                <w:tcPr>
                  <w:tcW w:w="386" w:type="pct"/>
                  <w:tcBorders>
                    <w:tl2br w:val="nil"/>
                    <w:tr2bl w:val="nil"/>
                  </w:tcBorders>
                  <w:noWrap/>
                  <w:tcMar>
                    <w:top w:w="15" w:type="dxa"/>
                    <w:left w:w="15" w:type="dxa"/>
                    <w:right w:w="15" w:type="dxa"/>
                  </w:tcMar>
                  <w:vAlign w:val="center"/>
                </w:tcPr>
                <w:p w14:paraId="5722170B">
                  <w:pPr>
                    <w:pStyle w:val="9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8</w:t>
                  </w:r>
                </w:p>
              </w:tc>
              <w:tc>
                <w:tcPr>
                  <w:tcW w:w="287" w:type="pct"/>
                  <w:tcBorders>
                    <w:tl2br w:val="nil"/>
                    <w:tr2bl w:val="nil"/>
                  </w:tcBorders>
                  <w:noWrap/>
                  <w:tcMar>
                    <w:top w:w="15" w:type="dxa"/>
                    <w:left w:w="15" w:type="dxa"/>
                    <w:right w:w="15" w:type="dxa"/>
                  </w:tcMar>
                  <w:vAlign w:val="center"/>
                </w:tcPr>
                <w:p w14:paraId="5C802243">
                  <w:pPr>
                    <w:pStyle w:val="96"/>
                    <w:ind w:firstLine="0" w:firstLineChars="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500</w:t>
                  </w:r>
                </w:p>
              </w:tc>
              <w:tc>
                <w:tcPr>
                  <w:tcW w:w="186" w:type="pct"/>
                  <w:tcBorders>
                    <w:tl2br w:val="nil"/>
                    <w:tr2bl w:val="nil"/>
                  </w:tcBorders>
                  <w:noWrap/>
                  <w:tcMar>
                    <w:top w:w="15" w:type="dxa"/>
                    <w:left w:w="15" w:type="dxa"/>
                    <w:right w:w="15" w:type="dxa"/>
                  </w:tcMar>
                  <w:vAlign w:val="center"/>
                </w:tcPr>
                <w:p w14:paraId="497314BF">
                  <w:pPr>
                    <w:pStyle w:val="96"/>
                    <w:ind w:firstLine="0" w:firstLineChars="0"/>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正常</w:t>
                  </w:r>
                </w:p>
              </w:tc>
              <w:tc>
                <w:tcPr>
                  <w:tcW w:w="486" w:type="pct"/>
                  <w:tcBorders>
                    <w:tl2br w:val="nil"/>
                    <w:tr2bl w:val="nil"/>
                  </w:tcBorders>
                  <w:noWrap/>
                  <w:tcMar>
                    <w:top w:w="15" w:type="dxa"/>
                    <w:left w:w="15" w:type="dxa"/>
                    <w:right w:w="15" w:type="dxa"/>
                  </w:tcMar>
                  <w:vAlign w:val="center"/>
                </w:tcPr>
                <w:p w14:paraId="750E7186">
                  <w:pPr>
                    <w:keepNext w:val="0"/>
                    <w:keepLines w:val="0"/>
                    <w:widowControl/>
                    <w:suppressLineNumbers w:val="0"/>
                    <w:jc w:val="center"/>
                    <w:textAlignment w:val="center"/>
                    <w:rPr>
                      <w:rFonts w:hint="default" w:ascii="Times New Roman" w:hAnsi="Times New Roman" w:eastAsia="宋体" w:cs="宋体"/>
                      <w:i w:val="0"/>
                      <w:iCs w:val="0"/>
                      <w:caps w:val="0"/>
                      <w:color w:val="000000" w:themeColor="text1"/>
                      <w:kern w:val="0"/>
                      <w:sz w:val="21"/>
                      <w:szCs w:val="21"/>
                      <w:highlight w:val="none"/>
                      <w:u w:val="none"/>
                      <w:lang w:val="en-US" w:eastAsia="zh-CN" w:bidi="ar"/>
                      <w14:textFill>
                        <w14:solidFill>
                          <w14:schemeClr w14:val="tx1"/>
                        </w14:solidFill>
                      </w14:textFill>
                    </w:rPr>
                  </w:pPr>
                  <w:r>
                    <w:rPr>
                      <w:rFonts w:hint="eastAsia" w:cs="宋体"/>
                      <w:i w:val="0"/>
                      <w:iCs w:val="0"/>
                      <w:caps w:val="0"/>
                      <w:color w:val="000000" w:themeColor="text1"/>
                      <w:kern w:val="0"/>
                      <w:sz w:val="21"/>
                      <w:szCs w:val="21"/>
                      <w:highlight w:val="none"/>
                      <w:u w:val="none"/>
                      <w:lang w:val="en-US" w:eastAsia="zh-CN" w:bidi="ar"/>
                      <w14:textFill>
                        <w14:solidFill>
                          <w14:schemeClr w14:val="tx1"/>
                        </w14:solidFill>
                      </w14:textFill>
                    </w:rPr>
                    <w:t>0.14</w:t>
                  </w:r>
                </w:p>
              </w:tc>
              <w:tc>
                <w:tcPr>
                  <w:tcW w:w="277" w:type="pct"/>
                  <w:tcBorders>
                    <w:tl2br w:val="nil"/>
                    <w:tr2bl w:val="nil"/>
                  </w:tcBorders>
                  <w:noWrap/>
                  <w:tcMar>
                    <w:top w:w="15" w:type="dxa"/>
                    <w:left w:w="15" w:type="dxa"/>
                    <w:right w:w="15" w:type="dxa"/>
                  </w:tcMar>
                  <w:vAlign w:val="center"/>
                </w:tcPr>
                <w:p w14:paraId="7823B518">
                  <w:pPr>
                    <w:keepNext w:val="0"/>
                    <w:keepLines w:val="0"/>
                    <w:widowControl/>
                    <w:suppressLineNumbers w:val="0"/>
                    <w:jc w:val="center"/>
                    <w:textAlignment w:val="center"/>
                    <w:rPr>
                      <w:rFonts w:hint="eastAsia" w:ascii="Times New Roman" w:hAnsi="Times New Roman" w:eastAsia="宋体" w:cs="宋体"/>
                      <w:i w:val="0"/>
                      <w:iCs w:val="0"/>
                      <w:caps w:val="0"/>
                      <w:color w:val="000000" w:themeColor="text1"/>
                      <w:kern w:val="0"/>
                      <w:sz w:val="21"/>
                      <w:szCs w:val="21"/>
                      <w:highlight w:val="none"/>
                      <w:u w:val="none"/>
                      <w:lang w:val="en-US" w:eastAsia="zh-CN" w:bidi="ar"/>
                      <w14:textFill>
                        <w14:solidFill>
                          <w14:schemeClr w14:val="tx1"/>
                        </w14:solidFill>
                      </w14:textFill>
                    </w:rPr>
                  </w:pPr>
                  <w:r>
                    <w:rPr>
                      <w:rFonts w:hint="eastAsia" w:cs="宋体"/>
                      <w:i w:val="0"/>
                      <w:iCs w:val="0"/>
                      <w:caps w:val="0"/>
                      <w:color w:val="000000" w:themeColor="text1"/>
                      <w:kern w:val="0"/>
                      <w:sz w:val="21"/>
                      <w:szCs w:val="21"/>
                      <w:highlight w:val="none"/>
                      <w:u w:val="none"/>
                      <w:lang w:val="en-US" w:eastAsia="zh-CN" w:bidi="ar"/>
                      <w14:textFill>
                        <w14:solidFill>
                          <w14:schemeClr w14:val="tx1"/>
                        </w14:solidFill>
                      </w14:textFill>
                    </w:rPr>
                    <w:t>0.28</w:t>
                  </w:r>
                </w:p>
              </w:tc>
            </w:tr>
          </w:tbl>
          <w:p w14:paraId="59821876">
            <w:pPr>
              <w:keepNext w:val="0"/>
              <w:keepLines w:val="0"/>
              <w:pageBreakBefore w:val="0"/>
              <w:widowControl w:val="0"/>
              <w:tabs>
                <w:tab w:val="left" w:pos="455"/>
              </w:tabs>
              <w:kinsoku/>
              <w:wordWrap/>
              <w:overflowPunct/>
              <w:topLinePunct w:val="0"/>
              <w:autoSpaceDE/>
              <w:autoSpaceDN/>
              <w:bidi w:val="0"/>
              <w:adjustRightInd/>
              <w:snapToGrid/>
              <w:spacing w:line="240" w:lineRule="auto"/>
              <w:jc w:val="center"/>
              <w:textAlignment w:val="auto"/>
              <w:rPr>
                <w:rFonts w:ascii="Times New Roman" w:hAnsi="Times New Roman" w:eastAsia="宋体"/>
                <w:b/>
                <w:bCs/>
                <w:caps w:val="0"/>
                <w:color w:val="000000" w:themeColor="text1"/>
                <w:sz w:val="24"/>
                <w:szCs w:val="32"/>
                <w:highlight w:val="none"/>
                <w14:textFill>
                  <w14:solidFill>
                    <w14:schemeClr w14:val="tx1"/>
                  </w14:solidFill>
                </w14:textFill>
              </w:rPr>
            </w:pPr>
          </w:p>
          <w:p w14:paraId="3879D120">
            <w:pPr>
              <w:keepNext w:val="0"/>
              <w:keepLines w:val="0"/>
              <w:pageBreakBefore w:val="0"/>
              <w:widowControl w:val="0"/>
              <w:tabs>
                <w:tab w:val="left" w:pos="455"/>
              </w:tabs>
              <w:kinsoku/>
              <w:wordWrap/>
              <w:overflowPunct/>
              <w:topLinePunct w:val="0"/>
              <w:autoSpaceDE/>
              <w:autoSpaceDN/>
              <w:bidi w:val="0"/>
              <w:adjustRightInd/>
              <w:snapToGrid/>
              <w:spacing w:line="240" w:lineRule="auto"/>
              <w:jc w:val="center"/>
              <w:textAlignment w:val="auto"/>
              <w:rPr>
                <w:rFonts w:ascii="Times New Roman" w:hAnsi="Times New Roman" w:eastAsia="宋体"/>
                <w:b/>
                <w:bCs/>
                <w:caps w:val="0"/>
                <w:color w:val="000000" w:themeColor="text1"/>
                <w:sz w:val="24"/>
                <w:szCs w:val="32"/>
                <w:highlight w:val="none"/>
                <w14:textFill>
                  <w14:solidFill>
                    <w14:schemeClr w14:val="tx1"/>
                  </w14:solidFill>
                </w14:textFill>
              </w:rPr>
            </w:pPr>
            <w:r>
              <w:rPr>
                <w:rFonts w:ascii="Times New Roman" w:hAnsi="Times New Roman" w:eastAsia="宋体"/>
                <w:b/>
                <w:bCs/>
                <w:caps w:val="0"/>
                <w:color w:val="000000" w:themeColor="text1"/>
                <w:sz w:val="24"/>
                <w:szCs w:val="32"/>
                <w:highlight w:val="none"/>
                <w14:textFill>
                  <w14:solidFill>
                    <w14:schemeClr w14:val="tx1"/>
                  </w14:solidFill>
                </w14:textFill>
              </w:rPr>
              <w:t>表4-</w:t>
            </w:r>
            <w:r>
              <w:rPr>
                <w:rFonts w:hint="eastAsia"/>
                <w:b/>
                <w:bCs/>
                <w:caps w:val="0"/>
                <w:color w:val="000000" w:themeColor="text1"/>
                <w:sz w:val="24"/>
                <w:szCs w:val="32"/>
                <w:highlight w:val="none"/>
                <w:lang w:val="en-US" w:eastAsia="zh-CN"/>
                <w14:textFill>
                  <w14:solidFill>
                    <w14:schemeClr w14:val="tx1"/>
                  </w14:solidFill>
                </w14:textFill>
              </w:rPr>
              <w:t>7</w:t>
            </w:r>
            <w:r>
              <w:rPr>
                <w:rFonts w:hint="eastAsia" w:ascii="Times New Roman" w:hAnsi="Times New Roman" w:eastAsia="宋体"/>
                <w:b/>
                <w:bCs/>
                <w:caps w:val="0"/>
                <w:color w:val="000000" w:themeColor="text1"/>
                <w:sz w:val="24"/>
                <w:szCs w:val="32"/>
                <w:highlight w:val="none"/>
                <w:lang w:val="en-US" w:eastAsia="zh-CN"/>
                <w14:textFill>
                  <w14:solidFill>
                    <w14:schemeClr w14:val="tx1"/>
                  </w14:solidFill>
                </w14:textFill>
              </w:rPr>
              <w:t xml:space="preserve"> </w:t>
            </w:r>
            <w:r>
              <w:rPr>
                <w:rFonts w:ascii="Times New Roman" w:hAnsi="Times New Roman" w:eastAsia="宋体"/>
                <w:b/>
                <w:bCs/>
                <w:caps w:val="0"/>
                <w:color w:val="000000" w:themeColor="text1"/>
                <w:sz w:val="24"/>
                <w:szCs w:val="32"/>
                <w:highlight w:val="none"/>
                <w14:textFill>
                  <w14:solidFill>
                    <w14:schemeClr w14:val="tx1"/>
                  </w14:solidFill>
                </w14:textFill>
              </w:rPr>
              <w:t xml:space="preserve"> 本项目废气排放量汇总表</w:t>
            </w:r>
          </w:p>
          <w:tbl>
            <w:tblPr>
              <w:tblStyle w:val="21"/>
              <w:tblW w:w="4995"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27"/>
              <w:gridCol w:w="4033"/>
              <w:gridCol w:w="4345"/>
            </w:tblGrid>
            <w:tr w14:paraId="66415A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623" w:type="pct"/>
                  <w:tcBorders>
                    <w:tl2br w:val="nil"/>
                    <w:tr2bl w:val="nil"/>
                  </w:tcBorders>
                  <w:noWrap w:val="0"/>
                  <w:vAlign w:val="center"/>
                </w:tcPr>
                <w:p w14:paraId="42E71D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kern w:val="0"/>
                      <w:sz w:val="21"/>
                      <w:szCs w:val="21"/>
                      <w:highlight w:val="none"/>
                      <w:lang w:bidi="ar"/>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类型</w:t>
                  </w:r>
                </w:p>
              </w:tc>
              <w:tc>
                <w:tcPr>
                  <w:tcW w:w="1625" w:type="pct"/>
                  <w:tcBorders>
                    <w:tl2br w:val="nil"/>
                    <w:tr2bl w:val="nil"/>
                  </w:tcBorders>
                  <w:noWrap/>
                  <w:vAlign w:val="center"/>
                </w:tcPr>
                <w:p w14:paraId="1669B6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kern w:val="0"/>
                      <w:sz w:val="21"/>
                      <w:szCs w:val="21"/>
                      <w:highlight w:val="none"/>
                      <w:lang w:bidi="ar"/>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污染物</w:t>
                  </w:r>
                </w:p>
              </w:tc>
              <w:tc>
                <w:tcPr>
                  <w:tcW w:w="1751" w:type="pct"/>
                  <w:tcBorders>
                    <w:tl2br w:val="nil"/>
                    <w:tr2bl w:val="nil"/>
                  </w:tcBorders>
                  <w:noWrap/>
                  <w:vAlign w:val="center"/>
                </w:tcPr>
                <w:p w14:paraId="7875A4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kern w:val="0"/>
                      <w:sz w:val="21"/>
                      <w:szCs w:val="21"/>
                      <w:highlight w:val="none"/>
                      <w:lang w:bidi="ar"/>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排放量（t/a）</w:t>
                  </w:r>
                </w:p>
              </w:tc>
            </w:tr>
            <w:tr w14:paraId="35C77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1623" w:type="pct"/>
                  <w:vMerge w:val="restart"/>
                  <w:tcBorders>
                    <w:tl2br w:val="nil"/>
                    <w:tr2bl w:val="nil"/>
                  </w:tcBorders>
                  <w:noWrap w:val="0"/>
                  <w:vAlign w:val="center"/>
                </w:tcPr>
                <w:p w14:paraId="3B1D2F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有组织合计</w:t>
                  </w:r>
                </w:p>
              </w:tc>
              <w:tc>
                <w:tcPr>
                  <w:tcW w:w="1625" w:type="pct"/>
                  <w:tcBorders>
                    <w:tl2br w:val="nil"/>
                    <w:tr2bl w:val="nil"/>
                  </w:tcBorders>
                  <w:noWrap/>
                  <w:vAlign w:val="center"/>
                </w:tcPr>
                <w:p w14:paraId="795CF2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pPr>
                  <w:r>
                    <w:rPr>
                      <w:rFonts w:hint="eastAsia"/>
                      <w:caps w:val="0"/>
                      <w:color w:val="000000" w:themeColor="text1"/>
                      <w:kern w:val="0"/>
                      <w:sz w:val="21"/>
                      <w:szCs w:val="21"/>
                      <w:highlight w:val="none"/>
                      <w:lang w:val="en-US" w:eastAsia="zh-CN" w:bidi="ar"/>
                      <w14:textFill>
                        <w14:solidFill>
                          <w14:schemeClr w14:val="tx1"/>
                        </w14:solidFill>
                      </w14:textFill>
                    </w:rPr>
                    <w:t>非甲烷总烃</w:t>
                  </w:r>
                </w:p>
              </w:tc>
              <w:tc>
                <w:tcPr>
                  <w:tcW w:w="1751" w:type="pct"/>
                  <w:tcBorders>
                    <w:tl2br w:val="nil"/>
                    <w:tr2bl w:val="nil"/>
                  </w:tcBorders>
                  <w:noWrap/>
                  <w:vAlign w:val="center"/>
                </w:tcPr>
                <w:p w14:paraId="1A7D3D0E">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0.0243</w:t>
                  </w:r>
                </w:p>
              </w:tc>
            </w:tr>
            <w:tr w14:paraId="58CA98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623" w:type="pct"/>
                  <w:vMerge w:val="continue"/>
                  <w:tcBorders>
                    <w:tl2br w:val="nil"/>
                    <w:tr2bl w:val="nil"/>
                  </w:tcBorders>
                  <w:noWrap w:val="0"/>
                  <w:vAlign w:val="center"/>
                </w:tcPr>
                <w:p w14:paraId="24D1BA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625" w:type="pct"/>
                  <w:tcBorders>
                    <w:tl2br w:val="nil"/>
                    <w:tr2bl w:val="nil"/>
                  </w:tcBorders>
                  <w:noWrap/>
                  <w:vAlign w:val="center"/>
                </w:tcPr>
                <w:p w14:paraId="1359EA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caps w:val="0"/>
                      <w:color w:val="000000" w:themeColor="text1"/>
                      <w:kern w:val="0"/>
                      <w:sz w:val="21"/>
                      <w:szCs w:val="21"/>
                      <w:highlight w:val="none"/>
                      <w:lang w:val="en-US" w:eastAsia="zh-CN" w:bidi="ar"/>
                      <w14:textFill>
                        <w14:solidFill>
                          <w14:schemeClr w14:val="tx1"/>
                        </w14:solidFill>
                      </w14:textFill>
                    </w:rPr>
                    <w:t>氨</w:t>
                  </w:r>
                </w:p>
              </w:tc>
              <w:tc>
                <w:tcPr>
                  <w:tcW w:w="1751" w:type="pct"/>
                  <w:tcBorders>
                    <w:tl2br w:val="nil"/>
                    <w:tr2bl w:val="nil"/>
                  </w:tcBorders>
                  <w:noWrap/>
                  <w:vAlign w:val="center"/>
                </w:tcPr>
                <w:p w14:paraId="7AE1DA1D">
                  <w:pPr>
                    <w:keepNext w:val="0"/>
                    <w:keepLines w:val="0"/>
                    <w:widowControl/>
                    <w:suppressLineNumbers w:val="0"/>
                    <w:jc w:val="center"/>
                    <w:textAlignment w:val="center"/>
                    <w:rPr>
                      <w:rFonts w:hint="default" w:ascii="Times New Roman" w:hAnsi="Times New Roman" w:eastAsia="宋体"/>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kern w:val="2"/>
                      <w:sz w:val="21"/>
                      <w:szCs w:val="21"/>
                      <w:highlight w:val="none"/>
                      <w:lang w:val="en-US" w:eastAsia="zh-CN" w:bidi="ar-SA"/>
                      <w14:textFill>
                        <w14:solidFill>
                          <w14:schemeClr w14:val="tx1"/>
                        </w14:solidFill>
                      </w14:textFill>
                    </w:rPr>
                    <w:t>0.0027</w:t>
                  </w:r>
                </w:p>
              </w:tc>
            </w:tr>
            <w:tr w14:paraId="3788FD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623" w:type="pct"/>
                  <w:vMerge w:val="continue"/>
                  <w:tcBorders>
                    <w:tl2br w:val="nil"/>
                    <w:tr2bl w:val="nil"/>
                  </w:tcBorders>
                  <w:noWrap w:val="0"/>
                  <w:vAlign w:val="center"/>
                </w:tcPr>
                <w:p w14:paraId="5F48C9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625" w:type="pct"/>
                  <w:tcBorders>
                    <w:tl2br w:val="nil"/>
                    <w:tr2bl w:val="nil"/>
                  </w:tcBorders>
                  <w:noWrap/>
                  <w:vAlign w:val="center"/>
                </w:tcPr>
                <w:p w14:paraId="4D9A7D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caps w:val="0"/>
                      <w:color w:val="000000" w:themeColor="text1"/>
                      <w:kern w:val="0"/>
                      <w:sz w:val="21"/>
                      <w:szCs w:val="21"/>
                      <w:highlight w:val="none"/>
                      <w:lang w:val="en-US" w:eastAsia="zh-CN" w:bidi="ar"/>
                      <w14:textFill>
                        <w14:solidFill>
                          <w14:schemeClr w14:val="tx1"/>
                        </w14:solidFill>
                      </w14:textFill>
                    </w:rPr>
                  </w:pPr>
                  <w:r>
                    <w:rPr>
                      <w:rFonts w:hint="eastAsia"/>
                      <w:caps w:val="0"/>
                      <w:color w:val="000000" w:themeColor="text1"/>
                      <w:kern w:val="0"/>
                      <w:sz w:val="21"/>
                      <w:szCs w:val="21"/>
                      <w:highlight w:val="none"/>
                      <w:lang w:val="en-US" w:eastAsia="zh-CN" w:bidi="ar"/>
                      <w14:textFill>
                        <w14:solidFill>
                          <w14:schemeClr w14:val="tx1"/>
                        </w14:solidFill>
                      </w14:textFill>
                    </w:rPr>
                    <w:t>臭气浓度</w:t>
                  </w:r>
                </w:p>
              </w:tc>
              <w:tc>
                <w:tcPr>
                  <w:tcW w:w="1751" w:type="pct"/>
                  <w:tcBorders>
                    <w:tl2br w:val="nil"/>
                    <w:tr2bl w:val="nil"/>
                  </w:tcBorders>
                  <w:noWrap/>
                  <w:vAlign w:val="center"/>
                </w:tcPr>
                <w:p w14:paraId="7C08D9C0">
                  <w:pPr>
                    <w:keepNext w:val="0"/>
                    <w:keepLines w:val="0"/>
                    <w:widowControl/>
                    <w:suppressLineNumbers w:val="0"/>
                    <w:jc w:val="center"/>
                    <w:textAlignment w:val="center"/>
                    <w:rPr>
                      <w:rFonts w:hint="default"/>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kern w:val="2"/>
                      <w:sz w:val="21"/>
                      <w:szCs w:val="21"/>
                      <w:highlight w:val="none"/>
                      <w:lang w:val="en-US" w:eastAsia="zh-CN" w:bidi="ar-SA"/>
                      <w14:textFill>
                        <w14:solidFill>
                          <w14:schemeClr w14:val="tx1"/>
                        </w14:solidFill>
                      </w14:textFill>
                    </w:rPr>
                    <w:t>/</w:t>
                  </w:r>
                </w:p>
              </w:tc>
            </w:tr>
            <w:tr w14:paraId="31B169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623" w:type="pct"/>
                  <w:vMerge w:val="restart"/>
                  <w:tcBorders>
                    <w:tl2br w:val="nil"/>
                    <w:tr2bl w:val="nil"/>
                  </w:tcBorders>
                  <w:noWrap w:val="0"/>
                  <w:vAlign w:val="center"/>
                </w:tcPr>
                <w:p w14:paraId="7B9EAC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无组织排放合计</w:t>
                  </w:r>
                </w:p>
              </w:tc>
              <w:tc>
                <w:tcPr>
                  <w:tcW w:w="1625" w:type="pct"/>
                  <w:tcBorders>
                    <w:tl2br w:val="nil"/>
                    <w:tr2bl w:val="nil"/>
                  </w:tcBorders>
                  <w:noWrap/>
                  <w:vAlign w:val="center"/>
                </w:tcPr>
                <w:p w14:paraId="157C92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kern w:val="0"/>
                      <w:sz w:val="21"/>
                      <w:szCs w:val="21"/>
                      <w:highlight w:val="none"/>
                      <w:lang w:bidi="ar"/>
                      <w14:textFill>
                        <w14:solidFill>
                          <w14:schemeClr w14:val="tx1"/>
                        </w14:solidFill>
                      </w14:textFill>
                    </w:rPr>
                  </w:pPr>
                  <w:r>
                    <w:rPr>
                      <w:rFonts w:hint="eastAsia"/>
                      <w:caps w:val="0"/>
                      <w:color w:val="000000" w:themeColor="text1"/>
                      <w:kern w:val="0"/>
                      <w:sz w:val="21"/>
                      <w:szCs w:val="21"/>
                      <w:highlight w:val="none"/>
                      <w:lang w:val="en-US" w:eastAsia="zh-CN" w:bidi="ar"/>
                      <w14:textFill>
                        <w14:solidFill>
                          <w14:schemeClr w14:val="tx1"/>
                        </w14:solidFill>
                      </w14:textFill>
                    </w:rPr>
                    <w:t>非甲烷总烃</w:t>
                  </w:r>
                </w:p>
              </w:tc>
              <w:tc>
                <w:tcPr>
                  <w:tcW w:w="1751" w:type="pct"/>
                  <w:tcBorders>
                    <w:tl2br w:val="nil"/>
                    <w:tr2bl w:val="nil"/>
                  </w:tcBorders>
                  <w:noWrap w:val="0"/>
                  <w:vAlign w:val="center"/>
                </w:tcPr>
                <w:p w14:paraId="25BC55CC">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0.027</w:t>
                  </w:r>
                </w:p>
              </w:tc>
            </w:tr>
            <w:tr w14:paraId="57329D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623" w:type="pct"/>
                  <w:vMerge w:val="continue"/>
                  <w:tcBorders>
                    <w:tl2br w:val="nil"/>
                    <w:tr2bl w:val="nil"/>
                  </w:tcBorders>
                  <w:noWrap w:val="0"/>
                  <w:vAlign w:val="center"/>
                </w:tcPr>
                <w:p w14:paraId="533782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625" w:type="pct"/>
                  <w:tcBorders>
                    <w:tl2br w:val="nil"/>
                    <w:tr2bl w:val="nil"/>
                  </w:tcBorders>
                  <w:noWrap/>
                  <w:vAlign w:val="center"/>
                </w:tcPr>
                <w:p w14:paraId="64A738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caps w:val="0"/>
                      <w:color w:val="000000" w:themeColor="text1"/>
                      <w:kern w:val="0"/>
                      <w:sz w:val="21"/>
                      <w:szCs w:val="21"/>
                      <w:highlight w:val="none"/>
                      <w:lang w:val="en-US" w:eastAsia="zh-CN" w:bidi="ar"/>
                      <w14:textFill>
                        <w14:solidFill>
                          <w14:schemeClr w14:val="tx1"/>
                        </w14:solidFill>
                      </w14:textFill>
                    </w:rPr>
                    <w:t>氨</w:t>
                  </w:r>
                </w:p>
              </w:tc>
              <w:tc>
                <w:tcPr>
                  <w:tcW w:w="1751" w:type="pct"/>
                  <w:tcBorders>
                    <w:tl2br w:val="nil"/>
                    <w:tr2bl w:val="nil"/>
                  </w:tcBorders>
                  <w:noWrap w:val="0"/>
                  <w:vAlign w:val="center"/>
                </w:tcPr>
                <w:p w14:paraId="1B561066">
                  <w:pPr>
                    <w:keepNext w:val="0"/>
                    <w:keepLines w:val="0"/>
                    <w:widowControl/>
                    <w:suppressLineNumbers w:val="0"/>
                    <w:jc w:val="center"/>
                    <w:textAlignment w:val="center"/>
                    <w:rPr>
                      <w:rFonts w:hint="default" w:ascii="Times New Roman" w:hAnsi="Times New Roman" w:eastAsia="宋体" w:cs="Times New Roman"/>
                      <w:caps w:val="0"/>
                      <w:color w:val="000000" w:themeColor="text1"/>
                      <w:kern w:val="0"/>
                      <w:sz w:val="21"/>
                      <w:szCs w:val="21"/>
                      <w:highlight w:val="none"/>
                      <w:lang w:val="en-US" w:eastAsia="zh-CN" w:bidi="ar-SA"/>
                      <w14:textFill>
                        <w14:solidFill>
                          <w14:schemeClr w14:val="tx1"/>
                        </w14:solidFill>
                      </w14:textFill>
                    </w:rPr>
                  </w:pPr>
                  <w:r>
                    <w:rPr>
                      <w:rFonts w:hint="eastAsia" w:cs="宋体"/>
                      <w:i w:val="0"/>
                      <w:iCs w:val="0"/>
                      <w:caps w:val="0"/>
                      <w:color w:val="000000" w:themeColor="text1"/>
                      <w:kern w:val="0"/>
                      <w:sz w:val="21"/>
                      <w:szCs w:val="21"/>
                      <w:highlight w:val="none"/>
                      <w:u w:val="none"/>
                      <w:lang w:val="en-US" w:eastAsia="zh-CN" w:bidi="ar"/>
                      <w14:textFill>
                        <w14:solidFill>
                          <w14:schemeClr w14:val="tx1"/>
                        </w14:solidFill>
                      </w14:textFill>
                    </w:rPr>
                    <w:t>0.003</w:t>
                  </w:r>
                </w:p>
              </w:tc>
            </w:tr>
            <w:tr w14:paraId="74E053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23" w:type="pct"/>
                  <w:vMerge w:val="continue"/>
                  <w:tcBorders>
                    <w:tl2br w:val="nil"/>
                    <w:tr2bl w:val="nil"/>
                  </w:tcBorders>
                  <w:noWrap w:val="0"/>
                  <w:vAlign w:val="center"/>
                </w:tcPr>
                <w:p w14:paraId="2CC7FAE7">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625" w:type="pct"/>
                  <w:tcBorders>
                    <w:tl2br w:val="nil"/>
                    <w:tr2bl w:val="nil"/>
                  </w:tcBorders>
                  <w:noWrap/>
                  <w:vAlign w:val="center"/>
                </w:tcPr>
                <w:p w14:paraId="7D169C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caps w:val="0"/>
                      <w:color w:val="000000" w:themeColor="text1"/>
                      <w:kern w:val="0"/>
                      <w:sz w:val="21"/>
                      <w:szCs w:val="21"/>
                      <w:highlight w:val="none"/>
                      <w:lang w:val="en-US" w:eastAsia="zh-CN" w:bidi="ar"/>
                      <w14:textFill>
                        <w14:solidFill>
                          <w14:schemeClr w14:val="tx1"/>
                        </w14:solidFill>
                      </w14:textFill>
                    </w:rPr>
                    <w:t>颗粒物</w:t>
                  </w:r>
                </w:p>
              </w:tc>
              <w:tc>
                <w:tcPr>
                  <w:tcW w:w="1751" w:type="pct"/>
                  <w:tcBorders>
                    <w:tl2br w:val="nil"/>
                    <w:tr2bl w:val="nil"/>
                  </w:tcBorders>
                  <w:noWrap w:val="0"/>
                  <w:vAlign w:val="center"/>
                </w:tcPr>
                <w:p w14:paraId="3EC57850">
                  <w:pPr>
                    <w:keepNext w:val="0"/>
                    <w:keepLines w:val="0"/>
                    <w:widowControl/>
                    <w:suppressLineNumbers w:val="0"/>
                    <w:jc w:val="center"/>
                    <w:textAlignment w:val="center"/>
                    <w:rPr>
                      <w:rFonts w:hint="default" w:ascii="Times New Roman" w:hAnsi="Times New Roman" w:eastAsia="宋体" w:cs="Times New Roman"/>
                      <w:caps w:val="0"/>
                      <w:color w:val="000000" w:themeColor="text1"/>
                      <w:kern w:val="0"/>
                      <w:sz w:val="21"/>
                      <w:szCs w:val="21"/>
                      <w:highlight w:val="none"/>
                      <w:lang w:val="en-US" w:eastAsia="zh-CN" w:bidi="ar-SA"/>
                      <w14:textFill>
                        <w14:solidFill>
                          <w14:schemeClr w14:val="tx1"/>
                        </w14:solidFill>
                      </w14:textFill>
                    </w:rPr>
                  </w:pPr>
                  <w:r>
                    <w:rPr>
                      <w:rFonts w:hint="eastAsia" w:cs="宋体"/>
                      <w:i w:val="0"/>
                      <w:iCs w:val="0"/>
                      <w:caps w:val="0"/>
                      <w:color w:val="000000" w:themeColor="text1"/>
                      <w:kern w:val="0"/>
                      <w:sz w:val="21"/>
                      <w:szCs w:val="21"/>
                      <w:highlight w:val="none"/>
                      <w:u w:val="none"/>
                      <w:lang w:val="en-US" w:eastAsia="zh-CN" w:bidi="ar"/>
                      <w14:textFill>
                        <w14:solidFill>
                          <w14:schemeClr w14:val="tx1"/>
                        </w14:solidFill>
                      </w14:textFill>
                    </w:rPr>
                    <w:t>0.14</w:t>
                  </w:r>
                </w:p>
              </w:tc>
            </w:tr>
            <w:tr w14:paraId="1D4579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23" w:type="pct"/>
                  <w:vMerge w:val="continue"/>
                  <w:tcBorders>
                    <w:tl2br w:val="nil"/>
                    <w:tr2bl w:val="nil"/>
                  </w:tcBorders>
                  <w:noWrap w:val="0"/>
                  <w:vAlign w:val="center"/>
                </w:tcPr>
                <w:p w14:paraId="589ECBA0">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625" w:type="pct"/>
                  <w:tcBorders>
                    <w:tl2br w:val="nil"/>
                    <w:tr2bl w:val="nil"/>
                  </w:tcBorders>
                  <w:noWrap/>
                  <w:vAlign w:val="center"/>
                </w:tcPr>
                <w:p w14:paraId="138241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caps w:val="0"/>
                      <w:color w:val="000000" w:themeColor="text1"/>
                      <w:kern w:val="0"/>
                      <w:sz w:val="21"/>
                      <w:szCs w:val="21"/>
                      <w:highlight w:val="none"/>
                      <w:lang w:val="en-US" w:eastAsia="zh-CN" w:bidi="ar"/>
                      <w14:textFill>
                        <w14:solidFill>
                          <w14:schemeClr w14:val="tx1"/>
                        </w14:solidFill>
                      </w14:textFill>
                    </w:rPr>
                  </w:pPr>
                  <w:r>
                    <w:rPr>
                      <w:rFonts w:hint="eastAsia"/>
                      <w:caps w:val="0"/>
                      <w:color w:val="000000" w:themeColor="text1"/>
                      <w:kern w:val="0"/>
                      <w:sz w:val="21"/>
                      <w:szCs w:val="21"/>
                      <w:highlight w:val="none"/>
                      <w:lang w:val="en-US" w:eastAsia="zh-CN" w:bidi="ar"/>
                      <w14:textFill>
                        <w14:solidFill>
                          <w14:schemeClr w14:val="tx1"/>
                        </w14:solidFill>
                      </w14:textFill>
                    </w:rPr>
                    <w:t>臭气浓度</w:t>
                  </w:r>
                </w:p>
              </w:tc>
              <w:tc>
                <w:tcPr>
                  <w:tcW w:w="1751" w:type="pct"/>
                  <w:tcBorders>
                    <w:tl2br w:val="nil"/>
                    <w:tr2bl w:val="nil"/>
                  </w:tcBorders>
                  <w:noWrap w:val="0"/>
                  <w:vAlign w:val="center"/>
                </w:tcPr>
                <w:p w14:paraId="60B58546">
                  <w:pPr>
                    <w:keepNext w:val="0"/>
                    <w:keepLines w:val="0"/>
                    <w:widowControl/>
                    <w:suppressLineNumbers w:val="0"/>
                    <w:jc w:val="center"/>
                    <w:textAlignment w:val="center"/>
                    <w:rPr>
                      <w:rFonts w:hint="default" w:cs="宋体"/>
                      <w:i w:val="0"/>
                      <w:iCs w:val="0"/>
                      <w:caps w:val="0"/>
                      <w:color w:val="000000" w:themeColor="text1"/>
                      <w:kern w:val="0"/>
                      <w:sz w:val="21"/>
                      <w:szCs w:val="21"/>
                      <w:highlight w:val="none"/>
                      <w:u w:val="none"/>
                      <w:lang w:val="en-US" w:eastAsia="zh-CN" w:bidi="ar"/>
                      <w14:textFill>
                        <w14:solidFill>
                          <w14:schemeClr w14:val="tx1"/>
                        </w14:solidFill>
                      </w14:textFill>
                    </w:rPr>
                  </w:pPr>
                  <w:r>
                    <w:rPr>
                      <w:rFonts w:hint="eastAsia" w:cs="宋体"/>
                      <w:i w:val="0"/>
                      <w:iCs w:val="0"/>
                      <w:caps w:val="0"/>
                      <w:color w:val="000000" w:themeColor="text1"/>
                      <w:kern w:val="0"/>
                      <w:sz w:val="21"/>
                      <w:szCs w:val="21"/>
                      <w:highlight w:val="none"/>
                      <w:u w:val="none"/>
                      <w:lang w:val="en-US" w:eastAsia="zh-CN" w:bidi="ar"/>
                      <w14:textFill>
                        <w14:solidFill>
                          <w14:schemeClr w14:val="tx1"/>
                        </w14:solidFill>
                      </w14:textFill>
                    </w:rPr>
                    <w:t>/</w:t>
                  </w:r>
                </w:p>
              </w:tc>
            </w:tr>
            <w:tr w14:paraId="1DF6FF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623" w:type="pct"/>
                  <w:vMerge w:val="restart"/>
                  <w:tcBorders>
                    <w:tl2br w:val="nil"/>
                    <w:tr2bl w:val="nil"/>
                  </w:tcBorders>
                  <w:noWrap/>
                  <w:vAlign w:val="center"/>
                </w:tcPr>
                <w:p w14:paraId="11818B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总计</w:t>
                  </w:r>
                </w:p>
              </w:tc>
              <w:tc>
                <w:tcPr>
                  <w:tcW w:w="1625" w:type="pct"/>
                  <w:tcBorders>
                    <w:tl2br w:val="nil"/>
                    <w:tr2bl w:val="nil"/>
                  </w:tcBorders>
                  <w:noWrap/>
                  <w:vAlign w:val="center"/>
                </w:tcPr>
                <w:p w14:paraId="2230BF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t>颗粒物</w:t>
                  </w:r>
                </w:p>
              </w:tc>
              <w:tc>
                <w:tcPr>
                  <w:tcW w:w="1751" w:type="pct"/>
                  <w:tcBorders>
                    <w:tl2br w:val="nil"/>
                    <w:tr2bl w:val="nil"/>
                  </w:tcBorders>
                  <w:noWrap/>
                  <w:vAlign w:val="center"/>
                </w:tcPr>
                <w:p w14:paraId="1D3871AA">
                  <w:pPr>
                    <w:keepNext w:val="0"/>
                    <w:keepLines w:val="0"/>
                    <w:widowControl/>
                    <w:suppressLineNumbers w:val="0"/>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cs="Times New Roman"/>
                      <w:caps w:val="0"/>
                      <w:color w:val="000000" w:themeColor="text1"/>
                      <w:sz w:val="21"/>
                      <w:szCs w:val="21"/>
                      <w:highlight w:val="none"/>
                      <w:lang w:val="en-US" w:eastAsia="zh-CN"/>
                      <w14:textFill>
                        <w14:solidFill>
                          <w14:schemeClr w14:val="tx1"/>
                        </w14:solidFill>
                      </w14:textFill>
                    </w:rPr>
                    <w:t>0.14</w:t>
                  </w:r>
                </w:p>
              </w:tc>
            </w:tr>
            <w:tr w14:paraId="4F414D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623" w:type="pct"/>
                  <w:vMerge w:val="continue"/>
                  <w:tcBorders>
                    <w:tl2br w:val="nil"/>
                    <w:tr2bl w:val="nil"/>
                  </w:tcBorders>
                  <w:noWrap/>
                  <w:vAlign w:val="center"/>
                </w:tcPr>
                <w:p w14:paraId="147EA3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625" w:type="pct"/>
                  <w:tcBorders>
                    <w:tl2br w:val="nil"/>
                    <w:tr2bl w:val="nil"/>
                  </w:tcBorders>
                  <w:noWrap/>
                  <w:vAlign w:val="center"/>
                </w:tcPr>
                <w:p w14:paraId="2887E4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非甲烷总烃</w:t>
                  </w:r>
                </w:p>
              </w:tc>
              <w:tc>
                <w:tcPr>
                  <w:tcW w:w="1751" w:type="pct"/>
                  <w:tcBorders>
                    <w:tl2br w:val="nil"/>
                    <w:tr2bl w:val="nil"/>
                  </w:tcBorders>
                  <w:noWrap/>
                  <w:vAlign w:val="center"/>
                </w:tcPr>
                <w:p w14:paraId="6364BBB1">
                  <w:pPr>
                    <w:keepNext w:val="0"/>
                    <w:keepLines w:val="0"/>
                    <w:widowControl/>
                    <w:suppressLineNumbers w:val="0"/>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cs="Times New Roman"/>
                      <w:caps w:val="0"/>
                      <w:color w:val="000000" w:themeColor="text1"/>
                      <w:sz w:val="21"/>
                      <w:szCs w:val="21"/>
                      <w:highlight w:val="none"/>
                      <w:lang w:val="en-US" w:eastAsia="zh-CN"/>
                      <w14:textFill>
                        <w14:solidFill>
                          <w14:schemeClr w14:val="tx1"/>
                        </w14:solidFill>
                      </w14:textFill>
                    </w:rPr>
                    <w:t>0.0513</w:t>
                  </w:r>
                </w:p>
              </w:tc>
            </w:tr>
            <w:tr w14:paraId="065F6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623" w:type="pct"/>
                  <w:vMerge w:val="continue"/>
                  <w:tcBorders>
                    <w:tl2br w:val="nil"/>
                    <w:tr2bl w:val="nil"/>
                  </w:tcBorders>
                  <w:noWrap/>
                  <w:vAlign w:val="center"/>
                </w:tcPr>
                <w:p w14:paraId="14D949B3">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625" w:type="pct"/>
                  <w:tcBorders>
                    <w:tl2br w:val="nil"/>
                    <w:tr2bl w:val="nil"/>
                  </w:tcBorders>
                  <w:noWrap w:val="0"/>
                  <w:vAlign w:val="center"/>
                </w:tcPr>
                <w:p w14:paraId="6DE104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caps w:val="0"/>
                      <w:color w:val="000000" w:themeColor="text1"/>
                      <w:kern w:val="0"/>
                      <w:sz w:val="21"/>
                      <w:szCs w:val="21"/>
                      <w:highlight w:val="none"/>
                      <w:lang w:val="en-US" w:eastAsia="zh-CN" w:bidi="ar"/>
                      <w14:textFill>
                        <w14:solidFill>
                          <w14:schemeClr w14:val="tx1"/>
                        </w14:solidFill>
                      </w14:textFill>
                    </w:rPr>
                    <w:t>氨</w:t>
                  </w:r>
                </w:p>
              </w:tc>
              <w:tc>
                <w:tcPr>
                  <w:tcW w:w="1751" w:type="pct"/>
                  <w:tcBorders>
                    <w:tl2br w:val="nil"/>
                    <w:tr2bl w:val="nil"/>
                  </w:tcBorders>
                  <w:noWrap/>
                  <w:vAlign w:val="center"/>
                </w:tcPr>
                <w:p w14:paraId="066DDC74">
                  <w:pPr>
                    <w:keepNext w:val="0"/>
                    <w:keepLines w:val="0"/>
                    <w:widowControl/>
                    <w:suppressLineNumbers w:val="0"/>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cs="Times New Roman"/>
                      <w:caps w:val="0"/>
                      <w:color w:val="000000" w:themeColor="text1"/>
                      <w:sz w:val="21"/>
                      <w:szCs w:val="21"/>
                      <w:highlight w:val="none"/>
                      <w:lang w:val="en-US" w:eastAsia="zh-CN"/>
                      <w14:textFill>
                        <w14:solidFill>
                          <w14:schemeClr w14:val="tx1"/>
                        </w14:solidFill>
                      </w14:textFill>
                    </w:rPr>
                    <w:t>0.0057</w:t>
                  </w:r>
                </w:p>
              </w:tc>
            </w:tr>
            <w:tr w14:paraId="73B9E9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623" w:type="pct"/>
                  <w:vMerge w:val="continue"/>
                  <w:tcBorders>
                    <w:tl2br w:val="nil"/>
                    <w:tr2bl w:val="nil"/>
                  </w:tcBorders>
                  <w:noWrap/>
                  <w:vAlign w:val="center"/>
                </w:tcPr>
                <w:p w14:paraId="0406AB07">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625" w:type="pct"/>
                  <w:tcBorders>
                    <w:tl2br w:val="nil"/>
                    <w:tr2bl w:val="nil"/>
                  </w:tcBorders>
                  <w:noWrap w:val="0"/>
                  <w:vAlign w:val="center"/>
                </w:tcPr>
                <w:p w14:paraId="63B55C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caps w:val="0"/>
                      <w:color w:val="000000" w:themeColor="text1"/>
                      <w:kern w:val="0"/>
                      <w:sz w:val="21"/>
                      <w:szCs w:val="21"/>
                      <w:highlight w:val="none"/>
                      <w:lang w:val="en-US" w:eastAsia="zh-CN" w:bidi="ar"/>
                      <w14:textFill>
                        <w14:solidFill>
                          <w14:schemeClr w14:val="tx1"/>
                        </w14:solidFill>
                      </w14:textFill>
                    </w:rPr>
                  </w:pPr>
                  <w:r>
                    <w:rPr>
                      <w:rFonts w:hint="eastAsia"/>
                      <w:caps w:val="0"/>
                      <w:color w:val="000000" w:themeColor="text1"/>
                      <w:kern w:val="0"/>
                      <w:sz w:val="21"/>
                      <w:szCs w:val="21"/>
                      <w:highlight w:val="none"/>
                      <w:lang w:val="en-US" w:eastAsia="zh-CN" w:bidi="ar"/>
                      <w14:textFill>
                        <w14:solidFill>
                          <w14:schemeClr w14:val="tx1"/>
                        </w14:solidFill>
                      </w14:textFill>
                    </w:rPr>
                    <w:t>臭气浓度</w:t>
                  </w:r>
                </w:p>
              </w:tc>
              <w:tc>
                <w:tcPr>
                  <w:tcW w:w="1751" w:type="pct"/>
                  <w:tcBorders>
                    <w:tl2br w:val="nil"/>
                    <w:tr2bl w:val="nil"/>
                  </w:tcBorders>
                  <w:noWrap/>
                  <w:vAlign w:val="center"/>
                </w:tcPr>
                <w:p w14:paraId="257A7B18">
                  <w:pPr>
                    <w:keepNext w:val="0"/>
                    <w:keepLines w:val="0"/>
                    <w:widowControl/>
                    <w:suppressLineNumbers w:val="0"/>
                    <w:jc w:val="center"/>
                    <w:textAlignment w:val="center"/>
                    <w:rPr>
                      <w:rFonts w:hint="default" w:cs="Times New Roman"/>
                      <w:caps w:val="0"/>
                      <w:color w:val="000000" w:themeColor="text1"/>
                      <w:sz w:val="21"/>
                      <w:szCs w:val="21"/>
                      <w:highlight w:val="none"/>
                      <w:lang w:val="en-US" w:eastAsia="zh-CN"/>
                      <w14:textFill>
                        <w14:solidFill>
                          <w14:schemeClr w14:val="tx1"/>
                        </w14:solidFill>
                      </w14:textFill>
                    </w:rPr>
                  </w:pPr>
                  <w:r>
                    <w:rPr>
                      <w:rFonts w:hint="eastAsia" w:cs="Times New Roman"/>
                      <w:caps w:val="0"/>
                      <w:color w:val="000000" w:themeColor="text1"/>
                      <w:sz w:val="21"/>
                      <w:szCs w:val="21"/>
                      <w:highlight w:val="none"/>
                      <w:lang w:val="en-US" w:eastAsia="zh-CN"/>
                      <w14:textFill>
                        <w14:solidFill>
                          <w14:schemeClr w14:val="tx1"/>
                        </w14:solidFill>
                      </w14:textFill>
                    </w:rPr>
                    <w:t>/</w:t>
                  </w:r>
                </w:p>
              </w:tc>
            </w:tr>
          </w:tbl>
          <w:p w14:paraId="3C6630F4">
            <w:pPr>
              <w:pStyle w:val="7"/>
              <w:rPr>
                <w:rFonts w:ascii="Times New Roman" w:hAnsi="Times New Roman" w:eastAsia="宋体"/>
                <w:caps w:val="0"/>
                <w:color w:val="000000" w:themeColor="text1"/>
                <w:highlight w:val="none"/>
                <w14:textFill>
                  <w14:solidFill>
                    <w14:schemeClr w14:val="tx1"/>
                  </w14:solidFill>
                </w14:textFill>
              </w:rPr>
            </w:pPr>
          </w:p>
        </w:tc>
      </w:tr>
    </w:tbl>
    <w:p w14:paraId="2D9BE0A5">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sectPr>
          <w:pgSz w:w="16840" w:h="11907" w:orient="landscape"/>
          <w:pgMar w:top="1531" w:right="1701" w:bottom="1531" w:left="2126" w:header="851" w:footer="851" w:gutter="0"/>
          <w:pgBorders>
            <w:top w:val="none" w:sz="0" w:space="0"/>
            <w:left w:val="none" w:sz="0" w:space="0"/>
            <w:bottom w:val="none" w:sz="0" w:space="0"/>
            <w:right w:val="none" w:sz="0" w:space="0"/>
          </w:pgBorders>
          <w:cols w:space="720" w:num="1"/>
          <w:docGrid w:linePitch="312" w:charSpace="0"/>
        </w:sectPr>
      </w:pPr>
    </w:p>
    <w:tbl>
      <w:tblPr>
        <w:tblStyle w:val="21"/>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6"/>
        <w:gridCol w:w="8165"/>
      </w:tblGrid>
      <w:tr w14:paraId="6B4F8B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80" w:hRule="atLeast"/>
          <w:jc w:val="center"/>
        </w:trPr>
        <w:tc>
          <w:tcPr>
            <w:tcW w:w="816" w:type="dxa"/>
            <w:tcMar>
              <w:left w:w="28" w:type="dxa"/>
              <w:right w:w="28" w:type="dxa"/>
            </w:tcMar>
            <w:vAlign w:val="center"/>
          </w:tcPr>
          <w:p w14:paraId="432A1989">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运营</w:t>
            </w:r>
          </w:p>
          <w:p w14:paraId="38BACCE2">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期环</w:t>
            </w:r>
          </w:p>
          <w:p w14:paraId="1C6A78E7">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境影</w:t>
            </w:r>
          </w:p>
          <w:p w14:paraId="6899FE74">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响和</w:t>
            </w:r>
          </w:p>
          <w:p w14:paraId="4C812B8F">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保护</w:t>
            </w:r>
          </w:p>
          <w:p w14:paraId="72C07A63">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措施</w:t>
            </w:r>
          </w:p>
        </w:tc>
        <w:tc>
          <w:tcPr>
            <w:tcW w:w="8165" w:type="dxa"/>
            <w:vAlign w:val="center"/>
          </w:tcPr>
          <w:p w14:paraId="3E5552C5">
            <w:pPr>
              <w:keepNext/>
              <w:keepLines/>
              <w:spacing w:before="120" w:beforeLines="50" w:line="360" w:lineRule="auto"/>
              <w:ind w:firstLine="472" w:firstLineChars="196"/>
              <w:outlineLvl w:val="2"/>
              <w:rPr>
                <w:rFonts w:ascii="Times New Roman" w:hAnsi="Times New Roman" w:eastAsia="宋体"/>
                <w:b/>
                <w:bCs/>
                <w:caps w:val="0"/>
                <w:color w:val="000000" w:themeColor="text1"/>
                <w:sz w:val="24"/>
                <w:szCs w:val="32"/>
                <w:highlight w:val="none"/>
                <w14:textFill>
                  <w14:solidFill>
                    <w14:schemeClr w14:val="tx1"/>
                  </w14:solidFill>
                </w14:textFill>
              </w:rPr>
            </w:pPr>
            <w:r>
              <w:rPr>
                <w:rFonts w:hint="eastAsia" w:ascii="Times New Roman" w:hAnsi="Times New Roman" w:eastAsia="宋体"/>
                <w:b/>
                <w:bCs/>
                <w:caps w:val="0"/>
                <w:color w:val="000000" w:themeColor="text1"/>
                <w:sz w:val="24"/>
                <w:szCs w:val="32"/>
                <w:highlight w:val="none"/>
                <w14:textFill>
                  <w14:solidFill>
                    <w14:schemeClr w14:val="tx1"/>
                  </w14:solidFill>
                </w14:textFill>
              </w:rPr>
              <w:t>2、废气非正常排放</w:t>
            </w:r>
          </w:p>
          <w:p w14:paraId="67869C84">
            <w:pPr>
              <w:tabs>
                <w:tab w:val="left" w:pos="1077"/>
              </w:tabs>
              <w:spacing w:line="360" w:lineRule="auto"/>
              <w:ind w:firstLine="480" w:firstLineChars="200"/>
              <w:rPr>
                <w:rFonts w:ascii="Times New Roman" w:hAnsi="Times New Roman" w:eastAsia="宋体" w:cs="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43B62E97">
            <w:pPr>
              <w:tabs>
                <w:tab w:val="left" w:pos="1077"/>
              </w:tabs>
              <w:spacing w:line="360" w:lineRule="auto"/>
              <w:ind w:firstLine="480" w:firstLineChars="200"/>
              <w:rPr>
                <w:rFonts w:ascii="Times New Roman" w:hAnsi="Times New Roman" w:eastAsia="宋体" w:cs="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本项目非正常工况主要包括开、停车，检修；电力供应突然中断；废气处理设施故障。项目非正常工况会引起污染物的非正常排放。本项目非正常工况下情况分析如下：</w:t>
            </w:r>
          </w:p>
          <w:p w14:paraId="37830B92">
            <w:pPr>
              <w:tabs>
                <w:tab w:val="left" w:pos="1077"/>
              </w:tabs>
              <w:spacing w:line="360" w:lineRule="auto"/>
              <w:ind w:firstLine="480" w:firstLineChars="200"/>
              <w:rPr>
                <w:rFonts w:ascii="Times New Roman" w:hAnsi="Times New Roman" w:eastAsia="宋体" w:cs="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（1）开停车</w:t>
            </w:r>
          </w:p>
          <w:p w14:paraId="25F2033F">
            <w:pPr>
              <w:tabs>
                <w:tab w:val="left" w:pos="1077"/>
              </w:tabs>
              <w:spacing w:line="360" w:lineRule="auto"/>
              <w:ind w:firstLine="480" w:firstLineChars="200"/>
              <w:rPr>
                <w:rFonts w:ascii="Times New Roman" w:hAnsi="Times New Roman" w:eastAsia="宋体" w:cs="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项目计划停车，装置首先要停工，生产装置及环保设施等同步进行检修、维护和保养后，再开工生产。</w:t>
            </w:r>
          </w:p>
          <w:p w14:paraId="51332F8A">
            <w:pPr>
              <w:tabs>
                <w:tab w:val="left" w:pos="1077"/>
              </w:tabs>
              <w:spacing w:line="360" w:lineRule="auto"/>
              <w:ind w:firstLine="480" w:firstLineChars="200"/>
              <w:rPr>
                <w:rFonts w:ascii="Times New Roman" w:hAnsi="Times New Roman" w:eastAsia="宋体" w:cs="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（2）设备故障</w:t>
            </w:r>
          </w:p>
          <w:p w14:paraId="002D77DE">
            <w:pPr>
              <w:tabs>
                <w:tab w:val="left" w:pos="1077"/>
              </w:tabs>
              <w:spacing w:line="360" w:lineRule="auto"/>
              <w:ind w:firstLine="480" w:firstLineChars="200"/>
              <w:rPr>
                <w:rFonts w:ascii="Times New Roman" w:hAnsi="Times New Roman" w:eastAsia="宋体" w:cs="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当生产系统出现故障如停电、循环水系统故障，由于本项目采用双回路供电，出现停电的概率极低，循环水泵设置一定数量的备用泵，控制系统采用DCS自动控制系统，因此出现上述情况的概率较低。</w:t>
            </w:r>
          </w:p>
          <w:p w14:paraId="467DA37E">
            <w:pPr>
              <w:tabs>
                <w:tab w:val="left" w:pos="1077"/>
              </w:tabs>
              <w:spacing w:line="360" w:lineRule="auto"/>
              <w:ind w:firstLine="480" w:firstLineChars="200"/>
              <w:rPr>
                <w:rFonts w:ascii="Times New Roman" w:hAnsi="Times New Roman" w:eastAsia="宋体" w:cs="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114693DE">
            <w:pPr>
              <w:tabs>
                <w:tab w:val="left" w:pos="1077"/>
              </w:tabs>
              <w:spacing w:line="360" w:lineRule="auto"/>
              <w:ind w:firstLine="480" w:firstLineChars="200"/>
              <w:rPr>
                <w:rFonts w:ascii="Times New Roman" w:hAnsi="Times New Roman" w:eastAsia="宋体" w:cs="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（3）废气处置效率降低</w:t>
            </w:r>
          </w:p>
          <w:p w14:paraId="23428B2C">
            <w:pPr>
              <w:tabs>
                <w:tab w:val="left" w:pos="1077"/>
              </w:tabs>
              <w:spacing w:line="360" w:lineRule="auto"/>
              <w:ind w:firstLine="480" w:firstLineChars="200"/>
              <w:rPr>
                <w:rFonts w:ascii="Times New Roman" w:hAnsi="Times New Roman" w:eastAsia="宋体" w:cs="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鉴于拟建项目产污主要集中在生产车间，污染物产生种类较少，拟建项目非正常工况为配套的废气处理装置处理效率无法达到设计效率时，（非正常工况年排放时间按1h时间计算），废气在未经有效处理的情况通过排气筒排放，非正常工况下废气排放详见下表。本次评价要求企业定期检查尾气处理装置，严格管理，避免失效工况发生。</w:t>
            </w:r>
          </w:p>
          <w:p w14:paraId="5C1E55D0">
            <w:pPr>
              <w:pStyle w:val="97"/>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aps w:val="0"/>
                <w:color w:val="000000" w:themeColor="text1"/>
                <w:sz w:val="24"/>
                <w:szCs w:val="24"/>
                <w:highlight w:val="none"/>
                <w14:textFill>
                  <w14:solidFill>
                    <w14:schemeClr w14:val="tx1"/>
                  </w14:solidFill>
                </w14:textFill>
              </w:rPr>
            </w:pPr>
          </w:p>
          <w:p w14:paraId="40B0282C">
            <w:pPr>
              <w:pStyle w:val="97"/>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aps w:val="0"/>
                <w:color w:val="000000" w:themeColor="text1"/>
                <w:sz w:val="24"/>
                <w:szCs w:val="24"/>
                <w:highlight w:val="none"/>
                <w14:textFill>
                  <w14:solidFill>
                    <w14:schemeClr w14:val="tx1"/>
                  </w14:solidFill>
                </w14:textFill>
              </w:rPr>
            </w:pPr>
          </w:p>
          <w:p w14:paraId="3A127252">
            <w:pPr>
              <w:pStyle w:val="97"/>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表</w:t>
            </w:r>
            <w:r>
              <w:rPr>
                <w:rFonts w:hint="eastAsia" w:ascii="Times New Roman" w:hAnsi="Times New Roman" w:eastAsia="宋体"/>
                <w:caps w:val="0"/>
                <w:color w:val="000000" w:themeColor="text1"/>
                <w:sz w:val="24"/>
                <w:szCs w:val="24"/>
                <w:highlight w:val="none"/>
                <w:lang w:val="en-US"/>
                <w14:textFill>
                  <w14:solidFill>
                    <w14:schemeClr w14:val="tx1"/>
                  </w14:solidFill>
                </w14:textFill>
              </w:rPr>
              <w:t>4-</w:t>
            </w:r>
            <w:r>
              <w:rPr>
                <w:rFonts w:hint="eastAsia"/>
                <w:caps w:val="0"/>
                <w:color w:val="000000" w:themeColor="text1"/>
                <w:sz w:val="24"/>
                <w:szCs w:val="24"/>
                <w:highlight w:val="none"/>
                <w:lang w:val="en-US" w:eastAsia="zh-CN"/>
                <w14:textFill>
                  <w14:solidFill>
                    <w14:schemeClr w14:val="tx1"/>
                  </w14:solidFill>
                </w14:textFill>
              </w:rPr>
              <w:t>8</w:t>
            </w:r>
            <w:r>
              <w:rPr>
                <w:rFonts w:ascii="Times New Roman" w:hAnsi="Times New Roman" w:eastAsia="宋体"/>
                <w:caps w:val="0"/>
                <w:color w:val="000000" w:themeColor="text1"/>
                <w:sz w:val="24"/>
                <w:szCs w:val="24"/>
                <w:highlight w:val="none"/>
                <w14:textFill>
                  <w14:solidFill>
                    <w14:schemeClr w14:val="tx1"/>
                  </w14:solidFill>
                </w14:textFill>
              </w:rPr>
              <w:t xml:space="preserve">  非正常排放参数表</w:t>
            </w:r>
          </w:p>
          <w:tbl>
            <w:tblPr>
              <w:tblStyle w:val="21"/>
              <w:tblW w:w="799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92"/>
              <w:gridCol w:w="1009"/>
              <w:gridCol w:w="676"/>
              <w:gridCol w:w="771"/>
              <w:gridCol w:w="816"/>
              <w:gridCol w:w="667"/>
              <w:gridCol w:w="950"/>
              <w:gridCol w:w="2417"/>
            </w:tblGrid>
            <w:tr w14:paraId="51925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35" w:hRule="atLeast"/>
              </w:trPr>
              <w:tc>
                <w:tcPr>
                  <w:tcW w:w="692" w:type="dxa"/>
                  <w:tcBorders>
                    <w:tl2br w:val="nil"/>
                    <w:tr2bl w:val="nil"/>
                  </w:tcBorders>
                  <w:noWrap/>
                  <w:vAlign w:val="center"/>
                </w:tcPr>
                <w:p w14:paraId="1470F6B3">
                  <w:pPr>
                    <w:pStyle w:val="96"/>
                    <w:rPr>
                      <w:rFonts w:hint="eastAsia" w:ascii="Times New Roman" w:hAnsi="Times New Roman" w:eastAsia="宋体"/>
                      <w:b/>
                      <w:bCs/>
                      <w:caps w:val="0"/>
                      <w:color w:val="000000" w:themeColor="text1"/>
                      <w:highlight w:val="none"/>
                      <w14:textFill>
                        <w14:solidFill>
                          <w14:schemeClr w14:val="tx1"/>
                        </w14:solidFill>
                      </w14:textFill>
                    </w:rPr>
                  </w:pPr>
                  <w:r>
                    <w:rPr>
                      <w:rFonts w:ascii="Times New Roman" w:hAnsi="Times New Roman" w:eastAsia="宋体"/>
                      <w:b/>
                      <w:bCs/>
                      <w:caps w:val="0"/>
                      <w:color w:val="000000" w:themeColor="text1"/>
                      <w:highlight w:val="none"/>
                      <w14:textFill>
                        <w14:solidFill>
                          <w14:schemeClr w14:val="tx1"/>
                        </w14:solidFill>
                      </w14:textFill>
                    </w:rPr>
                    <w:t>非正常</w:t>
                  </w:r>
                </w:p>
                <w:p w14:paraId="4C416753">
                  <w:pPr>
                    <w:pStyle w:val="96"/>
                    <w:rPr>
                      <w:rFonts w:ascii="Times New Roman" w:hAnsi="Times New Roman" w:eastAsia="宋体"/>
                      <w:b/>
                      <w:bCs/>
                      <w:caps w:val="0"/>
                      <w:color w:val="000000" w:themeColor="text1"/>
                      <w:highlight w:val="none"/>
                      <w14:textFill>
                        <w14:solidFill>
                          <w14:schemeClr w14:val="tx1"/>
                        </w14:solidFill>
                      </w14:textFill>
                    </w:rPr>
                  </w:pPr>
                  <w:r>
                    <w:rPr>
                      <w:rFonts w:ascii="Times New Roman" w:hAnsi="Times New Roman" w:eastAsia="宋体"/>
                      <w:b/>
                      <w:bCs/>
                      <w:caps w:val="0"/>
                      <w:color w:val="000000" w:themeColor="text1"/>
                      <w:highlight w:val="none"/>
                      <w14:textFill>
                        <w14:solidFill>
                          <w14:schemeClr w14:val="tx1"/>
                        </w14:solidFill>
                      </w14:textFill>
                    </w:rPr>
                    <w:t>排放源</w:t>
                  </w:r>
                </w:p>
              </w:tc>
              <w:tc>
                <w:tcPr>
                  <w:tcW w:w="1009" w:type="dxa"/>
                  <w:tcBorders>
                    <w:tl2br w:val="nil"/>
                    <w:tr2bl w:val="nil"/>
                  </w:tcBorders>
                  <w:noWrap/>
                  <w:vAlign w:val="center"/>
                </w:tcPr>
                <w:p w14:paraId="2FD8DB34">
                  <w:pPr>
                    <w:pStyle w:val="96"/>
                    <w:rPr>
                      <w:rFonts w:ascii="Times New Roman" w:hAnsi="Times New Roman" w:eastAsia="宋体"/>
                      <w:b/>
                      <w:bCs/>
                      <w:caps w:val="0"/>
                      <w:color w:val="000000" w:themeColor="text1"/>
                      <w:highlight w:val="none"/>
                      <w14:textFill>
                        <w14:solidFill>
                          <w14:schemeClr w14:val="tx1"/>
                        </w14:solidFill>
                      </w14:textFill>
                    </w:rPr>
                  </w:pPr>
                  <w:r>
                    <w:rPr>
                      <w:rFonts w:ascii="Times New Roman" w:hAnsi="Times New Roman" w:eastAsia="宋体"/>
                      <w:b/>
                      <w:bCs/>
                      <w:caps w:val="0"/>
                      <w:color w:val="000000" w:themeColor="text1"/>
                      <w:highlight w:val="none"/>
                      <w14:textFill>
                        <w14:solidFill>
                          <w14:schemeClr w14:val="tx1"/>
                        </w14:solidFill>
                      </w14:textFill>
                    </w:rPr>
                    <w:t>非正常排放原因</w:t>
                  </w:r>
                </w:p>
              </w:tc>
              <w:tc>
                <w:tcPr>
                  <w:tcW w:w="676" w:type="dxa"/>
                  <w:tcBorders>
                    <w:tl2br w:val="nil"/>
                    <w:tr2bl w:val="nil"/>
                  </w:tcBorders>
                  <w:noWrap/>
                  <w:vAlign w:val="center"/>
                </w:tcPr>
                <w:p w14:paraId="06E41AD9">
                  <w:pPr>
                    <w:pStyle w:val="96"/>
                    <w:rPr>
                      <w:rFonts w:ascii="Times New Roman" w:hAnsi="Times New Roman" w:eastAsia="宋体"/>
                      <w:b/>
                      <w:bCs/>
                      <w:caps w:val="0"/>
                      <w:color w:val="000000" w:themeColor="text1"/>
                      <w:highlight w:val="none"/>
                      <w14:textFill>
                        <w14:solidFill>
                          <w14:schemeClr w14:val="tx1"/>
                        </w14:solidFill>
                      </w14:textFill>
                    </w:rPr>
                  </w:pPr>
                  <w:r>
                    <w:rPr>
                      <w:rFonts w:ascii="Times New Roman" w:hAnsi="Times New Roman" w:eastAsia="宋体"/>
                      <w:b/>
                      <w:bCs/>
                      <w:caps w:val="0"/>
                      <w:color w:val="000000" w:themeColor="text1"/>
                      <w:highlight w:val="none"/>
                      <w14:textFill>
                        <w14:solidFill>
                          <w14:schemeClr w14:val="tx1"/>
                        </w14:solidFill>
                      </w14:textFill>
                    </w:rPr>
                    <w:t>污染物</w:t>
                  </w:r>
                </w:p>
              </w:tc>
              <w:tc>
                <w:tcPr>
                  <w:tcW w:w="771" w:type="dxa"/>
                  <w:tcBorders>
                    <w:tl2br w:val="nil"/>
                    <w:tr2bl w:val="nil"/>
                  </w:tcBorders>
                  <w:noWrap/>
                  <w:vAlign w:val="center"/>
                </w:tcPr>
                <w:p w14:paraId="6B17A9E6">
                  <w:pPr>
                    <w:pStyle w:val="96"/>
                    <w:rPr>
                      <w:rFonts w:ascii="Times New Roman" w:hAnsi="Times New Roman" w:eastAsia="宋体"/>
                      <w:b/>
                      <w:bCs/>
                      <w:caps w:val="0"/>
                      <w:color w:val="000000" w:themeColor="text1"/>
                      <w:highlight w:val="none"/>
                      <w14:textFill>
                        <w14:solidFill>
                          <w14:schemeClr w14:val="tx1"/>
                        </w14:solidFill>
                      </w14:textFill>
                    </w:rPr>
                  </w:pPr>
                  <w:r>
                    <w:rPr>
                      <w:rFonts w:ascii="Times New Roman" w:hAnsi="Times New Roman" w:eastAsia="宋体"/>
                      <w:b/>
                      <w:bCs/>
                      <w:caps w:val="0"/>
                      <w:color w:val="000000" w:themeColor="text1"/>
                      <w:highlight w:val="none"/>
                      <w14:textFill>
                        <w14:solidFill>
                          <w14:schemeClr w14:val="tx1"/>
                        </w14:solidFill>
                      </w14:textFill>
                    </w:rPr>
                    <w:t>单次持续时间/h</w:t>
                  </w:r>
                </w:p>
              </w:tc>
              <w:tc>
                <w:tcPr>
                  <w:tcW w:w="816" w:type="dxa"/>
                  <w:tcBorders>
                    <w:tl2br w:val="nil"/>
                    <w:tr2bl w:val="nil"/>
                  </w:tcBorders>
                  <w:noWrap/>
                  <w:vAlign w:val="center"/>
                </w:tcPr>
                <w:p w14:paraId="0D8E3CD6">
                  <w:pPr>
                    <w:pStyle w:val="96"/>
                    <w:rPr>
                      <w:rFonts w:ascii="Times New Roman" w:hAnsi="Times New Roman" w:eastAsia="宋体"/>
                      <w:b/>
                      <w:bCs/>
                      <w:caps w:val="0"/>
                      <w:color w:val="000000" w:themeColor="text1"/>
                      <w:highlight w:val="none"/>
                      <w14:textFill>
                        <w14:solidFill>
                          <w14:schemeClr w14:val="tx1"/>
                        </w14:solidFill>
                      </w14:textFill>
                    </w:rPr>
                  </w:pPr>
                  <w:r>
                    <w:rPr>
                      <w:rFonts w:ascii="Times New Roman" w:hAnsi="Times New Roman" w:eastAsia="宋体"/>
                      <w:b/>
                      <w:bCs/>
                      <w:caps w:val="0"/>
                      <w:color w:val="000000" w:themeColor="text1"/>
                      <w:highlight w:val="none"/>
                      <w14:textFill>
                        <w14:solidFill>
                          <w14:schemeClr w14:val="tx1"/>
                        </w14:solidFill>
                      </w14:textFill>
                    </w:rPr>
                    <w:t>年发生</w:t>
                  </w:r>
                </w:p>
                <w:p w14:paraId="083BEC04">
                  <w:pPr>
                    <w:pStyle w:val="96"/>
                    <w:rPr>
                      <w:rFonts w:ascii="Times New Roman" w:hAnsi="Times New Roman" w:eastAsia="宋体"/>
                      <w:b/>
                      <w:bCs/>
                      <w:caps w:val="0"/>
                      <w:color w:val="000000" w:themeColor="text1"/>
                      <w:highlight w:val="none"/>
                      <w14:textFill>
                        <w14:solidFill>
                          <w14:schemeClr w14:val="tx1"/>
                        </w14:solidFill>
                      </w14:textFill>
                    </w:rPr>
                  </w:pPr>
                  <w:r>
                    <w:rPr>
                      <w:rFonts w:ascii="Times New Roman" w:hAnsi="Times New Roman" w:eastAsia="宋体"/>
                      <w:b/>
                      <w:bCs/>
                      <w:caps w:val="0"/>
                      <w:color w:val="000000" w:themeColor="text1"/>
                      <w:highlight w:val="none"/>
                      <w14:textFill>
                        <w14:solidFill>
                          <w14:schemeClr w14:val="tx1"/>
                        </w14:solidFill>
                      </w14:textFill>
                    </w:rPr>
                    <w:t>频次/次</w:t>
                  </w:r>
                </w:p>
              </w:tc>
              <w:tc>
                <w:tcPr>
                  <w:tcW w:w="667" w:type="dxa"/>
                  <w:tcBorders>
                    <w:tl2br w:val="nil"/>
                    <w:tr2bl w:val="nil"/>
                  </w:tcBorders>
                  <w:noWrap/>
                  <w:vAlign w:val="center"/>
                </w:tcPr>
                <w:p w14:paraId="4523C5DE">
                  <w:pPr>
                    <w:pStyle w:val="96"/>
                    <w:rPr>
                      <w:rFonts w:ascii="Times New Roman" w:hAnsi="Times New Roman" w:eastAsia="宋体"/>
                      <w:b/>
                      <w:bCs/>
                      <w:caps w:val="0"/>
                      <w:color w:val="000000" w:themeColor="text1"/>
                      <w:highlight w:val="none"/>
                      <w14:textFill>
                        <w14:solidFill>
                          <w14:schemeClr w14:val="tx1"/>
                        </w14:solidFill>
                      </w14:textFill>
                    </w:rPr>
                  </w:pPr>
                  <w:r>
                    <w:rPr>
                      <w:rFonts w:hint="eastAsia" w:ascii="Times New Roman" w:hAnsi="Times New Roman" w:eastAsia="宋体"/>
                      <w:b/>
                      <w:bCs/>
                      <w:caps w:val="0"/>
                      <w:color w:val="000000" w:themeColor="text1"/>
                      <w:highlight w:val="none"/>
                      <w14:textFill>
                        <w14:solidFill>
                          <w14:schemeClr w14:val="tx1"/>
                        </w14:solidFill>
                      </w14:textFill>
                    </w:rPr>
                    <w:t>排放量（</w:t>
                  </w:r>
                  <w:r>
                    <w:rPr>
                      <w:rFonts w:hint="eastAsia"/>
                      <w:b/>
                      <w:bCs/>
                      <w:caps w:val="0"/>
                      <w:color w:val="000000" w:themeColor="text1"/>
                      <w:highlight w:val="none"/>
                      <w:lang w:val="en-US" w:eastAsia="zh-CN"/>
                      <w14:textFill>
                        <w14:solidFill>
                          <w14:schemeClr w14:val="tx1"/>
                        </w14:solidFill>
                      </w14:textFill>
                    </w:rPr>
                    <w:t>t</w:t>
                  </w:r>
                  <w:r>
                    <w:rPr>
                      <w:rFonts w:hint="eastAsia" w:ascii="Times New Roman" w:hAnsi="Times New Roman" w:eastAsia="宋体"/>
                      <w:b/>
                      <w:bCs/>
                      <w:caps w:val="0"/>
                      <w:color w:val="000000" w:themeColor="text1"/>
                      <w:highlight w:val="none"/>
                      <w14:textFill>
                        <w14:solidFill>
                          <w14:schemeClr w14:val="tx1"/>
                        </w14:solidFill>
                      </w14:textFill>
                    </w:rPr>
                    <w:t>）</w:t>
                  </w:r>
                </w:p>
              </w:tc>
              <w:tc>
                <w:tcPr>
                  <w:tcW w:w="950" w:type="dxa"/>
                  <w:tcBorders>
                    <w:tl2br w:val="nil"/>
                    <w:tr2bl w:val="nil"/>
                  </w:tcBorders>
                  <w:noWrap/>
                  <w:vAlign w:val="center"/>
                </w:tcPr>
                <w:p w14:paraId="6CEBF221">
                  <w:pPr>
                    <w:pStyle w:val="96"/>
                    <w:rPr>
                      <w:rFonts w:hint="eastAsia" w:ascii="Times New Roman" w:hAnsi="Times New Roman" w:eastAsia="宋体"/>
                      <w:b/>
                      <w:bCs/>
                      <w:caps w:val="0"/>
                      <w:color w:val="000000" w:themeColor="text1"/>
                      <w:highlight w:val="none"/>
                      <w:lang w:val="en-US" w:eastAsia="zh-CN"/>
                      <w14:textFill>
                        <w14:solidFill>
                          <w14:schemeClr w14:val="tx1"/>
                        </w14:solidFill>
                      </w14:textFill>
                    </w:rPr>
                  </w:pPr>
                  <w:r>
                    <w:rPr>
                      <w:rFonts w:hint="eastAsia" w:ascii="Times New Roman" w:hAnsi="Times New Roman" w:eastAsia="宋体"/>
                      <w:b/>
                      <w:bCs/>
                      <w:caps w:val="0"/>
                      <w:color w:val="000000" w:themeColor="text1"/>
                      <w:highlight w:val="none"/>
                      <w:lang w:val="en-US" w:eastAsia="zh-CN"/>
                      <w14:textFill>
                        <w14:solidFill>
                          <w14:schemeClr w14:val="tx1"/>
                        </w14:solidFill>
                      </w14:textFill>
                    </w:rPr>
                    <w:t>排放浓度</w:t>
                  </w:r>
                  <w:r>
                    <w:rPr>
                      <w:rFonts w:hint="eastAsia" w:ascii="Times New Roman" w:hAnsi="Times New Roman" w:eastAsia="宋体"/>
                      <w:b/>
                      <w:bCs/>
                      <w:caps w:val="0"/>
                      <w:color w:val="000000" w:themeColor="text1"/>
                      <w:sz w:val="21"/>
                      <w:szCs w:val="21"/>
                      <w:highlight w:val="none"/>
                      <w14:textFill>
                        <w14:solidFill>
                          <w14:schemeClr w14:val="tx1"/>
                        </w14:solidFill>
                      </w14:textFill>
                    </w:rPr>
                    <w:t>（mg/m</w:t>
                  </w:r>
                  <w:r>
                    <w:rPr>
                      <w:rFonts w:hint="eastAsia" w:ascii="Times New Roman" w:hAnsi="Times New Roman" w:eastAsia="宋体"/>
                      <w:b/>
                      <w:bCs/>
                      <w:caps w:val="0"/>
                      <w:color w:val="000000" w:themeColor="text1"/>
                      <w:sz w:val="21"/>
                      <w:szCs w:val="21"/>
                      <w:highlight w:val="none"/>
                      <w:vertAlign w:val="superscript"/>
                      <w14:textFill>
                        <w14:solidFill>
                          <w14:schemeClr w14:val="tx1"/>
                        </w14:solidFill>
                      </w14:textFill>
                    </w:rPr>
                    <w:t>3</w:t>
                  </w:r>
                  <w:r>
                    <w:rPr>
                      <w:rFonts w:hint="eastAsia" w:ascii="Times New Roman" w:hAnsi="Times New Roman" w:eastAsia="宋体"/>
                      <w:b/>
                      <w:bCs/>
                      <w:caps w:val="0"/>
                      <w:color w:val="000000" w:themeColor="text1"/>
                      <w:sz w:val="21"/>
                      <w:szCs w:val="21"/>
                      <w:highlight w:val="none"/>
                      <w14:textFill>
                        <w14:solidFill>
                          <w14:schemeClr w14:val="tx1"/>
                        </w14:solidFill>
                      </w14:textFill>
                    </w:rPr>
                    <w:t>）</w:t>
                  </w:r>
                </w:p>
              </w:tc>
              <w:tc>
                <w:tcPr>
                  <w:tcW w:w="2417" w:type="dxa"/>
                  <w:tcBorders>
                    <w:tl2br w:val="nil"/>
                    <w:tr2bl w:val="nil"/>
                  </w:tcBorders>
                  <w:noWrap/>
                  <w:vAlign w:val="center"/>
                </w:tcPr>
                <w:p w14:paraId="77B5D67B">
                  <w:pPr>
                    <w:pStyle w:val="96"/>
                    <w:rPr>
                      <w:rFonts w:hint="eastAsia" w:ascii="Times New Roman" w:hAnsi="Times New Roman" w:eastAsia="宋体"/>
                      <w:b/>
                      <w:bCs/>
                      <w:caps w:val="0"/>
                      <w:color w:val="000000" w:themeColor="text1"/>
                      <w:highlight w:val="none"/>
                      <w14:textFill>
                        <w14:solidFill>
                          <w14:schemeClr w14:val="tx1"/>
                        </w14:solidFill>
                      </w14:textFill>
                    </w:rPr>
                  </w:pPr>
                  <w:r>
                    <w:rPr>
                      <w:rFonts w:hint="eastAsia" w:ascii="Times New Roman" w:hAnsi="Times New Roman" w:eastAsia="宋体"/>
                      <w:b/>
                      <w:bCs/>
                      <w:caps w:val="0"/>
                      <w:color w:val="000000" w:themeColor="text1"/>
                      <w:highlight w:val="none"/>
                      <w14:textFill>
                        <w14:solidFill>
                          <w14:schemeClr w14:val="tx1"/>
                        </w14:solidFill>
                      </w14:textFill>
                    </w:rPr>
                    <w:t>措施</w:t>
                  </w:r>
                </w:p>
              </w:tc>
            </w:tr>
            <w:tr w14:paraId="7FBCFE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75" w:hRule="atLeast"/>
              </w:trPr>
              <w:tc>
                <w:tcPr>
                  <w:tcW w:w="692" w:type="dxa"/>
                  <w:vMerge w:val="restart"/>
                  <w:tcBorders>
                    <w:tl2br w:val="nil"/>
                    <w:tr2bl w:val="nil"/>
                  </w:tcBorders>
                  <w:noWrap/>
                  <w:vAlign w:val="center"/>
                </w:tcPr>
                <w:p w14:paraId="402E8D9B">
                  <w:pPr>
                    <w:pStyle w:val="96"/>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DA00</w:t>
                  </w:r>
                  <w:r>
                    <w:rPr>
                      <w:rFonts w:hint="eastAsia"/>
                      <w:caps w:val="0"/>
                      <w:color w:val="000000" w:themeColor="text1"/>
                      <w:highlight w:val="none"/>
                      <w:lang w:val="en-US" w:eastAsia="zh-CN"/>
                      <w14:textFill>
                        <w14:solidFill>
                          <w14:schemeClr w14:val="tx1"/>
                        </w14:solidFill>
                      </w14:textFill>
                    </w:rPr>
                    <w:t>2</w:t>
                  </w:r>
                  <w:r>
                    <w:rPr>
                      <w:rFonts w:hint="eastAsia" w:ascii="Times New Roman" w:hAnsi="Times New Roman" w:eastAsia="宋体"/>
                      <w:caps w:val="0"/>
                      <w:color w:val="000000" w:themeColor="text1"/>
                      <w:highlight w:val="none"/>
                      <w14:textFill>
                        <w14:solidFill>
                          <w14:schemeClr w14:val="tx1"/>
                        </w14:solidFill>
                      </w14:textFill>
                    </w:rPr>
                    <w:t>排气筒</w:t>
                  </w:r>
                </w:p>
              </w:tc>
              <w:tc>
                <w:tcPr>
                  <w:tcW w:w="1009" w:type="dxa"/>
                  <w:vMerge w:val="restart"/>
                  <w:tcBorders>
                    <w:tl2br w:val="nil"/>
                    <w:tr2bl w:val="nil"/>
                  </w:tcBorders>
                  <w:noWrap/>
                  <w:vAlign w:val="center"/>
                </w:tcPr>
                <w:p w14:paraId="61589247">
                  <w:pPr>
                    <w:pStyle w:val="96"/>
                    <w:ind w:firstLine="0" w:firstLineChars="0"/>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二</w:t>
                  </w:r>
                  <w:r>
                    <w:rPr>
                      <w:rFonts w:hint="eastAsia" w:ascii="Times New Roman" w:hAnsi="Times New Roman" w:eastAsia="宋体"/>
                      <w:caps w:val="0"/>
                      <w:color w:val="000000" w:themeColor="text1"/>
                      <w:highlight w:val="none"/>
                      <w:lang w:val="en-US" w:eastAsia="zh-CN"/>
                      <w14:textFill>
                        <w14:solidFill>
                          <w14:schemeClr w14:val="tx1"/>
                        </w14:solidFill>
                      </w14:textFill>
                    </w:rPr>
                    <w:t>级活性炭装置损坏</w:t>
                  </w:r>
                </w:p>
              </w:tc>
              <w:tc>
                <w:tcPr>
                  <w:tcW w:w="676" w:type="dxa"/>
                  <w:tcBorders>
                    <w:tl2br w:val="nil"/>
                    <w:tr2bl w:val="nil"/>
                  </w:tcBorders>
                  <w:noWrap/>
                  <w:vAlign w:val="center"/>
                </w:tcPr>
                <w:p w14:paraId="74D6154D">
                  <w:pPr>
                    <w:pStyle w:val="96"/>
                    <w:ind w:firstLine="0" w:firstLineChars="0"/>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ascii="Times New Roman" w:hAnsi="Times New Roman" w:eastAsia="宋体"/>
                      <w:caps w:val="0"/>
                      <w:color w:val="000000" w:themeColor="text1"/>
                      <w:highlight w:val="none"/>
                      <w:lang w:val="en-US" w:eastAsia="zh-CN"/>
                      <w14:textFill>
                        <w14:solidFill>
                          <w14:schemeClr w14:val="tx1"/>
                        </w14:solidFill>
                      </w14:textFill>
                    </w:rPr>
                    <w:t>非甲烷总烃</w:t>
                  </w:r>
                </w:p>
              </w:tc>
              <w:tc>
                <w:tcPr>
                  <w:tcW w:w="771" w:type="dxa"/>
                  <w:tcBorders>
                    <w:tl2br w:val="nil"/>
                    <w:tr2bl w:val="nil"/>
                  </w:tcBorders>
                  <w:noWrap/>
                  <w:vAlign w:val="center"/>
                </w:tcPr>
                <w:p w14:paraId="37DF2170">
                  <w:pPr>
                    <w:pStyle w:val="96"/>
                    <w:ind w:firstLine="0" w:firstLineChars="0"/>
                    <w:rPr>
                      <w:rFonts w:hint="eastAsia" w:ascii="Times New Roman" w:hAnsi="Times New Roman" w:eastAsia="宋体"/>
                      <w:caps w:val="0"/>
                      <w:color w:val="000000" w:themeColor="text1"/>
                      <w:highlight w:val="none"/>
                      <w:lang w:val="en-US" w:eastAsia="zh-CN"/>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1</w:t>
                  </w:r>
                </w:p>
              </w:tc>
              <w:tc>
                <w:tcPr>
                  <w:tcW w:w="816" w:type="dxa"/>
                  <w:tcBorders>
                    <w:tl2br w:val="nil"/>
                    <w:tr2bl w:val="nil"/>
                  </w:tcBorders>
                  <w:noWrap/>
                  <w:vAlign w:val="center"/>
                </w:tcPr>
                <w:p w14:paraId="74D1CD7C">
                  <w:pPr>
                    <w:pStyle w:val="96"/>
                    <w:ind w:firstLine="0" w:firstLineChars="0"/>
                    <w:rPr>
                      <w:rFonts w:hint="eastAsia" w:ascii="Times New Roman" w:hAnsi="Times New Roman" w:eastAsia="宋体"/>
                      <w:caps w:val="0"/>
                      <w:color w:val="000000" w:themeColor="text1"/>
                      <w:highlight w:val="none"/>
                      <w:lang w:val="en-US" w:eastAsia="zh-CN"/>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1</w:t>
                  </w:r>
                </w:p>
              </w:tc>
              <w:tc>
                <w:tcPr>
                  <w:tcW w:w="667" w:type="dxa"/>
                  <w:tcBorders>
                    <w:tl2br w:val="nil"/>
                    <w:tr2bl w:val="nil"/>
                  </w:tcBorders>
                  <w:noWrap/>
                  <w:vAlign w:val="center"/>
                </w:tcPr>
                <w:p w14:paraId="19648A3B">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0.243</w:t>
                  </w:r>
                </w:p>
              </w:tc>
              <w:tc>
                <w:tcPr>
                  <w:tcW w:w="950" w:type="dxa"/>
                  <w:tcBorders>
                    <w:tl2br w:val="nil"/>
                    <w:tr2bl w:val="nil"/>
                  </w:tcBorders>
                  <w:noWrap/>
                  <w:vAlign w:val="center"/>
                </w:tcPr>
                <w:p w14:paraId="543FB323">
                  <w:pPr>
                    <w:keepNext w:val="0"/>
                    <w:keepLines w:val="0"/>
                    <w:widowControl/>
                    <w:suppressLineNumbers w:val="0"/>
                    <w:jc w:val="center"/>
                    <w:textAlignment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4</w:t>
                  </w:r>
                </w:p>
              </w:tc>
              <w:tc>
                <w:tcPr>
                  <w:tcW w:w="2417" w:type="dxa"/>
                  <w:vMerge w:val="restart"/>
                  <w:tcBorders>
                    <w:tl2br w:val="nil"/>
                    <w:tr2bl w:val="nil"/>
                  </w:tcBorders>
                  <w:noWrap/>
                  <w:vAlign w:val="center"/>
                </w:tcPr>
                <w:p w14:paraId="0EB58191">
                  <w:pPr>
                    <w:pStyle w:val="96"/>
                    <w:rPr>
                      <w:rFonts w:hint="eastAsia"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①产生废气的生产工序立即停止操作；</w:t>
                  </w:r>
                </w:p>
                <w:p w14:paraId="31D099CF">
                  <w:pPr>
                    <w:pStyle w:val="96"/>
                    <w:rPr>
                      <w:rFonts w:hint="eastAsia"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②尽快查明原因，尽快修复废气处理系统；</w:t>
                  </w:r>
                </w:p>
                <w:p w14:paraId="2D562003">
                  <w:pPr>
                    <w:pStyle w:val="96"/>
                    <w:rPr>
                      <w:rFonts w:hint="eastAsia"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③专人对设施运行状态随时进行观察和检查；</w:t>
                  </w:r>
                </w:p>
                <w:p w14:paraId="00D894E1">
                  <w:pPr>
                    <w:pStyle w:val="96"/>
                    <w:rPr>
                      <w:rFonts w:hint="eastAsia"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④定期对废气处理设备进行维修和保养，适时大修。</w:t>
                  </w:r>
                </w:p>
              </w:tc>
            </w:tr>
            <w:tr w14:paraId="0E0006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2" w:hRule="atLeast"/>
              </w:trPr>
              <w:tc>
                <w:tcPr>
                  <w:tcW w:w="692" w:type="dxa"/>
                  <w:vMerge w:val="continue"/>
                  <w:tcBorders>
                    <w:tl2br w:val="nil"/>
                    <w:tr2bl w:val="nil"/>
                  </w:tcBorders>
                  <w:noWrap/>
                  <w:vAlign w:val="center"/>
                </w:tcPr>
                <w:p w14:paraId="1B0A0CD7">
                  <w:pPr>
                    <w:pStyle w:val="96"/>
                    <w:rPr>
                      <w:rFonts w:hint="eastAsia" w:ascii="Times New Roman" w:hAnsi="Times New Roman" w:eastAsia="宋体"/>
                      <w:caps w:val="0"/>
                      <w:color w:val="000000" w:themeColor="text1"/>
                      <w:highlight w:val="none"/>
                      <w14:textFill>
                        <w14:solidFill>
                          <w14:schemeClr w14:val="tx1"/>
                        </w14:solidFill>
                      </w14:textFill>
                    </w:rPr>
                  </w:pPr>
                </w:p>
              </w:tc>
              <w:tc>
                <w:tcPr>
                  <w:tcW w:w="1009" w:type="dxa"/>
                  <w:vMerge w:val="continue"/>
                  <w:tcBorders>
                    <w:tl2br w:val="nil"/>
                    <w:tr2bl w:val="nil"/>
                  </w:tcBorders>
                  <w:noWrap/>
                  <w:vAlign w:val="center"/>
                </w:tcPr>
                <w:p w14:paraId="3CF4F647">
                  <w:pPr>
                    <w:pStyle w:val="96"/>
                    <w:rPr>
                      <w:rFonts w:hint="eastAsia" w:ascii="Times New Roman" w:hAnsi="Times New Roman" w:eastAsia="宋体"/>
                      <w:caps w:val="0"/>
                      <w:color w:val="000000" w:themeColor="text1"/>
                      <w:highlight w:val="none"/>
                      <w:lang w:val="en-US" w:eastAsia="zh-CN"/>
                      <w14:textFill>
                        <w14:solidFill>
                          <w14:schemeClr w14:val="tx1"/>
                        </w14:solidFill>
                      </w14:textFill>
                    </w:rPr>
                  </w:pPr>
                </w:p>
              </w:tc>
              <w:tc>
                <w:tcPr>
                  <w:tcW w:w="676" w:type="dxa"/>
                  <w:tcBorders>
                    <w:tl2br w:val="nil"/>
                    <w:tr2bl w:val="nil"/>
                  </w:tcBorders>
                  <w:noWrap/>
                  <w:vAlign w:val="center"/>
                </w:tcPr>
                <w:p w14:paraId="67261691">
                  <w:pPr>
                    <w:pStyle w:val="96"/>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氨</w:t>
                  </w:r>
                </w:p>
              </w:tc>
              <w:tc>
                <w:tcPr>
                  <w:tcW w:w="771" w:type="dxa"/>
                  <w:tcBorders>
                    <w:tl2br w:val="nil"/>
                    <w:tr2bl w:val="nil"/>
                  </w:tcBorders>
                  <w:noWrap/>
                  <w:vAlign w:val="center"/>
                </w:tcPr>
                <w:p w14:paraId="19640832">
                  <w:pPr>
                    <w:pStyle w:val="96"/>
                    <w:ind w:firstLine="0" w:firstLineChars="0"/>
                    <w:rPr>
                      <w:rFonts w:hint="eastAsia"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1</w:t>
                  </w:r>
                </w:p>
              </w:tc>
              <w:tc>
                <w:tcPr>
                  <w:tcW w:w="816" w:type="dxa"/>
                  <w:tcBorders>
                    <w:tl2br w:val="nil"/>
                    <w:tr2bl w:val="nil"/>
                  </w:tcBorders>
                  <w:noWrap/>
                  <w:vAlign w:val="center"/>
                </w:tcPr>
                <w:p w14:paraId="454B9F9E">
                  <w:pPr>
                    <w:pStyle w:val="96"/>
                    <w:ind w:firstLine="0" w:firstLineChars="0"/>
                    <w:rPr>
                      <w:rFonts w:hint="eastAsia"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14:textFill>
                        <w14:solidFill>
                          <w14:schemeClr w14:val="tx1"/>
                        </w14:solidFill>
                      </w14:textFill>
                    </w:rPr>
                    <w:t>1</w:t>
                  </w:r>
                </w:p>
              </w:tc>
              <w:tc>
                <w:tcPr>
                  <w:tcW w:w="667" w:type="dxa"/>
                  <w:tcBorders>
                    <w:tl2br w:val="nil"/>
                    <w:tr2bl w:val="nil"/>
                  </w:tcBorders>
                  <w:noWrap/>
                  <w:vAlign w:val="center"/>
                </w:tcPr>
                <w:p w14:paraId="375346FE">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0.027</w:t>
                  </w:r>
                </w:p>
              </w:tc>
              <w:tc>
                <w:tcPr>
                  <w:tcW w:w="950" w:type="dxa"/>
                  <w:tcBorders>
                    <w:tl2br w:val="nil"/>
                    <w:tr2bl w:val="nil"/>
                  </w:tcBorders>
                  <w:noWrap/>
                  <w:vAlign w:val="center"/>
                </w:tcPr>
                <w:p w14:paraId="0197C131">
                  <w:pPr>
                    <w:keepNext w:val="0"/>
                    <w:keepLines w:val="0"/>
                    <w:widowControl/>
                    <w:suppressLineNumbers w:val="0"/>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0.47</w:t>
                  </w:r>
                </w:p>
              </w:tc>
              <w:tc>
                <w:tcPr>
                  <w:tcW w:w="2417" w:type="dxa"/>
                  <w:vMerge w:val="continue"/>
                  <w:tcBorders>
                    <w:tl2br w:val="nil"/>
                    <w:tr2bl w:val="nil"/>
                  </w:tcBorders>
                  <w:noWrap/>
                  <w:vAlign w:val="center"/>
                </w:tcPr>
                <w:p w14:paraId="632182E7">
                  <w:pPr>
                    <w:pStyle w:val="96"/>
                    <w:rPr>
                      <w:rFonts w:hint="eastAsia" w:ascii="Times New Roman" w:hAnsi="Times New Roman" w:eastAsia="宋体"/>
                      <w:caps w:val="0"/>
                      <w:color w:val="000000" w:themeColor="text1"/>
                      <w:highlight w:val="none"/>
                      <w14:textFill>
                        <w14:solidFill>
                          <w14:schemeClr w14:val="tx1"/>
                        </w14:solidFill>
                      </w14:textFill>
                    </w:rPr>
                  </w:pPr>
                </w:p>
              </w:tc>
            </w:tr>
            <w:tr w14:paraId="59A069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2" w:hRule="atLeast"/>
              </w:trPr>
              <w:tc>
                <w:tcPr>
                  <w:tcW w:w="692" w:type="dxa"/>
                  <w:vMerge w:val="continue"/>
                  <w:tcBorders>
                    <w:tl2br w:val="nil"/>
                    <w:tr2bl w:val="nil"/>
                  </w:tcBorders>
                  <w:noWrap/>
                  <w:vAlign w:val="center"/>
                </w:tcPr>
                <w:p w14:paraId="3B8B0837">
                  <w:pPr>
                    <w:keepNext w:val="0"/>
                    <w:keepLines w:val="0"/>
                    <w:widowControl/>
                    <w:suppressLineNumbers w:val="0"/>
                    <w:jc w:val="center"/>
                    <w:textAlignment w:val="center"/>
                  </w:pPr>
                </w:p>
              </w:tc>
              <w:tc>
                <w:tcPr>
                  <w:tcW w:w="1009" w:type="dxa"/>
                  <w:vMerge w:val="continue"/>
                  <w:tcBorders>
                    <w:tl2br w:val="nil"/>
                    <w:tr2bl w:val="nil"/>
                  </w:tcBorders>
                  <w:noWrap/>
                  <w:vAlign w:val="center"/>
                </w:tcPr>
                <w:p w14:paraId="32B6D121">
                  <w:pPr>
                    <w:keepNext w:val="0"/>
                    <w:keepLines w:val="0"/>
                    <w:widowControl/>
                    <w:suppressLineNumbers w:val="0"/>
                    <w:jc w:val="center"/>
                    <w:textAlignment w:val="center"/>
                  </w:pPr>
                </w:p>
              </w:tc>
              <w:tc>
                <w:tcPr>
                  <w:tcW w:w="676" w:type="dxa"/>
                  <w:tcBorders>
                    <w:tl2br w:val="nil"/>
                    <w:tr2bl w:val="nil"/>
                  </w:tcBorders>
                  <w:noWrap/>
                  <w:vAlign w:val="center"/>
                </w:tcPr>
                <w:p w14:paraId="7882775E">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臭气浓度</w:t>
                  </w:r>
                </w:p>
              </w:tc>
              <w:tc>
                <w:tcPr>
                  <w:tcW w:w="771" w:type="dxa"/>
                  <w:tcBorders>
                    <w:tl2br w:val="nil"/>
                    <w:tr2bl w:val="nil"/>
                  </w:tcBorders>
                  <w:noWrap/>
                  <w:vAlign w:val="center"/>
                </w:tcPr>
                <w:p w14:paraId="79B68692">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w:t>
                  </w:r>
                </w:p>
              </w:tc>
              <w:tc>
                <w:tcPr>
                  <w:tcW w:w="816" w:type="dxa"/>
                  <w:tcBorders>
                    <w:tl2br w:val="nil"/>
                    <w:tr2bl w:val="nil"/>
                  </w:tcBorders>
                  <w:noWrap/>
                  <w:vAlign w:val="center"/>
                </w:tcPr>
                <w:p w14:paraId="43D52192">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w:t>
                  </w:r>
                </w:p>
              </w:tc>
              <w:tc>
                <w:tcPr>
                  <w:tcW w:w="667" w:type="dxa"/>
                  <w:tcBorders>
                    <w:tl2br w:val="nil"/>
                    <w:tr2bl w:val="nil"/>
                  </w:tcBorders>
                  <w:noWrap/>
                  <w:vAlign w:val="center"/>
                </w:tcPr>
                <w:p w14:paraId="163B0E6C">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w:t>
                  </w:r>
                </w:p>
              </w:tc>
              <w:tc>
                <w:tcPr>
                  <w:tcW w:w="950" w:type="dxa"/>
                  <w:tcBorders>
                    <w:tl2br w:val="nil"/>
                    <w:tr2bl w:val="nil"/>
                  </w:tcBorders>
                  <w:noWrap/>
                  <w:vAlign w:val="center"/>
                </w:tcPr>
                <w:p w14:paraId="07CBEB7A">
                  <w:pPr>
                    <w:keepNext w:val="0"/>
                    <w:keepLines w:val="0"/>
                    <w:widowControl/>
                    <w:suppressLineNumbers w:val="0"/>
                    <w:jc w:val="center"/>
                    <w:textAlignment w:val="center"/>
                    <w:rPr>
                      <w:rFonts w:hint="default"/>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w:t>
                  </w:r>
                </w:p>
              </w:tc>
              <w:tc>
                <w:tcPr>
                  <w:tcW w:w="2417" w:type="dxa"/>
                  <w:vMerge w:val="continue"/>
                  <w:tcBorders>
                    <w:tl2br w:val="nil"/>
                    <w:tr2bl w:val="nil"/>
                  </w:tcBorders>
                  <w:noWrap/>
                  <w:vAlign w:val="center"/>
                </w:tcPr>
                <w:p w14:paraId="6CC4D41F">
                  <w:pPr>
                    <w:keepNext w:val="0"/>
                    <w:keepLines w:val="0"/>
                    <w:widowControl/>
                    <w:suppressLineNumbers w:val="0"/>
                    <w:jc w:val="center"/>
                    <w:textAlignment w:val="center"/>
                    <w:rPr>
                      <w:rFonts w:hint="eastAsia"/>
                      <w:caps w:val="0"/>
                      <w:color w:val="000000" w:themeColor="text1"/>
                      <w:highlight w:val="none"/>
                      <w:lang w:val="en-US" w:eastAsia="zh-CN"/>
                      <w14:textFill>
                        <w14:solidFill>
                          <w14:schemeClr w14:val="tx1"/>
                        </w14:solidFill>
                      </w14:textFill>
                    </w:rPr>
                  </w:pPr>
                </w:p>
              </w:tc>
            </w:tr>
          </w:tbl>
          <w:p w14:paraId="3646247F">
            <w:pPr>
              <w:keepNext/>
              <w:keepLines/>
              <w:spacing w:before="120" w:beforeLines="50" w:line="360" w:lineRule="auto"/>
              <w:ind w:firstLine="472" w:firstLineChars="196"/>
              <w:outlineLvl w:val="2"/>
              <w:rPr>
                <w:rFonts w:ascii="Times New Roman" w:hAnsi="Times New Roman" w:eastAsia="宋体"/>
                <w:b/>
                <w:bCs/>
                <w:caps w:val="0"/>
                <w:color w:val="000000" w:themeColor="text1"/>
                <w:sz w:val="24"/>
                <w:szCs w:val="32"/>
                <w:highlight w:val="none"/>
                <w14:textFill>
                  <w14:solidFill>
                    <w14:schemeClr w14:val="tx1"/>
                  </w14:solidFill>
                </w14:textFill>
              </w:rPr>
            </w:pPr>
            <w:r>
              <w:rPr>
                <w:rFonts w:ascii="Times New Roman" w:hAnsi="Times New Roman" w:eastAsia="宋体"/>
                <w:b/>
                <w:bCs/>
                <w:caps w:val="0"/>
                <w:color w:val="000000" w:themeColor="text1"/>
                <w:sz w:val="24"/>
                <w:szCs w:val="32"/>
                <w:highlight w:val="none"/>
                <w14:textFill>
                  <w14:solidFill>
                    <w14:schemeClr w14:val="tx1"/>
                  </w14:solidFill>
                </w14:textFill>
              </w:rPr>
              <w:t>3</w:t>
            </w:r>
            <w:r>
              <w:rPr>
                <w:rFonts w:hint="eastAsia" w:ascii="Times New Roman" w:hAnsi="Times New Roman" w:eastAsia="宋体"/>
                <w:b/>
                <w:bCs/>
                <w:caps w:val="0"/>
                <w:color w:val="000000" w:themeColor="text1"/>
                <w:sz w:val="24"/>
                <w:szCs w:val="32"/>
                <w:highlight w:val="none"/>
                <w14:textFill>
                  <w14:solidFill>
                    <w14:schemeClr w14:val="tx1"/>
                  </w14:solidFill>
                </w14:textFill>
              </w:rPr>
              <w:t>、防治措施可行性分析</w:t>
            </w:r>
          </w:p>
          <w:p w14:paraId="111F3130">
            <w:pPr>
              <w:spacing w:line="360" w:lineRule="auto"/>
              <w:ind w:firstLine="502"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b/>
                <w:caps w:val="0"/>
                <w:color w:val="000000" w:themeColor="text1"/>
                <w:spacing w:val="5"/>
                <w:sz w:val="24"/>
                <w:highlight w:val="none"/>
                <w:lang w:bidi="ar"/>
                <w14:textFill>
                  <w14:solidFill>
                    <w14:schemeClr w14:val="tx1"/>
                  </w14:solidFill>
                </w14:textFill>
              </w:rPr>
              <w:t>有机废气</w:t>
            </w:r>
            <w:r>
              <w:rPr>
                <w:rFonts w:hint="eastAsia"/>
                <w:b/>
                <w:caps w:val="0"/>
                <w:color w:val="000000" w:themeColor="text1"/>
                <w:spacing w:val="5"/>
                <w:sz w:val="24"/>
                <w:highlight w:val="none"/>
                <w:lang w:eastAsia="zh-CN" w:bidi="ar"/>
                <w14:textFill>
                  <w14:solidFill>
                    <w14:schemeClr w14:val="tx1"/>
                  </w14:solidFill>
                </w14:textFill>
              </w:rPr>
              <w:t>、</w:t>
            </w:r>
            <w:r>
              <w:rPr>
                <w:rFonts w:hint="eastAsia"/>
                <w:b/>
                <w:caps w:val="0"/>
                <w:color w:val="000000" w:themeColor="text1"/>
                <w:spacing w:val="5"/>
                <w:sz w:val="24"/>
                <w:highlight w:val="none"/>
                <w:lang w:val="en-US" w:eastAsia="zh-CN" w:bidi="ar"/>
                <w14:textFill>
                  <w14:solidFill>
                    <w14:schemeClr w14:val="tx1"/>
                  </w14:solidFill>
                </w14:textFill>
              </w:rPr>
              <w:t>恶臭</w:t>
            </w:r>
            <w:r>
              <w:rPr>
                <w:rFonts w:ascii="Times New Roman" w:hAnsi="Times New Roman" w:eastAsia="宋体"/>
                <w:caps w:val="0"/>
                <w:color w:val="000000" w:themeColor="text1"/>
                <w:sz w:val="24"/>
                <w:highlight w:val="none"/>
                <w:lang w:bidi="ar"/>
                <w14:textFill>
                  <w14:solidFill>
                    <w14:schemeClr w14:val="tx1"/>
                  </w14:solidFill>
                </w14:textFill>
              </w:rPr>
              <w:t>：</w:t>
            </w:r>
            <w:r>
              <w:rPr>
                <w:rFonts w:ascii="Times New Roman" w:hAnsi="Times New Roman" w:eastAsia="宋体"/>
                <w:caps w:val="0"/>
                <w:color w:val="000000" w:themeColor="text1"/>
                <w:spacing w:val="5"/>
                <w:sz w:val="24"/>
                <w:highlight w:val="none"/>
                <w:lang w:bidi="ar"/>
                <w14:textFill>
                  <w14:solidFill>
                    <w14:schemeClr w14:val="tx1"/>
                  </w14:solidFill>
                </w14:textFill>
              </w:rPr>
              <w:t>采取二级活性炭吸附处理；</w:t>
            </w:r>
            <w:r>
              <w:rPr>
                <w:rFonts w:hint="eastAsia" w:ascii="Times New Roman" w:hAnsi="Times New Roman" w:eastAsia="宋体"/>
                <w:caps w:val="0"/>
                <w:color w:val="000000" w:themeColor="text1"/>
                <w:sz w:val="24"/>
                <w:highlight w:val="none"/>
                <w14:textFill>
                  <w14:solidFill>
                    <w14:schemeClr w14:val="tx1"/>
                  </w14:solidFill>
                </w14:textFill>
              </w:rPr>
              <w:t>活性炭吸附属于深度处理，起始处理效率非常高，随着时间的推移和吸附的进行，活性炭趋于饱和，处理效率下降，但在处理效率减小到一定程度前更换活性炭即可维持吸附装置的去除效率在较高的水平上，使外排废气稳定达标。根据资料显示，活性炭对多种有机物均具有良好的吸附性能，且不会产生二次污染。</w:t>
            </w:r>
          </w:p>
          <w:p w14:paraId="48A23C0C">
            <w:pPr>
              <w:spacing w:line="360" w:lineRule="auto"/>
              <w:ind w:firstLine="480" w:firstLineChars="200"/>
              <w:jc w:val="left"/>
              <w:rPr>
                <w:rFonts w:ascii="Times New Roman" w:hAnsi="Times New Roman" w:eastAsia="宋体"/>
                <w:caps w:val="0"/>
                <w:color w:val="000000" w:themeColor="text1"/>
                <w:sz w:val="24"/>
                <w:highlight w:val="none"/>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对照</w:t>
            </w:r>
            <w:r>
              <w:rPr>
                <w:rFonts w:hint="eastAsia"/>
                <w:caps w:val="0"/>
                <w:color w:val="000000" w:themeColor="text1"/>
                <w:sz w:val="24"/>
                <w:highlight w:val="none"/>
                <w:lang w:eastAsia="zh-CN"/>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排污许可证申请与核发技术规范 汽车制造业》（HJ971-2018）、《排污许可证申请与核发技术规范 橡胶和塑料制品工业》（HJ1122-2020）中</w:t>
            </w:r>
            <w:r>
              <w:rPr>
                <w:rFonts w:ascii="宋体" w:hAnsi="宋体" w:eastAsia="宋体" w:cs="宋体"/>
                <w:sz w:val="24"/>
                <w:szCs w:val="24"/>
              </w:rPr>
              <w:t>污染防治可行技术参考表</w:t>
            </w:r>
            <w:r>
              <w:rPr>
                <w:rFonts w:hint="eastAsia" w:ascii="宋体" w:hAnsi="宋体" w:eastAsia="宋体" w:cs="宋体"/>
                <w:sz w:val="24"/>
                <w:szCs w:val="24"/>
                <w:lang w:eastAsia="zh-CN"/>
              </w:rPr>
              <w:t>，</w:t>
            </w:r>
            <w:r>
              <w:rPr>
                <w:rFonts w:hint="eastAsia" w:ascii="Times New Roman" w:hAnsi="Times New Roman" w:eastAsia="宋体"/>
                <w:caps w:val="0"/>
                <w:color w:val="000000" w:themeColor="text1"/>
                <w:sz w:val="24"/>
                <w:highlight w:val="none"/>
                <w14:textFill>
                  <w14:solidFill>
                    <w14:schemeClr w14:val="tx1"/>
                  </w14:solidFill>
                </w14:textFill>
              </w:rPr>
              <w:t>项目采取的</w:t>
            </w:r>
            <w:r>
              <w:rPr>
                <w:rFonts w:hint="eastAsia"/>
                <w:caps w:val="0"/>
                <w:color w:val="000000" w:themeColor="text1"/>
                <w:sz w:val="24"/>
                <w:highlight w:val="none"/>
                <w:lang w:val="en-US" w:eastAsia="zh-CN"/>
                <w14:textFill>
                  <w14:solidFill>
                    <w14:schemeClr w14:val="tx1"/>
                  </w14:solidFill>
                </w14:textFill>
              </w:rPr>
              <w:t>二级活性炭吸附装置为</w:t>
            </w:r>
            <w:r>
              <w:rPr>
                <w:rFonts w:hint="eastAsia" w:ascii="Times New Roman" w:hAnsi="Times New Roman" w:eastAsia="宋体"/>
                <w:caps w:val="0"/>
                <w:color w:val="000000" w:themeColor="text1"/>
                <w:sz w:val="24"/>
                <w:highlight w:val="none"/>
                <w14:textFill>
                  <w14:solidFill>
                    <w14:schemeClr w14:val="tx1"/>
                  </w14:solidFill>
                </w14:textFill>
              </w:rPr>
              <w:t>可行技术。</w:t>
            </w:r>
          </w:p>
          <w:p w14:paraId="269CADB5">
            <w:pPr>
              <w:spacing w:line="360" w:lineRule="auto"/>
              <w:ind w:firstLine="480" w:firstLineChars="200"/>
              <w:jc w:val="left"/>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根据《吸附法工业有机废气治理工程技术规范》（HJ2026-2013）中“6.3.3.3固床吸附装置吸附层的气体流速应根据吸附剂的形态确定。采用颗粒状吸附剂时，气体流速宜低于0.60m/s；采用纤维状吸附剂（活性炭纤维毡）时，气体流速宜低于0.15m/s；采用蜂窝状吸附剂时，气体流速宜低于1.20m/s”。本项目活性炭吸附箱选用的填料为蜂窝状活性炭，尽可能增大活性炭表面积，增加有机废气的停留时间，从而增加活性炭与有机废气的接触面积，气体流速低于1.20m/s，活性炭吸附碘值不低于800毫克/克，比表面积≥850m</w:t>
            </w:r>
            <w:r>
              <w:rPr>
                <w:rFonts w:hint="eastAsia" w:ascii="Times New Roman" w:hAnsi="Times New Roman" w:eastAsia="宋体"/>
                <w:caps w:val="0"/>
                <w:color w:val="000000" w:themeColor="text1"/>
                <w:sz w:val="24"/>
                <w:highlight w:val="none"/>
                <w:vertAlign w:val="superscript"/>
                <w14:textFill>
                  <w14:solidFill>
                    <w14:schemeClr w14:val="tx1"/>
                  </w14:solidFill>
                </w14:textFill>
              </w:rPr>
              <w:t>2</w:t>
            </w:r>
            <w:r>
              <w:rPr>
                <w:rFonts w:hint="eastAsia" w:ascii="Times New Roman" w:hAnsi="Times New Roman" w:eastAsia="宋体"/>
                <w:caps w:val="0"/>
                <w:color w:val="000000" w:themeColor="text1"/>
                <w:sz w:val="24"/>
                <w:highlight w:val="none"/>
                <w14:textFill>
                  <w14:solidFill>
                    <w14:schemeClr w14:val="tx1"/>
                  </w14:solidFill>
                </w14:textFill>
              </w:rPr>
              <w:t>/g，符合《吸附法工业有机废气治理工程技术规范》（HJ2026-2013）中的相关规定。</w:t>
            </w:r>
          </w:p>
          <w:p w14:paraId="57356602">
            <w:pPr>
              <w:tabs>
                <w:tab w:val="left" w:pos="1077"/>
              </w:tabs>
              <w:spacing w:line="360" w:lineRule="auto"/>
              <w:ind w:firstLine="482" w:firstLineChars="200"/>
              <w:rPr>
                <w:rFonts w:hint="eastAsia" w:eastAsia="宋体"/>
                <w:caps w:val="0"/>
                <w:color w:val="000000" w:themeColor="text1"/>
                <w:sz w:val="24"/>
                <w:highlight w:val="none"/>
                <w:lang w:eastAsia="zh-CN"/>
                <w14:textFill>
                  <w14:solidFill>
                    <w14:schemeClr w14:val="tx1"/>
                  </w14:solidFill>
                </w14:textFill>
              </w:rPr>
            </w:pPr>
            <w:r>
              <w:rPr>
                <w:rFonts w:hint="eastAsia" w:ascii="Times New Roman" w:hAnsi="Times New Roman" w:eastAsia="宋体"/>
                <w:b/>
                <w:bCs/>
                <w:caps w:val="0"/>
                <w:color w:val="000000" w:themeColor="text1"/>
                <w:kern w:val="0"/>
                <w:sz w:val="24"/>
                <w:highlight w:val="none"/>
                <w:lang w:val="en-US" w:eastAsia="zh-CN"/>
                <w14:textFill>
                  <w14:solidFill>
                    <w14:schemeClr w14:val="tx1"/>
                  </w14:solidFill>
                </w14:textFill>
              </w:rPr>
              <w:t>颗粒物：</w:t>
            </w:r>
            <w:r>
              <w:rPr>
                <w:rFonts w:hint="eastAsia"/>
                <w:caps w:val="0"/>
                <w:color w:val="000000" w:themeColor="text1"/>
                <w:sz w:val="24"/>
                <w:highlight w:val="none"/>
                <w:lang w:val="en-US" w:eastAsia="zh-CN"/>
                <w14:textFill>
                  <w14:solidFill>
                    <w14:schemeClr w14:val="tx1"/>
                  </w14:solidFill>
                </w14:textFill>
              </w:rPr>
              <w:t>对照</w:t>
            </w:r>
            <w:r>
              <w:rPr>
                <w:rFonts w:hint="eastAsia"/>
                <w:caps w:val="0"/>
                <w:color w:val="000000" w:themeColor="text1"/>
                <w:sz w:val="24"/>
                <w:highlight w:val="none"/>
                <w:lang w:eastAsia="zh-CN"/>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排污许可证申请与核发技术规范 汽车制造业》（HJ971-2018）、《排污许可证申请与核发技术规范 橡胶和塑料制品工业》（HJ1122-2020）中</w:t>
            </w:r>
            <w:r>
              <w:rPr>
                <w:rFonts w:ascii="宋体" w:hAnsi="宋体" w:eastAsia="宋体" w:cs="宋体"/>
                <w:sz w:val="24"/>
                <w:szCs w:val="24"/>
              </w:rPr>
              <w:t>污染防治可行技术参考表</w:t>
            </w:r>
            <w:r>
              <w:rPr>
                <w:rFonts w:hint="eastAsia" w:ascii="宋体" w:hAnsi="宋体" w:eastAsia="宋体" w:cs="宋体"/>
                <w:sz w:val="24"/>
                <w:szCs w:val="24"/>
                <w:lang w:eastAsia="zh-CN"/>
              </w:rPr>
              <w:t>，</w:t>
            </w:r>
            <w:r>
              <w:rPr>
                <w:rFonts w:hint="eastAsia" w:ascii="Times New Roman" w:hAnsi="Times New Roman" w:eastAsia="宋体"/>
                <w:caps w:val="0"/>
                <w:color w:val="000000" w:themeColor="text1"/>
                <w:sz w:val="24"/>
                <w:highlight w:val="none"/>
                <w14:textFill>
                  <w14:solidFill>
                    <w14:schemeClr w14:val="tx1"/>
                  </w14:solidFill>
                </w14:textFill>
              </w:rPr>
              <w:t>项目采取的</w:t>
            </w:r>
            <w:r>
              <w:rPr>
                <w:rFonts w:hint="eastAsia"/>
                <w:caps w:val="0"/>
                <w:color w:val="000000" w:themeColor="text1"/>
                <w:sz w:val="24"/>
                <w:highlight w:val="none"/>
                <w:lang w:val="en-US" w:eastAsia="zh-CN"/>
                <w14:textFill>
                  <w14:solidFill>
                    <w14:schemeClr w14:val="tx1"/>
                  </w14:solidFill>
                </w14:textFill>
              </w:rPr>
              <w:t>滤筒除尘器为</w:t>
            </w:r>
            <w:r>
              <w:rPr>
                <w:rFonts w:hint="eastAsia" w:ascii="Times New Roman" w:hAnsi="Times New Roman" w:eastAsia="宋体"/>
                <w:caps w:val="0"/>
                <w:color w:val="000000" w:themeColor="text1"/>
                <w:sz w:val="24"/>
                <w:highlight w:val="none"/>
                <w14:textFill>
                  <w14:solidFill>
                    <w14:schemeClr w14:val="tx1"/>
                  </w14:solidFill>
                </w14:textFill>
              </w:rPr>
              <w:t>可行技术</w:t>
            </w:r>
            <w:r>
              <w:rPr>
                <w:rFonts w:hint="eastAsia" w:eastAsia="宋体"/>
                <w:caps w:val="0"/>
                <w:color w:val="000000" w:themeColor="text1"/>
                <w:sz w:val="24"/>
                <w:highlight w:val="none"/>
                <w:lang w:eastAsia="zh-CN"/>
                <w14:textFill>
                  <w14:solidFill>
                    <w14:schemeClr w14:val="tx1"/>
                  </w14:solidFill>
                </w14:textFill>
              </w:rPr>
              <w:t>。</w:t>
            </w:r>
          </w:p>
          <w:p w14:paraId="6529D4C7">
            <w:pPr>
              <w:tabs>
                <w:tab w:val="left" w:pos="1077"/>
              </w:tabs>
              <w:spacing w:line="360" w:lineRule="auto"/>
              <w:ind w:firstLine="480" w:firstLineChars="200"/>
              <w:rPr>
                <w:rFonts w:ascii="Times New Roman" w:hAnsi="Times New Roman" w:eastAsia="宋体"/>
                <w:color w:val="000000" w:themeColor="text1"/>
                <w:kern w:val="0"/>
                <w:sz w:val="24"/>
                <w:highlight w:val="none"/>
                <w14:textFill>
                  <w14:solidFill>
                    <w14:schemeClr w14:val="tx1"/>
                  </w14:solidFill>
                </w14:textFill>
              </w:rPr>
            </w:pPr>
            <w:r>
              <w:rPr>
                <w:rFonts w:hint="eastAsia" w:ascii="Times New Roman" w:hAnsi="Times New Roman" w:eastAsia="宋体"/>
                <w:color w:val="000000" w:themeColor="text1"/>
                <w:kern w:val="0"/>
                <w:sz w:val="24"/>
                <w:highlight w:val="none"/>
                <w14:textFill>
                  <w14:solidFill>
                    <w14:schemeClr w14:val="tx1"/>
                  </w14:solidFill>
                </w14:textFill>
              </w:rPr>
              <w:t>本项目</w:t>
            </w:r>
            <w:r>
              <w:rPr>
                <w:rFonts w:hint="eastAsia"/>
                <w:bCs/>
                <w:color w:val="000000" w:themeColor="text1"/>
                <w:sz w:val="24"/>
                <w:highlight w:val="none"/>
                <w:lang w:val="en-US" w:eastAsia="zh-CN"/>
                <w14:textFill>
                  <w14:solidFill>
                    <w14:schemeClr w14:val="tx1"/>
                  </w14:solidFill>
                </w14:textFill>
              </w:rPr>
              <w:t>破碎</w:t>
            </w:r>
            <w:r>
              <w:rPr>
                <w:rFonts w:hint="eastAsia" w:ascii="Times New Roman" w:hAnsi="Times New Roman" w:eastAsia="宋体"/>
                <w:bCs/>
                <w:color w:val="000000" w:themeColor="text1"/>
                <w:sz w:val="24"/>
                <w:highlight w:val="none"/>
                <w14:textFill>
                  <w14:solidFill>
                    <w14:schemeClr w14:val="tx1"/>
                  </w14:solidFill>
                </w14:textFill>
              </w:rPr>
              <w:t>过程中产生的颗粒物</w:t>
            </w:r>
            <w:r>
              <w:rPr>
                <w:rFonts w:hint="eastAsia" w:ascii="Times New Roman" w:hAnsi="Times New Roman" w:eastAsia="宋体"/>
                <w:color w:val="000000" w:themeColor="text1"/>
                <w:sz w:val="24"/>
                <w:highlight w:val="none"/>
                <w14:textFill>
                  <w14:solidFill>
                    <w14:schemeClr w14:val="tx1"/>
                  </w14:solidFill>
                </w14:textFill>
              </w:rPr>
              <w:t>收集后均通过</w:t>
            </w:r>
            <w:r>
              <w:rPr>
                <w:rFonts w:hint="eastAsia"/>
                <w:color w:val="000000" w:themeColor="text1"/>
                <w:sz w:val="24"/>
                <w:highlight w:val="none"/>
                <w:lang w:val="en-US" w:eastAsia="zh-CN"/>
                <w14:textFill>
                  <w14:solidFill>
                    <w14:schemeClr w14:val="tx1"/>
                  </w14:solidFill>
                </w14:textFill>
              </w:rPr>
              <w:t>滤筒除尘器</w:t>
            </w:r>
            <w:r>
              <w:rPr>
                <w:rFonts w:ascii="Times New Roman" w:hAnsi="Times New Roman" w:eastAsia="宋体"/>
                <w:color w:val="000000" w:themeColor="text1"/>
                <w:sz w:val="24"/>
                <w:highlight w:val="none"/>
                <w14:textFill>
                  <w14:solidFill>
                    <w14:schemeClr w14:val="tx1"/>
                  </w14:solidFill>
                </w14:textFill>
              </w:rPr>
              <w:t>进行处理，</w:t>
            </w:r>
            <w:r>
              <w:rPr>
                <w:rFonts w:hint="eastAsia" w:ascii="Times New Roman" w:hAnsi="Times New Roman" w:eastAsia="宋体"/>
                <w:color w:val="000000" w:themeColor="text1"/>
                <w:sz w:val="24"/>
                <w:highlight w:val="none"/>
                <w14:textFill>
                  <w14:solidFill>
                    <w14:schemeClr w14:val="tx1"/>
                  </w14:solidFill>
                </w14:textFill>
              </w:rPr>
              <w:t>处理</w:t>
            </w:r>
            <w:r>
              <w:rPr>
                <w:rFonts w:ascii="Times New Roman" w:hAnsi="Times New Roman" w:eastAsia="宋体"/>
                <w:color w:val="000000" w:themeColor="text1"/>
                <w:sz w:val="24"/>
                <w:highlight w:val="none"/>
                <w14:textFill>
                  <w14:solidFill>
                    <w14:schemeClr w14:val="tx1"/>
                  </w14:solidFill>
                </w14:textFill>
              </w:rPr>
              <w:t>效率约为9</w:t>
            </w:r>
            <w:r>
              <w:rPr>
                <w:rFonts w:hint="eastAsia"/>
                <w:color w:val="000000" w:themeColor="text1"/>
                <w:sz w:val="24"/>
                <w:highlight w:val="none"/>
                <w:lang w:val="en-US" w:eastAsia="zh-CN"/>
                <w14:textFill>
                  <w14:solidFill>
                    <w14:schemeClr w14:val="tx1"/>
                  </w14:solidFill>
                </w14:textFill>
              </w:rPr>
              <w:t>9</w:t>
            </w:r>
            <w:r>
              <w:rPr>
                <w:rFonts w:ascii="Times New Roman" w:hAnsi="Times New Roman" w:eastAsia="宋体"/>
                <w:color w:val="000000" w:themeColor="text1"/>
                <w:sz w:val="24"/>
                <w:highlight w:val="none"/>
                <w14:textFill>
                  <w14:solidFill>
                    <w14:schemeClr w14:val="tx1"/>
                  </w14:solidFill>
                </w14:textFill>
              </w:rPr>
              <w:t>%</w:t>
            </w:r>
            <w:r>
              <w:rPr>
                <w:rFonts w:hint="eastAsia" w:ascii="Times New Roman" w:hAnsi="Times New Roman" w:eastAsia="宋体"/>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滤筒</w:t>
            </w:r>
            <w:r>
              <w:rPr>
                <w:rFonts w:ascii="Times New Roman" w:hAnsi="Times New Roman" w:eastAsia="宋体"/>
                <w:color w:val="000000" w:themeColor="text1"/>
                <w:kern w:val="0"/>
                <w:sz w:val="24"/>
                <w:highlight w:val="none"/>
                <w14:textFill>
                  <w14:solidFill>
                    <w14:schemeClr w14:val="tx1"/>
                  </w14:solidFill>
                </w14:textFill>
              </w:rPr>
              <w:t>布袋除尘装置是利用棉、毛、人造纤维等编织物作为滤袋起过滤作用，对颗粒物进行捕集而达到除尘效果的。其主要工作原理是：含尘气流从下部进入圆筒形滤袋，在通过滤料的孔隙时，粉尘被捕集于滤料上，透过滤料的清洁气体由排出口排出。沉积在滤料上的粉尘，可在机械振动的作用下从滤料表面脱落，落入灰斗中。常用滤料由 棉、毛、人造纤维等加工而成，新型滤料有玻璃纤维和微滤膜等，滤料本身网孔较小，一般为</w:t>
            </w:r>
            <w:r>
              <w:rPr>
                <w:rFonts w:hint="eastAsia" w:ascii="Times New Roman" w:hAnsi="Times New Roman" w:eastAsia="宋体"/>
                <w:color w:val="000000" w:themeColor="text1"/>
                <w:kern w:val="0"/>
                <w:sz w:val="24"/>
                <w:highlight w:val="none"/>
                <w14:textFill>
                  <w14:solidFill>
                    <w14:schemeClr w14:val="tx1"/>
                  </w14:solidFill>
                </w14:textFill>
              </w:rPr>
              <w:t>2</w:t>
            </w:r>
            <w:r>
              <w:rPr>
                <w:rFonts w:ascii="Times New Roman" w:hAnsi="Times New Roman" w:eastAsia="宋体"/>
                <w:color w:val="000000" w:themeColor="text1"/>
                <w:kern w:val="0"/>
                <w:sz w:val="24"/>
                <w:highlight w:val="none"/>
                <w14:textFill>
                  <w14:solidFill>
                    <w14:schemeClr w14:val="tx1"/>
                  </w14:solidFill>
                </w14:textFill>
              </w:rPr>
              <w:t>0</w:t>
            </w:r>
            <w:r>
              <w:rPr>
                <w:rFonts w:hint="eastAsia" w:ascii="Times New Roman" w:hAnsi="Times New Roman" w:eastAsia="宋体"/>
                <w:color w:val="000000" w:themeColor="text1"/>
                <w:kern w:val="0"/>
                <w:sz w:val="24"/>
                <w:highlight w:val="none"/>
                <w14:textFill>
                  <w14:solidFill>
                    <w14:schemeClr w14:val="tx1"/>
                  </w14:solidFill>
                </w14:textFill>
              </w:rPr>
              <w:t>~</w:t>
            </w:r>
            <w:r>
              <w:rPr>
                <w:rFonts w:ascii="Times New Roman" w:hAnsi="Times New Roman" w:eastAsia="宋体"/>
                <w:color w:val="000000" w:themeColor="text1"/>
                <w:kern w:val="0"/>
                <w:sz w:val="24"/>
                <w:highlight w:val="none"/>
                <w14:textFill>
                  <w14:solidFill>
                    <w14:schemeClr w14:val="tx1"/>
                  </w14:solidFill>
                </w14:textFill>
              </w:rPr>
              <w:t>50μm，表面起绒的滤料为5</w:t>
            </w:r>
            <w:r>
              <w:rPr>
                <w:rFonts w:hint="eastAsia" w:ascii="Times New Roman" w:hAnsi="Times New Roman" w:eastAsia="宋体"/>
                <w:color w:val="000000" w:themeColor="text1"/>
                <w:kern w:val="0"/>
                <w:sz w:val="24"/>
                <w:highlight w:val="none"/>
                <w14:textFill>
                  <w14:solidFill>
                    <w14:schemeClr w14:val="tx1"/>
                  </w14:solidFill>
                </w14:textFill>
              </w:rPr>
              <w:t>~</w:t>
            </w:r>
            <w:r>
              <w:rPr>
                <w:rFonts w:ascii="Times New Roman" w:hAnsi="Times New Roman" w:eastAsia="宋体"/>
                <w:color w:val="000000" w:themeColor="text1"/>
                <w:kern w:val="0"/>
                <w:sz w:val="24"/>
                <w:highlight w:val="none"/>
                <w14:textFill>
                  <w14:solidFill>
                    <w14:schemeClr w14:val="tx1"/>
                  </w14:solidFill>
                </w14:textFill>
              </w:rPr>
              <w:t>10μm，而新型滤料的孔径在5μm 以下。按不同粒径的粉尘在流体中运动的不同物理学特征，颗粒物通过惯性碰撞、截留、扩散、静电、筛滤等作用被捕集。此外，粉尘因截留、惯性碰撞、静电和扩散等作用，逐渐在滤袋表面形成粉尘层，常称为粉层初层。初层形成后，它成为袋式除尘器的主要过滤层，提高了除尘效率。滤布只不过起着形成粉尘初层和支撑它的骨架作用，但随着粉尘在滤袋上积聚，滤袋两侧的压力差增大，会把有些已附在滤料上的细小粉尘挤压过去，使除尘效率下降。另外，若除尘器阻力过高，还会使除尘系统的处理气体量显著下降，影响生产系统的排风效果。因此，除尘器阻力达到一定数值后，要及时清灰。</w:t>
            </w:r>
          </w:p>
          <w:p w14:paraId="748B550C">
            <w:pPr>
              <w:adjustRightInd w:val="0"/>
              <w:snapToGrid w:val="0"/>
              <w:spacing w:line="360" w:lineRule="auto"/>
              <w:ind w:firstLine="482" w:firstLineChars="200"/>
              <w:rPr>
                <w:rFonts w:ascii="Times New Roman" w:hAnsi="Times New Roman" w:eastAsia="宋体"/>
                <w:b/>
                <w:bCs/>
                <w:caps w:val="0"/>
                <w:color w:val="000000" w:themeColor="text1"/>
                <w:kern w:val="0"/>
                <w:sz w:val="24"/>
                <w:highlight w:val="none"/>
                <w14:textFill>
                  <w14:solidFill>
                    <w14:schemeClr w14:val="tx1"/>
                  </w14:solidFill>
                </w14:textFill>
              </w:rPr>
            </w:pPr>
            <w:r>
              <w:rPr>
                <w:rFonts w:hint="eastAsia" w:ascii="Times New Roman" w:hAnsi="Times New Roman" w:eastAsia="宋体"/>
                <w:b/>
                <w:bCs/>
                <w:caps w:val="0"/>
                <w:color w:val="000000" w:themeColor="text1"/>
                <w:kern w:val="0"/>
                <w:sz w:val="24"/>
                <w:highlight w:val="none"/>
                <w14:textFill>
                  <w14:solidFill>
                    <w14:schemeClr w14:val="tx1"/>
                  </w14:solidFill>
                </w14:textFill>
              </w:rPr>
              <w:t>4、大气环境影响分析</w:t>
            </w:r>
          </w:p>
          <w:p w14:paraId="0ACD1851">
            <w:pPr>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根据《</w:t>
            </w:r>
            <w:r>
              <w:rPr>
                <w:rFonts w:hint="eastAsia" w:ascii="Times New Roman" w:hAnsi="Times New Roman" w:eastAsia="宋体"/>
                <w:caps w:val="0"/>
                <w:color w:val="000000" w:themeColor="text1"/>
                <w:sz w:val="24"/>
                <w:highlight w:val="none"/>
                <w14:textFill>
                  <w14:solidFill>
                    <w14:schemeClr w14:val="tx1"/>
                  </w14:solidFill>
                </w14:textFill>
              </w:rPr>
              <w:t>202</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年芜湖市生态环境状况公报》，</w:t>
            </w:r>
            <w:r>
              <w:rPr>
                <w:rFonts w:hint="eastAsia" w:ascii="Times New Roman" w:hAnsi="Times New Roman" w:eastAsia="宋体"/>
                <w:caps w:val="0"/>
                <w:color w:val="000000" w:themeColor="text1"/>
                <w:sz w:val="24"/>
                <w:highlight w:val="none"/>
                <w14:textFill>
                  <w14:solidFill>
                    <w14:schemeClr w14:val="tx1"/>
                  </w14:solidFill>
                </w14:textFill>
              </w:rPr>
              <w:t>项目所在区</w:t>
            </w:r>
            <w:r>
              <w:rPr>
                <w:rFonts w:ascii="Times New Roman" w:hAnsi="Times New Roman" w:eastAsia="宋体"/>
                <w:caps w:val="0"/>
                <w:color w:val="000000" w:themeColor="text1"/>
                <w:sz w:val="24"/>
                <w:highlight w:val="none"/>
                <w14:textFill>
                  <w14:solidFill>
                    <w14:schemeClr w14:val="tx1"/>
                  </w14:solidFill>
                </w14:textFill>
              </w:rPr>
              <w:t>为环境空气“达标区”；</w:t>
            </w:r>
          </w:p>
          <w:p w14:paraId="4FB4FBC0">
            <w:pPr>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本项目产生的</w:t>
            </w:r>
            <w:r>
              <w:rPr>
                <w:rFonts w:hint="eastAsia" w:ascii="Times New Roman" w:hAnsi="Times New Roman" w:eastAsia="宋体"/>
                <w:caps w:val="0"/>
                <w:color w:val="000000" w:themeColor="text1"/>
                <w:sz w:val="24"/>
                <w:highlight w:val="none"/>
                <w14:textFill>
                  <w14:solidFill>
                    <w14:schemeClr w14:val="tx1"/>
                  </w14:solidFill>
                </w14:textFill>
              </w:rPr>
              <w:t>颗粒物、非甲烷总烃</w:t>
            </w:r>
            <w:r>
              <w:rPr>
                <w:rFonts w:hint="eastAsia" w:ascii="Times New Roman" w:hAnsi="Times New Roman" w:eastAsia="宋体"/>
                <w:caps w:val="0"/>
                <w:color w:val="000000" w:themeColor="text1"/>
                <w:sz w:val="24"/>
                <w:highlight w:val="none"/>
                <w:lang w:eastAsia="zh-CN"/>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氨</w:t>
            </w:r>
            <w:r>
              <w:rPr>
                <w:rFonts w:hint="eastAsia" w:ascii="Times New Roman" w:hAnsi="Times New Roman" w:eastAsia="宋体"/>
                <w:caps w:val="0"/>
                <w:color w:val="000000" w:themeColor="text1"/>
                <w:sz w:val="24"/>
                <w:highlight w:val="none"/>
                <w14:textFill>
                  <w14:solidFill>
                    <w14:schemeClr w14:val="tx1"/>
                  </w14:solidFill>
                </w14:textFill>
              </w:rPr>
              <w:t>在</w:t>
            </w:r>
            <w:r>
              <w:rPr>
                <w:rFonts w:ascii="Times New Roman" w:hAnsi="Times New Roman" w:eastAsia="宋体"/>
                <w:caps w:val="0"/>
                <w:color w:val="000000" w:themeColor="text1"/>
                <w:sz w:val="24"/>
                <w:highlight w:val="none"/>
                <w14:textFill>
                  <w14:solidFill>
                    <w14:schemeClr w14:val="tx1"/>
                  </w14:solidFill>
                </w14:textFill>
              </w:rPr>
              <w:t>采取有效的废气收集、治理措施处理后，</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可达标排放</w:t>
            </w:r>
            <w:r>
              <w:rPr>
                <w:rFonts w:hint="eastAsia" w:ascii="Times New Roman" w:hAnsi="Times New Roman" w:eastAsia="宋体"/>
                <w:caps w:val="0"/>
                <w:color w:val="000000" w:themeColor="text1"/>
                <w:sz w:val="24"/>
                <w:highlight w:val="none"/>
                <w14:textFill>
                  <w14:solidFill>
                    <w14:schemeClr w14:val="tx1"/>
                  </w14:solidFill>
                </w14:textFill>
              </w:rPr>
              <w:t>。</w:t>
            </w:r>
          </w:p>
          <w:p w14:paraId="63512910">
            <w:pPr>
              <w:pStyle w:val="8"/>
              <w:spacing w:after="0" w:line="360" w:lineRule="auto"/>
              <w:ind w:left="0" w:leftChars="0" w:firstLine="480" w:firstLineChars="200"/>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szCs w:val="24"/>
                <w:highlight w:val="none"/>
                <w14:textFill>
                  <w14:solidFill>
                    <w14:schemeClr w14:val="tx1"/>
                  </w14:solidFill>
                </w14:textFill>
              </w:rPr>
              <w:t>综上所述，经采取可行的废气治理措施后，本项目废气可达标排放，对区域大气环境的影响较小。</w:t>
            </w:r>
          </w:p>
          <w:p w14:paraId="0C0AD87D">
            <w:pPr>
              <w:adjustRightInd w:val="0"/>
              <w:snapToGrid w:val="0"/>
              <w:spacing w:line="360" w:lineRule="auto"/>
              <w:ind w:firstLine="482" w:firstLineChars="200"/>
              <w:rPr>
                <w:rFonts w:ascii="Times New Roman" w:hAnsi="Times New Roman" w:eastAsia="宋体"/>
                <w:b/>
                <w:bCs/>
                <w:caps w:val="0"/>
                <w:color w:val="000000" w:themeColor="text1"/>
                <w:kern w:val="0"/>
                <w:sz w:val="24"/>
                <w:highlight w:val="none"/>
                <w14:textFill>
                  <w14:solidFill>
                    <w14:schemeClr w14:val="tx1"/>
                  </w14:solidFill>
                </w14:textFill>
              </w:rPr>
            </w:pPr>
            <w:r>
              <w:rPr>
                <w:rFonts w:ascii="Times New Roman" w:hAnsi="Times New Roman" w:eastAsia="宋体"/>
                <w:b/>
                <w:bCs/>
                <w:caps w:val="0"/>
                <w:color w:val="000000" w:themeColor="text1"/>
                <w:kern w:val="0"/>
                <w:sz w:val="24"/>
                <w:highlight w:val="none"/>
                <w14:textFill>
                  <w14:solidFill>
                    <w14:schemeClr w14:val="tx1"/>
                  </w14:solidFill>
                </w14:textFill>
              </w:rPr>
              <w:t>5</w:t>
            </w:r>
            <w:r>
              <w:rPr>
                <w:rFonts w:hint="eastAsia" w:ascii="Times New Roman" w:hAnsi="Times New Roman" w:eastAsia="宋体"/>
                <w:b/>
                <w:bCs/>
                <w:caps w:val="0"/>
                <w:color w:val="000000" w:themeColor="text1"/>
                <w:kern w:val="0"/>
                <w:sz w:val="24"/>
                <w:highlight w:val="none"/>
                <w14:textFill>
                  <w14:solidFill>
                    <w14:schemeClr w14:val="tx1"/>
                  </w14:solidFill>
                </w14:textFill>
              </w:rPr>
              <w:t>、</w:t>
            </w:r>
            <w:r>
              <w:rPr>
                <w:rFonts w:ascii="Times New Roman" w:hAnsi="Times New Roman" w:eastAsia="宋体"/>
                <w:b/>
                <w:bCs/>
                <w:caps w:val="0"/>
                <w:color w:val="000000" w:themeColor="text1"/>
                <w:sz w:val="24"/>
                <w:highlight w:val="none"/>
                <w14:textFill>
                  <w14:solidFill>
                    <w14:schemeClr w14:val="tx1"/>
                  </w14:solidFill>
                </w14:textFill>
              </w:rPr>
              <w:t>环境防护距离设置</w:t>
            </w:r>
          </w:p>
          <w:p w14:paraId="57A59EDF">
            <w:pPr>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根据《环境影响评价技术导则 大气环境》（HJ2.2-2018）规定，</w:t>
            </w:r>
            <w:r>
              <w:rPr>
                <w:rFonts w:hint="eastAsia" w:ascii="Times New Roman" w:hAnsi="Times New Roman" w:eastAsia="宋体"/>
                <w:caps w:val="0"/>
                <w:color w:val="000000" w:themeColor="text1"/>
                <w:sz w:val="24"/>
                <w:highlight w:val="none"/>
                <w14:textFill>
                  <w14:solidFill>
                    <w14:schemeClr w14:val="tx1"/>
                  </w14:solidFill>
                </w14:textFill>
              </w:rPr>
              <w:t>对于项目厂界浓度满足大气污染物厂界浓度限值，但厂界外大气污染物短期贡献浓度超过环境质量浓度限值的，可以自厂界向外设置一定范围的大气环境防护区域，以确保大气环境防护区域外的污染物贡献浓度满足环境质量标准。</w:t>
            </w:r>
          </w:p>
          <w:p w14:paraId="124B41F3">
            <w:pPr>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本项目无需设置大气环境防护距离；不需要设置环境防护距离</w:t>
            </w:r>
            <w:r>
              <w:rPr>
                <w:rFonts w:ascii="Times New Roman" w:hAnsi="Times New Roman" w:eastAsia="宋体"/>
                <w:caps w:val="0"/>
                <w:color w:val="000000" w:themeColor="text1"/>
                <w:sz w:val="24"/>
                <w:highlight w:val="none"/>
                <w14:textFill>
                  <w14:solidFill>
                    <w14:schemeClr w14:val="tx1"/>
                  </w14:solidFill>
                </w14:textFill>
              </w:rPr>
              <w:t>。</w:t>
            </w:r>
          </w:p>
          <w:p w14:paraId="6717489E">
            <w:pPr>
              <w:adjustRightInd w:val="0"/>
              <w:snapToGrid w:val="0"/>
              <w:spacing w:line="360" w:lineRule="auto"/>
              <w:ind w:firstLine="482" w:firstLineChars="200"/>
              <w:rPr>
                <w:rFonts w:ascii="Times New Roman" w:hAnsi="Times New Roman" w:eastAsia="宋体"/>
                <w:b/>
                <w:bCs/>
                <w:caps w:val="0"/>
                <w:color w:val="000000" w:themeColor="text1"/>
                <w:kern w:val="0"/>
                <w:sz w:val="24"/>
                <w:highlight w:val="none"/>
                <w14:textFill>
                  <w14:solidFill>
                    <w14:schemeClr w14:val="tx1"/>
                  </w14:solidFill>
                </w14:textFill>
              </w:rPr>
            </w:pPr>
            <w:r>
              <w:rPr>
                <w:rFonts w:ascii="Times New Roman" w:hAnsi="Times New Roman" w:eastAsia="宋体"/>
                <w:b/>
                <w:bCs/>
                <w:caps w:val="0"/>
                <w:color w:val="000000" w:themeColor="text1"/>
                <w:kern w:val="0"/>
                <w:sz w:val="24"/>
                <w:highlight w:val="none"/>
                <w14:textFill>
                  <w14:solidFill>
                    <w14:schemeClr w14:val="tx1"/>
                  </w14:solidFill>
                </w14:textFill>
              </w:rPr>
              <w:t>6</w:t>
            </w:r>
            <w:r>
              <w:rPr>
                <w:rFonts w:hint="eastAsia" w:ascii="Times New Roman" w:hAnsi="Times New Roman" w:eastAsia="宋体"/>
                <w:b/>
                <w:bCs/>
                <w:caps w:val="0"/>
                <w:color w:val="000000" w:themeColor="text1"/>
                <w:kern w:val="0"/>
                <w:sz w:val="24"/>
                <w:highlight w:val="none"/>
                <w14:textFill>
                  <w14:solidFill>
                    <w14:schemeClr w14:val="tx1"/>
                  </w14:solidFill>
                </w14:textFill>
              </w:rPr>
              <w:t>、</w:t>
            </w:r>
            <w:r>
              <w:rPr>
                <w:rFonts w:ascii="Times New Roman" w:hAnsi="Times New Roman" w:eastAsia="宋体"/>
                <w:b/>
                <w:bCs/>
                <w:caps w:val="0"/>
                <w:color w:val="000000" w:themeColor="text1"/>
                <w:kern w:val="0"/>
                <w:sz w:val="24"/>
                <w:highlight w:val="none"/>
                <w14:textFill>
                  <w14:solidFill>
                    <w14:schemeClr w14:val="tx1"/>
                  </w14:solidFill>
                </w14:textFill>
              </w:rPr>
              <w:t>大气污染源监测计划</w:t>
            </w:r>
          </w:p>
          <w:p w14:paraId="73795A8A">
            <w:pPr>
              <w:adjustRightInd w:val="0"/>
              <w:snapToGrid w:val="0"/>
              <w:spacing w:line="360" w:lineRule="auto"/>
              <w:ind w:firstLine="480" w:firstLineChars="200"/>
              <w:jc w:val="left"/>
              <w:rPr>
                <w:rFonts w:ascii="Times New Roman" w:hAnsi="Times New Roman" w:eastAsia="宋体"/>
                <w:caps w:val="0"/>
                <w:snapToGrid w:val="0"/>
                <w:color w:val="000000" w:themeColor="text1"/>
                <w:kern w:val="0"/>
                <w:sz w:val="24"/>
                <w:highlight w:val="none"/>
                <w14:textFill>
                  <w14:solidFill>
                    <w14:schemeClr w14:val="tx1"/>
                  </w14:solidFill>
                </w14:textFill>
              </w:rPr>
            </w:pPr>
            <w:r>
              <w:rPr>
                <w:rFonts w:ascii="Times New Roman" w:hAnsi="Times New Roman" w:eastAsia="宋体"/>
                <w:caps w:val="0"/>
                <w:snapToGrid w:val="0"/>
                <w:color w:val="000000" w:themeColor="text1"/>
                <w:kern w:val="0"/>
                <w:sz w:val="24"/>
                <w:highlight w:val="none"/>
                <w14:textFill>
                  <w14:solidFill>
                    <w14:schemeClr w14:val="tx1"/>
                  </w14:solidFill>
                </w14:textFill>
              </w:rPr>
              <w:t>企业应按照</w:t>
            </w:r>
            <w:r>
              <w:rPr>
                <w:rFonts w:ascii="Times New Roman" w:hAnsi="Times New Roman" w:eastAsia="宋体"/>
                <w:caps w:val="0"/>
                <w:color w:val="000000" w:themeColor="text1"/>
                <w:sz w:val="24"/>
                <w:highlight w:val="none"/>
                <w14:textFill>
                  <w14:solidFill>
                    <w14:schemeClr w14:val="tx1"/>
                  </w14:solidFill>
                </w14:textFill>
              </w:rPr>
              <w:t>《排污单位自行监测技术指南 总则》（HJ819-2017）</w:t>
            </w:r>
            <w:r>
              <w:rPr>
                <w:rFonts w:hint="eastAsia"/>
                <w:caps w:val="0"/>
                <w:color w:val="000000" w:themeColor="text1"/>
                <w:sz w:val="24"/>
                <w:highlight w:val="none"/>
                <w:lang w:eastAsia="zh-CN"/>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排污许可证申请与核发技术规范 汽车制造业》（HJ971-2018）、《排污许可证申请与核发技术规范 橡胶和塑料制品工业》（HJ1122-2020）中的</w:t>
            </w:r>
            <w:r>
              <w:rPr>
                <w:rFonts w:ascii="Times New Roman" w:hAnsi="Times New Roman" w:eastAsia="宋体"/>
                <w:caps w:val="0"/>
                <w:snapToGrid w:val="0"/>
                <w:color w:val="000000" w:themeColor="text1"/>
                <w:kern w:val="0"/>
                <w:sz w:val="24"/>
                <w:highlight w:val="none"/>
                <w14:textFill>
                  <w14:solidFill>
                    <w14:schemeClr w14:val="tx1"/>
                  </w14:solidFill>
                </w14:textFill>
              </w:rPr>
              <w:t>相关要求，开展大气污染源监测，大气污染源监测计划见表4-</w:t>
            </w:r>
            <w:r>
              <w:rPr>
                <w:rFonts w:hint="eastAsia"/>
                <w:caps w:val="0"/>
                <w:snapToGrid w:val="0"/>
                <w:color w:val="000000" w:themeColor="text1"/>
                <w:kern w:val="0"/>
                <w:sz w:val="24"/>
                <w:highlight w:val="none"/>
                <w:lang w:val="en-US" w:eastAsia="zh-CN"/>
                <w14:textFill>
                  <w14:solidFill>
                    <w14:schemeClr w14:val="tx1"/>
                  </w14:solidFill>
                </w14:textFill>
              </w:rPr>
              <w:t>9</w:t>
            </w:r>
            <w:r>
              <w:rPr>
                <w:rFonts w:ascii="Times New Roman" w:hAnsi="Times New Roman" w:eastAsia="宋体"/>
                <w:caps w:val="0"/>
                <w:snapToGrid w:val="0"/>
                <w:color w:val="000000" w:themeColor="text1"/>
                <w:kern w:val="0"/>
                <w:sz w:val="24"/>
                <w:highlight w:val="none"/>
                <w14:textFill>
                  <w14:solidFill>
                    <w14:schemeClr w14:val="tx1"/>
                  </w14:solidFill>
                </w14:textFill>
              </w:rPr>
              <w:t>。</w:t>
            </w:r>
          </w:p>
          <w:p w14:paraId="049B45B0">
            <w:pPr>
              <w:widowControl/>
              <w:spacing w:before="120" w:beforeLines="50"/>
              <w:jc w:val="center"/>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表4-</w:t>
            </w:r>
            <w:r>
              <w:rPr>
                <w:rFonts w:hint="eastAsia"/>
                <w:b/>
                <w:caps w:val="0"/>
                <w:color w:val="000000" w:themeColor="text1"/>
                <w:kern w:val="0"/>
                <w:sz w:val="24"/>
                <w:highlight w:val="none"/>
                <w:lang w:val="en-US" w:eastAsia="zh-CN"/>
                <w14:textFill>
                  <w14:solidFill>
                    <w14:schemeClr w14:val="tx1"/>
                  </w14:solidFill>
                </w14:textFill>
              </w:rPr>
              <w:t>9</w:t>
            </w:r>
            <w:r>
              <w:rPr>
                <w:rFonts w:hint="eastAsia" w:ascii="Times New Roman" w:hAnsi="Times New Roman" w:eastAsia="宋体"/>
                <w:b/>
                <w:caps w:val="0"/>
                <w:color w:val="000000" w:themeColor="text1"/>
                <w:kern w:val="0"/>
                <w:sz w:val="24"/>
                <w:highlight w:val="none"/>
                <w14:textFill>
                  <w14:solidFill>
                    <w14:schemeClr w14:val="tx1"/>
                  </w14:solidFill>
                </w14:textFill>
              </w:rPr>
              <w:t xml:space="preserve"> </w:t>
            </w:r>
            <w:r>
              <w:rPr>
                <w:rFonts w:ascii="Times New Roman" w:hAnsi="Times New Roman" w:eastAsia="宋体"/>
                <w:b/>
                <w:caps w:val="0"/>
                <w:color w:val="000000" w:themeColor="text1"/>
                <w:kern w:val="0"/>
                <w:sz w:val="24"/>
                <w:highlight w:val="none"/>
                <w14:textFill>
                  <w14:solidFill>
                    <w14:schemeClr w14:val="tx1"/>
                  </w14:solidFill>
                </w14:textFill>
              </w:rPr>
              <w:t xml:space="preserve"> 大气污染源监测计划</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579"/>
              <w:gridCol w:w="1342"/>
              <w:gridCol w:w="2176"/>
              <w:gridCol w:w="1430"/>
            </w:tblGrid>
            <w:tr w14:paraId="0FD10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4" w:type="pct"/>
                  <w:tcBorders>
                    <w:tl2br w:val="nil"/>
                    <w:tr2bl w:val="nil"/>
                  </w:tcBorders>
                  <w:shd w:val="clear" w:color="auto" w:fill="auto"/>
                  <w:vAlign w:val="center"/>
                </w:tcPr>
                <w:p w14:paraId="6C949667">
                  <w:pPr>
                    <w:jc w:val="center"/>
                    <w:rPr>
                      <w:rFonts w:ascii="Times New Roman" w:hAnsi="Times New Roman" w:eastAsia="宋体"/>
                      <w:b/>
                      <w:caps w:val="0"/>
                      <w:color w:val="000000" w:themeColor="text1"/>
                      <w:kern w:val="24"/>
                      <w:szCs w:val="21"/>
                      <w:highlight w:val="none"/>
                      <w14:textFill>
                        <w14:solidFill>
                          <w14:schemeClr w14:val="tx1"/>
                        </w14:solidFill>
                      </w14:textFill>
                    </w:rPr>
                  </w:pPr>
                  <w:r>
                    <w:rPr>
                      <w:rFonts w:hint="eastAsia" w:ascii="Times New Roman" w:hAnsi="Times New Roman" w:eastAsia="宋体"/>
                      <w:b/>
                      <w:caps w:val="0"/>
                      <w:color w:val="000000" w:themeColor="text1"/>
                      <w:kern w:val="24"/>
                      <w:szCs w:val="21"/>
                      <w:highlight w:val="none"/>
                      <w14:textFill>
                        <w14:solidFill>
                          <w14:schemeClr w14:val="tx1"/>
                        </w14:solidFill>
                      </w14:textFill>
                    </w:rPr>
                    <w:t>监测类别</w:t>
                  </w:r>
                </w:p>
              </w:tc>
              <w:tc>
                <w:tcPr>
                  <w:tcW w:w="1837" w:type="pct"/>
                  <w:gridSpan w:val="2"/>
                  <w:tcBorders>
                    <w:tl2br w:val="nil"/>
                    <w:tr2bl w:val="nil"/>
                  </w:tcBorders>
                  <w:shd w:val="clear" w:color="auto" w:fill="auto"/>
                  <w:vAlign w:val="center"/>
                </w:tcPr>
                <w:p w14:paraId="5AC39EC7">
                  <w:pPr>
                    <w:jc w:val="center"/>
                    <w:rPr>
                      <w:rFonts w:ascii="Times New Roman" w:hAnsi="Times New Roman" w:eastAsia="宋体"/>
                      <w:b/>
                      <w:caps w:val="0"/>
                      <w:color w:val="000000" w:themeColor="text1"/>
                      <w:kern w:val="24"/>
                      <w:szCs w:val="21"/>
                      <w:highlight w:val="none"/>
                      <w14:textFill>
                        <w14:solidFill>
                          <w14:schemeClr w14:val="tx1"/>
                        </w14:solidFill>
                      </w14:textFill>
                    </w:rPr>
                  </w:pPr>
                  <w:r>
                    <w:rPr>
                      <w:rFonts w:hint="eastAsia" w:ascii="Times New Roman" w:hAnsi="Times New Roman" w:eastAsia="宋体"/>
                      <w:b/>
                      <w:caps w:val="0"/>
                      <w:color w:val="000000" w:themeColor="text1"/>
                      <w:kern w:val="24"/>
                      <w:szCs w:val="21"/>
                      <w:highlight w:val="none"/>
                      <w14:textFill>
                        <w14:solidFill>
                          <w14:schemeClr w14:val="tx1"/>
                        </w14:solidFill>
                      </w14:textFill>
                    </w:rPr>
                    <w:t>监测位置（或监测布点）</w:t>
                  </w:r>
                </w:p>
              </w:tc>
              <w:tc>
                <w:tcPr>
                  <w:tcW w:w="1368" w:type="pct"/>
                  <w:tcBorders>
                    <w:tl2br w:val="nil"/>
                    <w:tr2bl w:val="nil"/>
                  </w:tcBorders>
                  <w:shd w:val="clear" w:color="auto" w:fill="auto"/>
                  <w:vAlign w:val="center"/>
                </w:tcPr>
                <w:p w14:paraId="4E0583DB">
                  <w:pPr>
                    <w:jc w:val="center"/>
                    <w:rPr>
                      <w:rFonts w:ascii="Times New Roman" w:hAnsi="Times New Roman" w:eastAsia="宋体"/>
                      <w:b/>
                      <w:caps w:val="0"/>
                      <w:color w:val="000000" w:themeColor="text1"/>
                      <w:kern w:val="24"/>
                      <w:szCs w:val="21"/>
                      <w:highlight w:val="none"/>
                      <w14:textFill>
                        <w14:solidFill>
                          <w14:schemeClr w14:val="tx1"/>
                        </w14:solidFill>
                      </w14:textFill>
                    </w:rPr>
                  </w:pPr>
                  <w:r>
                    <w:rPr>
                      <w:rFonts w:hint="eastAsia" w:ascii="Times New Roman" w:hAnsi="Times New Roman" w:eastAsia="宋体"/>
                      <w:b/>
                      <w:caps w:val="0"/>
                      <w:color w:val="000000" w:themeColor="text1"/>
                      <w:kern w:val="24"/>
                      <w:szCs w:val="21"/>
                      <w:highlight w:val="none"/>
                      <w14:textFill>
                        <w14:solidFill>
                          <w14:schemeClr w14:val="tx1"/>
                        </w14:solidFill>
                      </w14:textFill>
                    </w:rPr>
                    <w:t>监测项目</w:t>
                  </w:r>
                </w:p>
              </w:tc>
              <w:tc>
                <w:tcPr>
                  <w:tcW w:w="899" w:type="pct"/>
                  <w:tcBorders>
                    <w:tl2br w:val="nil"/>
                    <w:tr2bl w:val="nil"/>
                  </w:tcBorders>
                  <w:shd w:val="clear" w:color="auto" w:fill="auto"/>
                  <w:vAlign w:val="center"/>
                </w:tcPr>
                <w:p w14:paraId="792707AB">
                  <w:pPr>
                    <w:jc w:val="center"/>
                    <w:rPr>
                      <w:rFonts w:ascii="Times New Roman" w:hAnsi="Times New Roman" w:eastAsia="宋体"/>
                      <w:b/>
                      <w:caps w:val="0"/>
                      <w:color w:val="000000" w:themeColor="text1"/>
                      <w:kern w:val="24"/>
                      <w:szCs w:val="21"/>
                      <w:highlight w:val="none"/>
                      <w14:textFill>
                        <w14:solidFill>
                          <w14:schemeClr w14:val="tx1"/>
                        </w14:solidFill>
                      </w14:textFill>
                    </w:rPr>
                  </w:pPr>
                  <w:r>
                    <w:rPr>
                      <w:rFonts w:hint="eastAsia" w:ascii="Times New Roman" w:hAnsi="Times New Roman" w:eastAsia="宋体"/>
                      <w:b/>
                      <w:caps w:val="0"/>
                      <w:color w:val="000000" w:themeColor="text1"/>
                      <w:kern w:val="24"/>
                      <w:szCs w:val="21"/>
                      <w:highlight w:val="none"/>
                      <w14:textFill>
                        <w14:solidFill>
                          <w14:schemeClr w14:val="tx1"/>
                        </w14:solidFill>
                      </w14:textFill>
                    </w:rPr>
                    <w:t>监测频率</w:t>
                  </w:r>
                </w:p>
              </w:tc>
            </w:tr>
            <w:tr w14:paraId="491014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94" w:type="pct"/>
                  <w:vMerge w:val="restart"/>
                  <w:tcBorders>
                    <w:tl2br w:val="nil"/>
                    <w:tr2bl w:val="nil"/>
                  </w:tcBorders>
                  <w:shd w:val="clear" w:color="auto" w:fill="auto"/>
                  <w:vAlign w:val="center"/>
                </w:tcPr>
                <w:p w14:paraId="5BA53CB8">
                  <w:pPr>
                    <w:jc w:val="center"/>
                    <w:rPr>
                      <w:rFonts w:hint="eastAsia" w:ascii="Times New Roman" w:hAnsi="Times New Roman" w:eastAsia="宋体" w:cs="Times New Roman"/>
                      <w:bCs/>
                      <w:caps w:val="0"/>
                      <w:color w:val="000000" w:themeColor="text1"/>
                      <w:kern w:val="24"/>
                      <w:sz w:val="21"/>
                      <w:szCs w:val="21"/>
                      <w:highlight w:val="none"/>
                      <w:lang w:val="en-US" w:eastAsia="zh-CN" w:bidi="ar-SA"/>
                      <w14:textFill>
                        <w14:solidFill>
                          <w14:schemeClr w14:val="tx1"/>
                        </w14:solidFill>
                      </w14:textFill>
                    </w:rPr>
                  </w:pPr>
                  <w:r>
                    <w:rPr>
                      <w:rFonts w:hint="eastAsia"/>
                      <w:bCs/>
                      <w:caps w:val="0"/>
                      <w:color w:val="000000" w:themeColor="text1"/>
                      <w:kern w:val="24"/>
                      <w:szCs w:val="21"/>
                      <w:highlight w:val="none"/>
                      <w:lang w:val="en-US" w:eastAsia="zh-CN"/>
                      <w14:textFill>
                        <w14:solidFill>
                          <w14:schemeClr w14:val="tx1"/>
                        </w14:solidFill>
                      </w14:textFill>
                    </w:rPr>
                    <w:t xml:space="preserve">                                                                                                                         </w:t>
                  </w:r>
                  <w:r>
                    <w:rPr>
                      <w:rFonts w:hint="eastAsia" w:ascii="Times New Roman" w:hAnsi="Times New Roman" w:eastAsia="宋体"/>
                      <w:bCs/>
                      <w:caps w:val="0"/>
                      <w:color w:val="000000" w:themeColor="text1"/>
                      <w:kern w:val="24"/>
                      <w:szCs w:val="21"/>
                      <w:highlight w:val="none"/>
                      <w14:textFill>
                        <w14:solidFill>
                          <w14:schemeClr w14:val="tx1"/>
                        </w14:solidFill>
                      </w14:textFill>
                    </w:rPr>
                    <w:t>大气</w:t>
                  </w:r>
                </w:p>
              </w:tc>
              <w:tc>
                <w:tcPr>
                  <w:tcW w:w="993" w:type="pct"/>
                  <w:tcBorders>
                    <w:tl2br w:val="nil"/>
                    <w:tr2bl w:val="nil"/>
                  </w:tcBorders>
                  <w:shd w:val="clear" w:color="auto" w:fill="auto"/>
                  <w:vAlign w:val="center"/>
                </w:tcPr>
                <w:p w14:paraId="7A5084B2">
                  <w:pPr>
                    <w:jc w:val="center"/>
                    <w:rPr>
                      <w:rFonts w:hint="eastAsia" w:ascii="Times New Roman" w:hAnsi="Times New Roman" w:eastAsia="宋体" w:cs="Times New Roman"/>
                      <w:bCs/>
                      <w:caps w:val="0"/>
                      <w:color w:val="000000" w:themeColor="text1"/>
                      <w:kern w:val="24"/>
                      <w:sz w:val="21"/>
                      <w:szCs w:val="21"/>
                      <w:highlight w:val="none"/>
                      <w:lang w:val="en-US" w:eastAsia="zh-CN" w:bidi="ar-SA"/>
                      <w14:textFill>
                        <w14:solidFill>
                          <w14:schemeClr w14:val="tx1"/>
                        </w14:solidFill>
                      </w14:textFill>
                    </w:rPr>
                  </w:pPr>
                  <w:r>
                    <w:rPr>
                      <w:rFonts w:hint="eastAsia" w:ascii="Times New Roman" w:hAnsi="Times New Roman" w:eastAsia="宋体"/>
                      <w:bCs/>
                      <w:caps w:val="0"/>
                      <w:color w:val="000000" w:themeColor="text1"/>
                      <w:kern w:val="24"/>
                      <w:szCs w:val="21"/>
                      <w:highlight w:val="none"/>
                      <w14:textFill>
                        <w14:solidFill>
                          <w14:schemeClr w14:val="tx1"/>
                        </w14:solidFill>
                      </w14:textFill>
                    </w:rPr>
                    <w:t>有组织监测计划</w:t>
                  </w:r>
                </w:p>
              </w:tc>
              <w:tc>
                <w:tcPr>
                  <w:tcW w:w="844" w:type="pct"/>
                  <w:tcBorders>
                    <w:tl2br w:val="nil"/>
                    <w:tr2bl w:val="nil"/>
                  </w:tcBorders>
                  <w:shd w:val="clear" w:color="auto" w:fill="auto"/>
                  <w:vAlign w:val="center"/>
                </w:tcPr>
                <w:p w14:paraId="1EFC1BAE">
                  <w:pPr>
                    <w:jc w:val="center"/>
                    <w:rPr>
                      <w:rFonts w:hint="eastAsia" w:ascii="Times New Roman" w:hAnsi="Times New Roman" w:eastAsia="宋体" w:cs="Times New Roman"/>
                      <w:bCs/>
                      <w:caps w:val="0"/>
                      <w:color w:val="000000" w:themeColor="text1"/>
                      <w:kern w:val="24"/>
                      <w:sz w:val="21"/>
                      <w:szCs w:val="21"/>
                      <w:highlight w:val="none"/>
                      <w:lang w:val="en-US" w:eastAsia="zh-CN" w:bidi="ar-SA"/>
                      <w14:textFill>
                        <w14:solidFill>
                          <w14:schemeClr w14:val="tx1"/>
                        </w14:solidFill>
                      </w14:textFill>
                    </w:rPr>
                  </w:pPr>
                  <w:r>
                    <w:rPr>
                      <w:rFonts w:hint="eastAsia" w:ascii="Times New Roman" w:hAnsi="Times New Roman" w:eastAsia="宋体"/>
                      <w:bCs/>
                      <w:caps w:val="0"/>
                      <w:color w:val="000000" w:themeColor="text1"/>
                      <w:kern w:val="24"/>
                      <w:szCs w:val="21"/>
                      <w:highlight w:val="none"/>
                      <w14:textFill>
                        <w14:solidFill>
                          <w14:schemeClr w14:val="tx1"/>
                        </w14:solidFill>
                      </w14:textFill>
                    </w:rPr>
                    <w:t>DA00</w:t>
                  </w:r>
                  <w:r>
                    <w:rPr>
                      <w:rFonts w:hint="eastAsia" w:ascii="Times New Roman" w:hAnsi="Times New Roman" w:eastAsia="宋体"/>
                      <w:bCs/>
                      <w:caps w:val="0"/>
                      <w:color w:val="000000" w:themeColor="text1"/>
                      <w:kern w:val="24"/>
                      <w:szCs w:val="21"/>
                      <w:highlight w:val="none"/>
                      <w:lang w:val="en-US" w:eastAsia="zh-CN"/>
                      <w14:textFill>
                        <w14:solidFill>
                          <w14:schemeClr w14:val="tx1"/>
                        </w14:solidFill>
                      </w14:textFill>
                    </w:rPr>
                    <w:t>1</w:t>
                  </w:r>
                </w:p>
              </w:tc>
              <w:tc>
                <w:tcPr>
                  <w:tcW w:w="1368" w:type="pct"/>
                  <w:tcBorders>
                    <w:tl2br w:val="nil"/>
                    <w:tr2bl w:val="nil"/>
                  </w:tcBorders>
                  <w:shd w:val="clear" w:color="auto" w:fill="auto"/>
                  <w:vAlign w:val="center"/>
                </w:tcPr>
                <w:p w14:paraId="03C9DAD0">
                  <w:pPr>
                    <w:jc w:val="center"/>
                    <w:rPr>
                      <w:rFonts w:hint="default" w:ascii="Times New Roman" w:hAnsi="Times New Roman" w:eastAsia="宋体" w:cs="Times New Roman"/>
                      <w:bCs/>
                      <w:caps w:val="0"/>
                      <w:color w:val="000000" w:themeColor="text1"/>
                      <w:kern w:val="24"/>
                      <w:sz w:val="21"/>
                      <w:szCs w:val="21"/>
                      <w:highlight w:val="none"/>
                      <w:lang w:val="en-US" w:eastAsia="zh-CN" w:bidi="ar-SA"/>
                      <w14:textFill>
                        <w14:solidFill>
                          <w14:schemeClr w14:val="tx1"/>
                        </w14:solidFill>
                      </w14:textFill>
                    </w:rPr>
                  </w:pPr>
                  <w:r>
                    <w:rPr>
                      <w:rFonts w:hint="eastAsia" w:ascii="Times New Roman" w:hAnsi="Times New Roman" w:eastAsia="宋体"/>
                      <w:bCs/>
                      <w:caps w:val="0"/>
                      <w:color w:val="000000" w:themeColor="text1"/>
                      <w:kern w:val="24"/>
                      <w:szCs w:val="21"/>
                      <w:highlight w:val="none"/>
                      <w14:textFill>
                        <w14:solidFill>
                          <w14:schemeClr w14:val="tx1"/>
                        </w14:solidFill>
                      </w14:textFill>
                    </w:rPr>
                    <w:t>非甲烷总烃</w:t>
                  </w:r>
                  <w:r>
                    <w:rPr>
                      <w:rFonts w:hint="eastAsia" w:ascii="Times New Roman" w:hAnsi="Times New Roman" w:eastAsia="宋体"/>
                      <w:bCs/>
                      <w:caps w:val="0"/>
                      <w:color w:val="000000" w:themeColor="text1"/>
                      <w:kern w:val="24"/>
                      <w:szCs w:val="21"/>
                      <w:highlight w:val="none"/>
                      <w:lang w:eastAsia="zh-CN"/>
                      <w14:textFill>
                        <w14:solidFill>
                          <w14:schemeClr w14:val="tx1"/>
                        </w14:solidFill>
                      </w14:textFill>
                    </w:rPr>
                    <w:t>、</w:t>
                  </w:r>
                  <w:r>
                    <w:rPr>
                      <w:rFonts w:hint="eastAsia"/>
                      <w:bCs/>
                      <w:caps w:val="0"/>
                      <w:color w:val="000000" w:themeColor="text1"/>
                      <w:kern w:val="24"/>
                      <w:szCs w:val="21"/>
                      <w:highlight w:val="none"/>
                      <w:lang w:val="en-US" w:eastAsia="zh-CN"/>
                      <w14:textFill>
                        <w14:solidFill>
                          <w14:schemeClr w14:val="tx1"/>
                        </w14:solidFill>
                      </w14:textFill>
                    </w:rPr>
                    <w:t>氨、臭气浓度</w:t>
                  </w:r>
                </w:p>
              </w:tc>
              <w:tc>
                <w:tcPr>
                  <w:tcW w:w="899" w:type="pct"/>
                  <w:tcBorders>
                    <w:tl2br w:val="nil"/>
                    <w:tr2bl w:val="nil"/>
                  </w:tcBorders>
                  <w:shd w:val="clear" w:color="auto" w:fill="auto"/>
                  <w:vAlign w:val="center"/>
                </w:tcPr>
                <w:p w14:paraId="7FA8E8BF">
                  <w:pPr>
                    <w:jc w:val="center"/>
                    <w:rPr>
                      <w:rFonts w:hint="eastAsia" w:ascii="Times New Roman" w:hAnsi="Times New Roman" w:eastAsia="宋体" w:cs="Times New Roman"/>
                      <w:bCs/>
                      <w:caps w:val="0"/>
                      <w:color w:val="000000" w:themeColor="text1"/>
                      <w:kern w:val="24"/>
                      <w:sz w:val="21"/>
                      <w:szCs w:val="21"/>
                      <w:highlight w:val="none"/>
                      <w:lang w:val="en-US" w:eastAsia="zh-CN" w:bidi="ar-SA"/>
                      <w14:textFill>
                        <w14:solidFill>
                          <w14:schemeClr w14:val="tx1"/>
                        </w14:solidFill>
                      </w14:textFill>
                    </w:rPr>
                  </w:pPr>
                  <w:r>
                    <w:rPr>
                      <w:rFonts w:hint="eastAsia" w:ascii="Times New Roman" w:hAnsi="Times New Roman" w:eastAsia="宋体"/>
                      <w:bCs/>
                      <w:caps w:val="0"/>
                      <w:color w:val="000000" w:themeColor="text1"/>
                      <w:kern w:val="24"/>
                      <w:szCs w:val="21"/>
                      <w:highlight w:val="none"/>
                      <w14:textFill>
                        <w14:solidFill>
                          <w14:schemeClr w14:val="tx1"/>
                        </w14:solidFill>
                      </w14:textFill>
                    </w:rPr>
                    <w:t>一年1次</w:t>
                  </w:r>
                </w:p>
              </w:tc>
            </w:tr>
            <w:tr w14:paraId="060D3B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94" w:type="pct"/>
                  <w:vMerge w:val="continue"/>
                  <w:tcBorders>
                    <w:tl2br w:val="nil"/>
                    <w:tr2bl w:val="nil"/>
                  </w:tcBorders>
                  <w:shd w:val="clear" w:color="auto" w:fill="auto"/>
                  <w:vAlign w:val="center"/>
                </w:tcPr>
                <w:p w14:paraId="31C002C2">
                  <w:pPr>
                    <w:jc w:val="center"/>
                    <w:rPr>
                      <w:rFonts w:ascii="Times New Roman" w:hAnsi="Times New Roman" w:eastAsia="宋体"/>
                      <w:bCs/>
                      <w:caps w:val="0"/>
                      <w:color w:val="000000" w:themeColor="text1"/>
                      <w:kern w:val="24"/>
                      <w:szCs w:val="21"/>
                      <w:highlight w:val="none"/>
                      <w14:textFill>
                        <w14:solidFill>
                          <w14:schemeClr w14:val="tx1"/>
                        </w14:solidFill>
                      </w14:textFill>
                    </w:rPr>
                  </w:pPr>
                </w:p>
              </w:tc>
              <w:tc>
                <w:tcPr>
                  <w:tcW w:w="993" w:type="pct"/>
                  <w:vMerge w:val="restart"/>
                  <w:tcBorders>
                    <w:tl2br w:val="nil"/>
                    <w:tr2bl w:val="nil"/>
                  </w:tcBorders>
                  <w:shd w:val="clear" w:color="auto" w:fill="auto"/>
                  <w:vAlign w:val="center"/>
                </w:tcPr>
                <w:p w14:paraId="2BD3EF1C">
                  <w:pPr>
                    <w:jc w:val="center"/>
                    <w:rPr>
                      <w:rFonts w:ascii="Times New Roman" w:hAnsi="Times New Roman" w:eastAsia="宋体"/>
                      <w:bCs/>
                      <w:caps w:val="0"/>
                      <w:color w:val="000000" w:themeColor="text1"/>
                      <w:kern w:val="24"/>
                      <w:szCs w:val="21"/>
                      <w:highlight w:val="none"/>
                      <w14:textFill>
                        <w14:solidFill>
                          <w14:schemeClr w14:val="tx1"/>
                        </w14:solidFill>
                      </w14:textFill>
                    </w:rPr>
                  </w:pPr>
                  <w:r>
                    <w:rPr>
                      <w:rFonts w:hint="eastAsia" w:ascii="Times New Roman" w:hAnsi="Times New Roman" w:eastAsia="宋体"/>
                      <w:bCs/>
                      <w:caps w:val="0"/>
                      <w:color w:val="000000" w:themeColor="text1"/>
                      <w:kern w:val="24"/>
                      <w:szCs w:val="21"/>
                      <w:highlight w:val="none"/>
                      <w14:textFill>
                        <w14:solidFill>
                          <w14:schemeClr w14:val="tx1"/>
                        </w14:solidFill>
                      </w14:textFill>
                    </w:rPr>
                    <w:t>无组织废气监测计划</w:t>
                  </w:r>
                </w:p>
              </w:tc>
              <w:tc>
                <w:tcPr>
                  <w:tcW w:w="844" w:type="pct"/>
                  <w:tcBorders>
                    <w:tl2br w:val="nil"/>
                    <w:tr2bl w:val="nil"/>
                  </w:tcBorders>
                  <w:shd w:val="clear" w:color="auto" w:fill="auto"/>
                  <w:vAlign w:val="center"/>
                </w:tcPr>
                <w:p w14:paraId="7E521B5A">
                  <w:pPr>
                    <w:jc w:val="center"/>
                    <w:rPr>
                      <w:rFonts w:ascii="Times New Roman" w:hAnsi="Times New Roman" w:eastAsia="宋体"/>
                      <w:bCs/>
                      <w:caps w:val="0"/>
                      <w:color w:val="000000" w:themeColor="text1"/>
                      <w:kern w:val="24"/>
                      <w:szCs w:val="21"/>
                      <w:highlight w:val="none"/>
                      <w14:textFill>
                        <w14:solidFill>
                          <w14:schemeClr w14:val="tx1"/>
                        </w14:solidFill>
                      </w14:textFill>
                    </w:rPr>
                  </w:pPr>
                  <w:r>
                    <w:rPr>
                      <w:rFonts w:hint="eastAsia" w:ascii="Times New Roman" w:hAnsi="Times New Roman" w:eastAsia="宋体"/>
                      <w:bCs/>
                      <w:caps w:val="0"/>
                      <w:color w:val="000000" w:themeColor="text1"/>
                      <w:kern w:val="24"/>
                      <w:szCs w:val="21"/>
                      <w:highlight w:val="none"/>
                      <w14:textFill>
                        <w14:solidFill>
                          <w14:schemeClr w14:val="tx1"/>
                        </w14:solidFill>
                      </w14:textFill>
                    </w:rPr>
                    <w:t>厂界</w:t>
                  </w:r>
                </w:p>
              </w:tc>
              <w:tc>
                <w:tcPr>
                  <w:tcW w:w="1368" w:type="pct"/>
                  <w:tcBorders>
                    <w:tl2br w:val="nil"/>
                    <w:tr2bl w:val="nil"/>
                  </w:tcBorders>
                  <w:shd w:val="clear" w:color="auto" w:fill="auto"/>
                  <w:vAlign w:val="center"/>
                </w:tcPr>
                <w:p w14:paraId="6D6F6004">
                  <w:pPr>
                    <w:jc w:val="center"/>
                    <w:rPr>
                      <w:rFonts w:hint="default" w:ascii="Times New Roman" w:hAnsi="Times New Roman" w:eastAsia="宋体"/>
                      <w:bCs/>
                      <w:caps w:val="0"/>
                      <w:color w:val="000000" w:themeColor="text1"/>
                      <w:kern w:val="24"/>
                      <w:szCs w:val="21"/>
                      <w:highlight w:val="none"/>
                      <w:lang w:val="en-US" w:eastAsia="zh-CN"/>
                      <w14:textFill>
                        <w14:solidFill>
                          <w14:schemeClr w14:val="tx1"/>
                        </w14:solidFill>
                      </w14:textFill>
                    </w:rPr>
                  </w:pPr>
                  <w:r>
                    <w:rPr>
                      <w:rFonts w:hint="eastAsia" w:ascii="Times New Roman" w:hAnsi="Times New Roman" w:eastAsia="宋体"/>
                      <w:bCs/>
                      <w:caps w:val="0"/>
                      <w:color w:val="000000" w:themeColor="text1"/>
                      <w:kern w:val="24"/>
                      <w:szCs w:val="21"/>
                      <w:highlight w:val="none"/>
                      <w14:textFill>
                        <w14:solidFill>
                          <w14:schemeClr w14:val="tx1"/>
                        </w14:solidFill>
                      </w14:textFill>
                    </w:rPr>
                    <w:t>颗粒物、非甲烷总烃</w:t>
                  </w:r>
                  <w:r>
                    <w:rPr>
                      <w:rFonts w:hint="eastAsia" w:ascii="Times New Roman" w:hAnsi="Times New Roman" w:eastAsia="宋体"/>
                      <w:bCs/>
                      <w:caps w:val="0"/>
                      <w:color w:val="000000" w:themeColor="text1"/>
                      <w:kern w:val="24"/>
                      <w:szCs w:val="21"/>
                      <w:highlight w:val="none"/>
                      <w:lang w:eastAsia="zh-CN"/>
                      <w14:textFill>
                        <w14:solidFill>
                          <w14:schemeClr w14:val="tx1"/>
                        </w14:solidFill>
                      </w14:textFill>
                    </w:rPr>
                    <w:t>、</w:t>
                  </w:r>
                  <w:r>
                    <w:rPr>
                      <w:rFonts w:hint="eastAsia"/>
                      <w:bCs/>
                      <w:caps w:val="0"/>
                      <w:color w:val="000000" w:themeColor="text1"/>
                      <w:kern w:val="24"/>
                      <w:szCs w:val="21"/>
                      <w:highlight w:val="none"/>
                      <w:lang w:val="en-US" w:eastAsia="zh-CN"/>
                      <w14:textFill>
                        <w14:solidFill>
                          <w14:schemeClr w14:val="tx1"/>
                        </w14:solidFill>
                      </w14:textFill>
                    </w:rPr>
                    <w:t>氨、臭气浓度</w:t>
                  </w:r>
                </w:p>
              </w:tc>
              <w:tc>
                <w:tcPr>
                  <w:tcW w:w="899" w:type="pct"/>
                  <w:tcBorders>
                    <w:tl2br w:val="nil"/>
                    <w:tr2bl w:val="nil"/>
                  </w:tcBorders>
                  <w:shd w:val="clear" w:color="auto" w:fill="auto"/>
                  <w:vAlign w:val="center"/>
                </w:tcPr>
                <w:p w14:paraId="37577EE3">
                  <w:pPr>
                    <w:jc w:val="center"/>
                    <w:rPr>
                      <w:rFonts w:ascii="Times New Roman" w:hAnsi="Times New Roman" w:eastAsia="宋体"/>
                      <w:bCs/>
                      <w:caps w:val="0"/>
                      <w:color w:val="000000" w:themeColor="text1"/>
                      <w:kern w:val="24"/>
                      <w:szCs w:val="21"/>
                      <w:highlight w:val="none"/>
                      <w14:textFill>
                        <w14:solidFill>
                          <w14:schemeClr w14:val="tx1"/>
                        </w14:solidFill>
                      </w14:textFill>
                    </w:rPr>
                  </w:pPr>
                  <w:r>
                    <w:rPr>
                      <w:rFonts w:hint="eastAsia" w:ascii="Times New Roman" w:hAnsi="Times New Roman" w:eastAsia="宋体"/>
                      <w:bCs/>
                      <w:caps w:val="0"/>
                      <w:color w:val="000000" w:themeColor="text1"/>
                      <w:kern w:val="24"/>
                      <w:szCs w:val="21"/>
                      <w:highlight w:val="none"/>
                      <w14:textFill>
                        <w14:solidFill>
                          <w14:schemeClr w14:val="tx1"/>
                        </w14:solidFill>
                      </w14:textFill>
                    </w:rPr>
                    <w:t>一年1次</w:t>
                  </w:r>
                </w:p>
              </w:tc>
            </w:tr>
            <w:tr w14:paraId="59993D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94" w:type="pct"/>
                  <w:vMerge w:val="continue"/>
                  <w:tcBorders>
                    <w:tl2br w:val="nil"/>
                    <w:tr2bl w:val="nil"/>
                  </w:tcBorders>
                  <w:shd w:val="clear" w:color="auto" w:fill="auto"/>
                  <w:vAlign w:val="center"/>
                </w:tcPr>
                <w:p w14:paraId="2D049B5C">
                  <w:pPr>
                    <w:jc w:val="center"/>
                    <w:rPr>
                      <w:rFonts w:ascii="Times New Roman" w:hAnsi="Times New Roman" w:eastAsia="宋体"/>
                      <w:bCs/>
                      <w:caps w:val="0"/>
                      <w:color w:val="000000" w:themeColor="text1"/>
                      <w:kern w:val="24"/>
                      <w:szCs w:val="21"/>
                      <w:highlight w:val="none"/>
                      <w14:textFill>
                        <w14:solidFill>
                          <w14:schemeClr w14:val="tx1"/>
                        </w14:solidFill>
                      </w14:textFill>
                    </w:rPr>
                  </w:pPr>
                </w:p>
              </w:tc>
              <w:tc>
                <w:tcPr>
                  <w:tcW w:w="993" w:type="pct"/>
                  <w:vMerge w:val="continue"/>
                  <w:tcBorders>
                    <w:tl2br w:val="nil"/>
                    <w:tr2bl w:val="nil"/>
                  </w:tcBorders>
                  <w:shd w:val="clear" w:color="auto" w:fill="auto"/>
                  <w:vAlign w:val="center"/>
                </w:tcPr>
                <w:p w14:paraId="47070A84">
                  <w:pPr>
                    <w:jc w:val="center"/>
                    <w:rPr>
                      <w:rFonts w:hint="eastAsia" w:ascii="Times New Roman" w:hAnsi="Times New Roman" w:eastAsia="宋体"/>
                      <w:bCs/>
                      <w:caps w:val="0"/>
                      <w:color w:val="000000" w:themeColor="text1"/>
                      <w:kern w:val="24"/>
                      <w:szCs w:val="21"/>
                      <w:highlight w:val="none"/>
                      <w14:textFill>
                        <w14:solidFill>
                          <w14:schemeClr w14:val="tx1"/>
                        </w14:solidFill>
                      </w14:textFill>
                    </w:rPr>
                  </w:pPr>
                </w:p>
              </w:tc>
              <w:tc>
                <w:tcPr>
                  <w:tcW w:w="844" w:type="pct"/>
                  <w:tcBorders>
                    <w:tl2br w:val="nil"/>
                    <w:tr2bl w:val="nil"/>
                  </w:tcBorders>
                  <w:shd w:val="clear" w:color="auto" w:fill="auto"/>
                  <w:vAlign w:val="center"/>
                </w:tcPr>
                <w:p w14:paraId="49EB1E9C">
                  <w:pPr>
                    <w:jc w:val="center"/>
                    <w:rPr>
                      <w:rFonts w:hint="eastAsia" w:ascii="Times New Roman" w:hAnsi="Times New Roman" w:eastAsia="宋体"/>
                      <w:bCs/>
                      <w:caps w:val="0"/>
                      <w:color w:val="000000" w:themeColor="text1"/>
                      <w:kern w:val="24"/>
                      <w:szCs w:val="21"/>
                      <w:highlight w:val="none"/>
                      <w:lang w:val="en-US" w:eastAsia="zh-CN"/>
                      <w14:textFill>
                        <w14:solidFill>
                          <w14:schemeClr w14:val="tx1"/>
                        </w14:solidFill>
                      </w14:textFill>
                    </w:rPr>
                  </w:pPr>
                  <w:r>
                    <w:rPr>
                      <w:rFonts w:hint="eastAsia" w:ascii="Times New Roman" w:hAnsi="Times New Roman" w:eastAsia="宋体"/>
                      <w:bCs/>
                      <w:caps w:val="0"/>
                      <w:color w:val="000000" w:themeColor="text1"/>
                      <w:kern w:val="24"/>
                      <w:szCs w:val="21"/>
                      <w:highlight w:val="none"/>
                      <w:lang w:val="en-US" w:eastAsia="zh-CN"/>
                      <w14:textFill>
                        <w14:solidFill>
                          <w14:schemeClr w14:val="tx1"/>
                        </w14:solidFill>
                      </w14:textFill>
                    </w:rPr>
                    <w:t>厂区内</w:t>
                  </w:r>
                </w:p>
              </w:tc>
              <w:tc>
                <w:tcPr>
                  <w:tcW w:w="1368" w:type="pct"/>
                  <w:tcBorders>
                    <w:tl2br w:val="nil"/>
                    <w:tr2bl w:val="nil"/>
                  </w:tcBorders>
                  <w:shd w:val="clear" w:color="auto" w:fill="auto"/>
                  <w:vAlign w:val="center"/>
                </w:tcPr>
                <w:p w14:paraId="50D53688">
                  <w:pPr>
                    <w:jc w:val="center"/>
                    <w:rPr>
                      <w:rFonts w:hint="eastAsia" w:ascii="Times New Roman" w:hAnsi="Times New Roman" w:eastAsia="宋体"/>
                      <w:bCs/>
                      <w:caps w:val="0"/>
                      <w:color w:val="000000" w:themeColor="text1"/>
                      <w:kern w:val="24"/>
                      <w:szCs w:val="21"/>
                      <w:highlight w:val="none"/>
                      <w14:textFill>
                        <w14:solidFill>
                          <w14:schemeClr w14:val="tx1"/>
                        </w14:solidFill>
                      </w14:textFill>
                    </w:rPr>
                  </w:pPr>
                  <w:r>
                    <w:rPr>
                      <w:rFonts w:hint="eastAsia" w:ascii="Times New Roman" w:hAnsi="Times New Roman" w:eastAsia="宋体"/>
                      <w:bCs/>
                      <w:caps w:val="0"/>
                      <w:color w:val="000000" w:themeColor="text1"/>
                      <w:kern w:val="24"/>
                      <w:szCs w:val="21"/>
                      <w:highlight w:val="none"/>
                      <w14:textFill>
                        <w14:solidFill>
                          <w14:schemeClr w14:val="tx1"/>
                        </w14:solidFill>
                      </w14:textFill>
                    </w:rPr>
                    <w:t>非甲烷总烃</w:t>
                  </w:r>
                </w:p>
              </w:tc>
              <w:tc>
                <w:tcPr>
                  <w:tcW w:w="899" w:type="pct"/>
                  <w:tcBorders>
                    <w:tl2br w:val="nil"/>
                    <w:tr2bl w:val="nil"/>
                  </w:tcBorders>
                  <w:shd w:val="clear" w:color="auto" w:fill="auto"/>
                  <w:vAlign w:val="center"/>
                </w:tcPr>
                <w:p w14:paraId="13559D2C">
                  <w:pPr>
                    <w:jc w:val="center"/>
                    <w:rPr>
                      <w:rFonts w:hint="eastAsia" w:ascii="Times New Roman" w:hAnsi="Times New Roman" w:eastAsia="宋体" w:cs="Times New Roman"/>
                      <w:bCs/>
                      <w:caps w:val="0"/>
                      <w:color w:val="000000" w:themeColor="text1"/>
                      <w:kern w:val="24"/>
                      <w:sz w:val="21"/>
                      <w:szCs w:val="21"/>
                      <w:highlight w:val="none"/>
                      <w:lang w:val="en-US" w:eastAsia="zh-CN" w:bidi="ar-SA"/>
                      <w14:textFill>
                        <w14:solidFill>
                          <w14:schemeClr w14:val="tx1"/>
                        </w14:solidFill>
                      </w14:textFill>
                    </w:rPr>
                  </w:pPr>
                  <w:r>
                    <w:rPr>
                      <w:rFonts w:hint="eastAsia" w:ascii="Times New Roman" w:hAnsi="Times New Roman" w:eastAsia="宋体"/>
                      <w:bCs/>
                      <w:caps w:val="0"/>
                      <w:color w:val="000000" w:themeColor="text1"/>
                      <w:kern w:val="24"/>
                      <w:szCs w:val="21"/>
                      <w:highlight w:val="none"/>
                      <w14:textFill>
                        <w14:solidFill>
                          <w14:schemeClr w14:val="tx1"/>
                        </w14:solidFill>
                      </w14:textFill>
                    </w:rPr>
                    <w:t>一年1次</w:t>
                  </w:r>
                </w:p>
              </w:tc>
            </w:tr>
          </w:tbl>
          <w:p w14:paraId="4E098515">
            <w:pPr>
              <w:tabs>
                <w:tab w:val="left" w:pos="1077"/>
              </w:tabs>
              <w:spacing w:line="360" w:lineRule="auto"/>
              <w:ind w:firstLine="482" w:firstLineChars="200"/>
              <w:jc w:val="left"/>
              <w:rPr>
                <w:rFonts w:ascii="Times New Roman" w:hAnsi="Times New Roman" w:eastAsia="宋体" w:cs="宋体"/>
                <w:b/>
                <w:bCs/>
                <w:caps w:val="0"/>
                <w:color w:val="000000" w:themeColor="text1"/>
                <w:sz w:val="24"/>
                <w:highlight w:val="none"/>
                <w14:textFill>
                  <w14:solidFill>
                    <w14:schemeClr w14:val="tx1"/>
                  </w14:solidFill>
                </w14:textFill>
              </w:rPr>
            </w:pPr>
            <w:r>
              <w:rPr>
                <w:rFonts w:hint="eastAsia" w:ascii="Times New Roman" w:hAnsi="Times New Roman" w:eastAsia="宋体" w:cs="宋体"/>
                <w:b/>
                <w:bCs/>
                <w:caps w:val="0"/>
                <w:color w:val="000000" w:themeColor="text1"/>
                <w:sz w:val="24"/>
                <w:highlight w:val="none"/>
                <w14:textFill>
                  <w14:solidFill>
                    <w14:schemeClr w14:val="tx1"/>
                  </w14:solidFill>
                </w14:textFill>
              </w:rPr>
              <w:t>二、废水环境影响和保护措施</w:t>
            </w:r>
          </w:p>
          <w:p w14:paraId="17CA8B11">
            <w:pPr>
              <w:spacing w:line="360" w:lineRule="auto"/>
              <w:ind w:firstLine="482" w:firstLineChars="200"/>
              <w:rPr>
                <w:rFonts w:hint="default" w:ascii="Times New Roman" w:hAnsi="Times New Roman" w:eastAsia="宋体"/>
                <w:b/>
                <w:bCs/>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1、废水源强</w:t>
            </w:r>
          </w:p>
          <w:p w14:paraId="2AEAD5E7">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项目用水主要为</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生活用水、</w:t>
            </w:r>
            <w:r>
              <w:rPr>
                <w:rFonts w:hint="eastAsia"/>
                <w:caps w:val="0"/>
                <w:color w:val="000000" w:themeColor="text1"/>
                <w:sz w:val="24"/>
                <w:highlight w:val="none"/>
                <w:lang w:val="en-US" w:eastAsia="zh-CN"/>
                <w14:textFill>
                  <w14:solidFill>
                    <w14:schemeClr w14:val="tx1"/>
                  </w14:solidFill>
                </w14:textFill>
              </w:rPr>
              <w:t>冷却塔用水、潮湿用水、切削液配制用水</w:t>
            </w:r>
            <w:r>
              <w:rPr>
                <w:rFonts w:hint="eastAsia" w:ascii="Times New Roman" w:hAnsi="Times New Roman" w:eastAsia="宋体"/>
                <w:caps w:val="0"/>
                <w:color w:val="000000" w:themeColor="text1"/>
                <w:sz w:val="24"/>
                <w:highlight w:val="none"/>
                <w14:textFill>
                  <w14:solidFill>
                    <w14:schemeClr w14:val="tx1"/>
                  </w14:solidFill>
                </w14:textFill>
              </w:rPr>
              <w:t>。</w:t>
            </w:r>
          </w:p>
          <w:p w14:paraId="48CCC8B3">
            <w:pPr>
              <w:spacing w:line="360" w:lineRule="auto"/>
              <w:ind w:firstLine="440" w:firstLineChars="200"/>
              <w:rPr>
                <w:rFonts w:hint="default" w:ascii="Times New Roman" w:hAnsi="Times New Roman" w:eastAsia="宋体"/>
                <w:bCs/>
                <w:caps w:val="0"/>
                <w:color w:val="000000" w:themeColor="text1"/>
                <w:spacing w:val="-10"/>
                <w:sz w:val="24"/>
                <w:highlight w:val="none"/>
                <w:lang w:val="en-US" w:eastAsia="zh-CN"/>
                <w14:textFill>
                  <w14:solidFill>
                    <w14:schemeClr w14:val="tx1"/>
                  </w14:solidFill>
                </w14:textFill>
              </w:rPr>
            </w:pPr>
            <w:r>
              <w:rPr>
                <w:rFonts w:hint="eastAsia" w:ascii="Times New Roman" w:hAnsi="Times New Roman" w:eastAsia="宋体"/>
                <w:bCs/>
                <w:caps w:val="0"/>
                <w:color w:val="000000" w:themeColor="text1"/>
                <w:spacing w:val="-10"/>
                <w:sz w:val="24"/>
                <w:highlight w:val="none"/>
                <w:lang w:eastAsia="zh-CN"/>
                <w14:textFill>
                  <w14:solidFill>
                    <w14:schemeClr w14:val="tx1"/>
                  </w14:solidFill>
                </w14:textFill>
              </w:rPr>
              <w:t>（</w:t>
            </w:r>
            <w:r>
              <w:rPr>
                <w:rFonts w:hint="eastAsia" w:ascii="Times New Roman" w:hAnsi="Times New Roman" w:eastAsia="宋体"/>
                <w:bCs/>
                <w:caps w:val="0"/>
                <w:color w:val="000000" w:themeColor="text1"/>
                <w:spacing w:val="-10"/>
                <w:sz w:val="24"/>
                <w:highlight w:val="none"/>
                <w:lang w:val="en-US" w:eastAsia="zh-CN"/>
                <w14:textFill>
                  <w14:solidFill>
                    <w14:schemeClr w14:val="tx1"/>
                  </w14:solidFill>
                </w14:textFill>
              </w:rPr>
              <w:t>1</w:t>
            </w:r>
            <w:r>
              <w:rPr>
                <w:rFonts w:hint="eastAsia" w:ascii="Times New Roman" w:hAnsi="Times New Roman" w:eastAsia="宋体"/>
                <w:bCs/>
                <w:caps w:val="0"/>
                <w:color w:val="000000" w:themeColor="text1"/>
                <w:spacing w:val="-10"/>
                <w:sz w:val="24"/>
                <w:highlight w:val="none"/>
                <w:lang w:eastAsia="zh-CN"/>
                <w14:textFill>
                  <w14:solidFill>
                    <w14:schemeClr w14:val="tx1"/>
                  </w14:solidFill>
                </w14:textFill>
              </w:rPr>
              <w:t>）</w:t>
            </w:r>
            <w:r>
              <w:rPr>
                <w:rFonts w:hint="eastAsia" w:ascii="Times New Roman" w:hAnsi="Times New Roman" w:eastAsia="宋体"/>
                <w:bCs/>
                <w:caps w:val="0"/>
                <w:color w:val="000000" w:themeColor="text1"/>
                <w:spacing w:val="-10"/>
                <w:sz w:val="24"/>
                <w:highlight w:val="none"/>
                <w:lang w:val="en-US" w:eastAsia="zh-CN"/>
                <w14:textFill>
                  <w14:solidFill>
                    <w14:schemeClr w14:val="tx1"/>
                  </w14:solidFill>
                </w14:textFill>
              </w:rPr>
              <w:t>生活</w:t>
            </w:r>
            <w:r>
              <w:rPr>
                <w:rFonts w:hint="eastAsia"/>
                <w:bCs/>
                <w:caps w:val="0"/>
                <w:color w:val="000000" w:themeColor="text1"/>
                <w:spacing w:val="-10"/>
                <w:sz w:val="24"/>
                <w:highlight w:val="none"/>
                <w:lang w:val="en-US" w:eastAsia="zh-CN"/>
                <w14:textFill>
                  <w14:solidFill>
                    <w14:schemeClr w14:val="tx1"/>
                  </w14:solidFill>
                </w14:textFill>
              </w:rPr>
              <w:t>污</w:t>
            </w:r>
            <w:r>
              <w:rPr>
                <w:rFonts w:hint="eastAsia" w:ascii="Times New Roman" w:hAnsi="Times New Roman" w:eastAsia="宋体"/>
                <w:bCs/>
                <w:caps w:val="0"/>
                <w:color w:val="000000" w:themeColor="text1"/>
                <w:spacing w:val="-10"/>
                <w:sz w:val="24"/>
                <w:highlight w:val="none"/>
                <w:lang w:val="en-US" w:eastAsia="zh-CN"/>
                <w14:textFill>
                  <w14:solidFill>
                    <w14:schemeClr w14:val="tx1"/>
                  </w14:solidFill>
                </w14:textFill>
              </w:rPr>
              <w:t>水</w:t>
            </w:r>
          </w:p>
          <w:p w14:paraId="0A9EB7FA">
            <w:pPr>
              <w:adjustRightInd w:val="0"/>
              <w:snapToGrid w:val="0"/>
              <w:spacing w:line="360" w:lineRule="auto"/>
              <w:ind w:firstLine="472" w:firstLineChars="200"/>
              <w:jc w:val="left"/>
              <w:rPr>
                <w:rFonts w:hint="eastAsia"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pacing w:val="-2"/>
                <w:sz w:val="24"/>
                <w:highlight w:val="none"/>
                <w14:textFill>
                  <w14:solidFill>
                    <w14:schemeClr w14:val="tx1"/>
                  </w14:solidFill>
                </w14:textFill>
              </w:rPr>
              <w:t>项目</w:t>
            </w:r>
            <w:r>
              <w:rPr>
                <w:rFonts w:hint="eastAsia" w:ascii="Times New Roman" w:hAnsi="Times New Roman" w:eastAsia="宋体"/>
                <w:caps w:val="0"/>
                <w:color w:val="000000" w:themeColor="text1"/>
                <w:spacing w:val="-2"/>
                <w:sz w:val="24"/>
                <w:highlight w:val="none"/>
                <w14:textFill>
                  <w14:solidFill>
                    <w14:schemeClr w14:val="tx1"/>
                  </w14:solidFill>
                </w14:textFill>
              </w:rPr>
              <w:t>新增</w:t>
            </w:r>
            <w:r>
              <w:rPr>
                <w:rFonts w:ascii="Times New Roman" w:hAnsi="Times New Roman" w:eastAsia="宋体"/>
                <w:caps w:val="0"/>
                <w:color w:val="000000" w:themeColor="text1"/>
                <w:spacing w:val="-2"/>
                <w:sz w:val="24"/>
                <w:highlight w:val="none"/>
                <w14:textFill>
                  <w14:solidFill>
                    <w14:schemeClr w14:val="tx1"/>
                  </w14:solidFill>
                </w14:textFill>
              </w:rPr>
              <w:t>劳动定员</w:t>
            </w:r>
            <w:r>
              <w:rPr>
                <w:rFonts w:hint="eastAsia"/>
                <w:caps w:val="0"/>
                <w:color w:val="000000" w:themeColor="text1"/>
                <w:spacing w:val="-2"/>
                <w:sz w:val="24"/>
                <w:highlight w:val="none"/>
                <w:lang w:val="en-US" w:eastAsia="zh-CN"/>
                <w14:textFill>
                  <w14:solidFill>
                    <w14:schemeClr w14:val="tx1"/>
                  </w14:solidFill>
                </w14:textFill>
              </w:rPr>
              <w:t>1</w:t>
            </w:r>
            <w:r>
              <w:rPr>
                <w:rFonts w:hint="eastAsia" w:ascii="Times New Roman" w:hAnsi="Times New Roman" w:eastAsia="宋体"/>
                <w:caps w:val="0"/>
                <w:color w:val="000000" w:themeColor="text1"/>
                <w:spacing w:val="-2"/>
                <w:sz w:val="24"/>
                <w:highlight w:val="none"/>
                <w:lang w:val="en-US" w:eastAsia="zh-CN"/>
                <w14:textFill>
                  <w14:solidFill>
                    <w14:schemeClr w14:val="tx1"/>
                  </w14:solidFill>
                </w14:textFill>
              </w:rPr>
              <w:t>50</w:t>
            </w:r>
            <w:r>
              <w:rPr>
                <w:rFonts w:ascii="Times New Roman" w:hAnsi="Times New Roman" w:eastAsia="宋体"/>
                <w:caps w:val="0"/>
                <w:color w:val="000000" w:themeColor="text1"/>
                <w:spacing w:val="-2"/>
                <w:sz w:val="24"/>
                <w:highlight w:val="none"/>
                <w14:textFill>
                  <w14:solidFill>
                    <w14:schemeClr w14:val="tx1"/>
                  </w14:solidFill>
                </w14:textFill>
              </w:rPr>
              <w:t>人</w:t>
            </w:r>
            <w:r>
              <w:rPr>
                <w:rFonts w:hint="eastAsia"/>
                <w:caps w:val="0"/>
                <w:color w:val="000000" w:themeColor="text1"/>
                <w:spacing w:val="-2"/>
                <w:sz w:val="24"/>
                <w:highlight w:val="none"/>
                <w:lang w:val="en-US" w:eastAsia="zh-CN"/>
                <w14:textFill>
                  <w14:solidFill>
                    <w14:schemeClr w14:val="tx1"/>
                  </w14:solidFill>
                </w14:textFill>
              </w:rPr>
              <w:t>，</w:t>
            </w:r>
            <w:r>
              <w:rPr>
                <w:rFonts w:hint="eastAsia" w:ascii="Times New Roman" w:hAnsi="Times New Roman" w:eastAsia="宋体"/>
                <w:caps w:val="0"/>
                <w:color w:val="000000" w:themeColor="text1"/>
                <w:spacing w:val="-2"/>
                <w:sz w:val="24"/>
                <w:highlight w:val="none"/>
                <w14:textFill>
                  <w14:solidFill>
                    <w14:schemeClr w14:val="tx1"/>
                  </w14:solidFill>
                </w14:textFill>
              </w:rPr>
              <w:t>根据</w:t>
            </w:r>
            <w:r>
              <w:rPr>
                <w:rFonts w:ascii="Times New Roman" w:hAnsi="Times New Roman" w:eastAsia="宋体"/>
                <w:caps w:val="0"/>
                <w:color w:val="000000" w:themeColor="text1"/>
                <w:sz w:val="24"/>
                <w:highlight w:val="none"/>
                <w14:textFill>
                  <w14:solidFill>
                    <w14:schemeClr w14:val="tx1"/>
                  </w14:solidFill>
                </w14:textFill>
              </w:rPr>
              <w:t>《安徽省行业用水定额》（DB34/T 679-2019）</w:t>
            </w:r>
            <w:r>
              <w:rPr>
                <w:rFonts w:hint="eastAsia" w:ascii="Times New Roman" w:hAnsi="Times New Roman" w:eastAsia="宋体"/>
                <w:caps w:val="0"/>
                <w:color w:val="000000" w:themeColor="text1"/>
                <w:sz w:val="24"/>
                <w:highlight w:val="none"/>
                <w14:textFill>
                  <w14:solidFill>
                    <w14:schemeClr w14:val="tx1"/>
                  </w14:solidFill>
                </w14:textFill>
              </w:rPr>
              <w:t>，</w:t>
            </w:r>
            <w:r>
              <w:rPr>
                <w:rFonts w:ascii="Times New Roman" w:hAnsi="Times New Roman" w:eastAsia="宋体"/>
                <w:caps w:val="0"/>
                <w:color w:val="000000" w:themeColor="text1"/>
                <w:spacing w:val="-2"/>
                <w:sz w:val="24"/>
                <w:highlight w:val="none"/>
                <w14:textFill>
                  <w14:solidFill>
                    <w14:schemeClr w14:val="tx1"/>
                  </w14:solidFill>
                </w14:textFill>
              </w:rPr>
              <w:t>员工生活用水以</w:t>
            </w:r>
            <w:r>
              <w:rPr>
                <w:rFonts w:hint="eastAsia" w:ascii="Times New Roman" w:hAnsi="Times New Roman" w:eastAsia="宋体"/>
                <w:caps w:val="0"/>
                <w:color w:val="000000" w:themeColor="text1"/>
                <w:spacing w:val="-2"/>
                <w:sz w:val="24"/>
                <w:highlight w:val="none"/>
                <w:lang w:val="en-US" w:eastAsia="zh-CN"/>
                <w14:textFill>
                  <w14:solidFill>
                    <w14:schemeClr w14:val="tx1"/>
                  </w14:solidFill>
                </w14:textFill>
              </w:rPr>
              <w:t>110</w:t>
            </w:r>
            <w:r>
              <w:rPr>
                <w:rFonts w:ascii="Times New Roman" w:hAnsi="Times New Roman" w:eastAsia="宋体"/>
                <w:caps w:val="0"/>
                <w:color w:val="000000" w:themeColor="text1"/>
                <w:spacing w:val="-2"/>
                <w:sz w:val="24"/>
                <w:highlight w:val="none"/>
                <w14:textFill>
                  <w14:solidFill>
                    <w14:schemeClr w14:val="tx1"/>
                  </w14:solidFill>
                </w14:textFill>
              </w:rPr>
              <w:t>L/人</w:t>
            </w:r>
            <w:r>
              <w:rPr>
                <w:rFonts w:hint="eastAsia" w:ascii="Times New Roman" w:hAnsi="Times New Roman" w:eastAsia="宋体"/>
                <w:caps w:val="0"/>
                <w:color w:val="000000" w:themeColor="text1"/>
                <w:spacing w:val="-2"/>
                <w:sz w:val="24"/>
                <w:highlight w:val="none"/>
                <w:lang w:val="en-US" w:eastAsia="zh-CN"/>
                <w14:textFill>
                  <w14:solidFill>
                    <w14:schemeClr w14:val="tx1"/>
                  </w14:solidFill>
                </w14:textFill>
              </w:rPr>
              <w:t>·</w:t>
            </w:r>
            <w:r>
              <w:rPr>
                <w:rFonts w:ascii="Times New Roman" w:hAnsi="Times New Roman" w:eastAsia="宋体"/>
                <w:caps w:val="0"/>
                <w:color w:val="000000" w:themeColor="text1"/>
                <w:spacing w:val="-2"/>
                <w:sz w:val="24"/>
                <w:highlight w:val="none"/>
                <w14:textFill>
                  <w14:solidFill>
                    <w14:schemeClr w14:val="tx1"/>
                  </w14:solidFill>
                </w14:textFill>
              </w:rPr>
              <w:t>d计，则职工生活用水量为</w:t>
            </w:r>
            <w:r>
              <w:rPr>
                <w:rFonts w:hint="eastAsia"/>
                <w:caps w:val="0"/>
                <w:color w:val="000000" w:themeColor="text1"/>
                <w:spacing w:val="-2"/>
                <w:sz w:val="24"/>
                <w:highlight w:val="none"/>
                <w:lang w:val="en-US" w:eastAsia="zh-CN"/>
                <w14:textFill>
                  <w14:solidFill>
                    <w14:schemeClr w14:val="tx1"/>
                  </w14:solidFill>
                </w14:textFill>
              </w:rPr>
              <w:t>16.5</w:t>
            </w:r>
            <w:r>
              <w:rPr>
                <w:rFonts w:ascii="Times New Roman" w:hAnsi="Times New Roman" w:eastAsia="宋体"/>
                <w:caps w:val="0"/>
                <w:color w:val="000000" w:themeColor="text1"/>
                <w:spacing w:val="-2"/>
                <w:sz w:val="24"/>
                <w:highlight w:val="none"/>
                <w14:textFill>
                  <w14:solidFill>
                    <w14:schemeClr w14:val="tx1"/>
                  </w14:solidFill>
                </w14:textFill>
              </w:rPr>
              <w:t>m</w:t>
            </w:r>
            <w:r>
              <w:rPr>
                <w:rFonts w:ascii="Times New Roman" w:hAnsi="Times New Roman" w:eastAsia="宋体"/>
                <w:caps w:val="0"/>
                <w:color w:val="000000" w:themeColor="text1"/>
                <w:spacing w:val="-2"/>
                <w:sz w:val="24"/>
                <w:highlight w:val="none"/>
                <w:vertAlign w:val="superscript"/>
                <w14:textFill>
                  <w14:solidFill>
                    <w14:schemeClr w14:val="tx1"/>
                  </w14:solidFill>
                </w14:textFill>
              </w:rPr>
              <w:t>3</w:t>
            </w:r>
            <w:r>
              <w:rPr>
                <w:rFonts w:ascii="Times New Roman" w:hAnsi="Times New Roman" w:eastAsia="宋体"/>
                <w:caps w:val="0"/>
                <w:color w:val="000000" w:themeColor="text1"/>
                <w:spacing w:val="-2"/>
                <w:sz w:val="24"/>
                <w:highlight w:val="none"/>
                <w14:textFill>
                  <w14:solidFill>
                    <w14:schemeClr w14:val="tx1"/>
                  </w14:solidFill>
                </w14:textFill>
              </w:rPr>
              <w:t>/d（</w:t>
            </w:r>
            <w:r>
              <w:rPr>
                <w:rFonts w:hint="eastAsia"/>
                <w:caps w:val="0"/>
                <w:color w:val="000000" w:themeColor="text1"/>
                <w:spacing w:val="-2"/>
                <w:sz w:val="24"/>
                <w:highlight w:val="none"/>
                <w:lang w:val="en-US" w:eastAsia="zh-CN"/>
                <w14:textFill>
                  <w14:solidFill>
                    <w14:schemeClr w14:val="tx1"/>
                  </w14:solidFill>
                </w14:textFill>
              </w:rPr>
              <w:t>4950</w:t>
            </w:r>
            <w:r>
              <w:rPr>
                <w:rFonts w:ascii="Times New Roman" w:hAnsi="Times New Roman" w:eastAsia="宋体"/>
                <w:caps w:val="0"/>
                <w:color w:val="000000" w:themeColor="text1"/>
                <w:spacing w:val="-2"/>
                <w:sz w:val="24"/>
                <w:highlight w:val="none"/>
                <w14:textFill>
                  <w14:solidFill>
                    <w14:schemeClr w14:val="tx1"/>
                  </w14:solidFill>
                </w14:textFill>
              </w:rPr>
              <w:t>m</w:t>
            </w:r>
            <w:r>
              <w:rPr>
                <w:rFonts w:ascii="Times New Roman" w:hAnsi="Times New Roman" w:eastAsia="宋体"/>
                <w:caps w:val="0"/>
                <w:color w:val="000000" w:themeColor="text1"/>
                <w:spacing w:val="-2"/>
                <w:sz w:val="24"/>
                <w:highlight w:val="none"/>
                <w:vertAlign w:val="superscript"/>
                <w14:textFill>
                  <w14:solidFill>
                    <w14:schemeClr w14:val="tx1"/>
                  </w14:solidFill>
                </w14:textFill>
              </w:rPr>
              <w:t>3</w:t>
            </w:r>
            <w:r>
              <w:rPr>
                <w:rFonts w:ascii="Times New Roman" w:hAnsi="Times New Roman" w:eastAsia="宋体"/>
                <w:caps w:val="0"/>
                <w:color w:val="000000" w:themeColor="text1"/>
                <w:spacing w:val="-2"/>
                <w:sz w:val="24"/>
                <w:highlight w:val="none"/>
                <w14:textFill>
                  <w14:solidFill>
                    <w14:schemeClr w14:val="tx1"/>
                  </w14:solidFill>
                </w14:textFill>
              </w:rPr>
              <w:t>/a）。生活污水产生系数以0.8计，则本项目生活污水排放量为</w:t>
            </w:r>
            <w:r>
              <w:rPr>
                <w:rFonts w:hint="eastAsia"/>
                <w:caps w:val="0"/>
                <w:color w:val="000000" w:themeColor="text1"/>
                <w:spacing w:val="-2"/>
                <w:sz w:val="24"/>
                <w:highlight w:val="none"/>
                <w:lang w:val="en-US" w:eastAsia="zh-CN"/>
                <w14:textFill>
                  <w14:solidFill>
                    <w14:schemeClr w14:val="tx1"/>
                  </w14:solidFill>
                </w14:textFill>
              </w:rPr>
              <w:t>13.2</w:t>
            </w:r>
            <w:r>
              <w:rPr>
                <w:rFonts w:ascii="Times New Roman" w:hAnsi="Times New Roman" w:eastAsia="宋体"/>
                <w:caps w:val="0"/>
                <w:color w:val="000000" w:themeColor="text1"/>
                <w:spacing w:val="-2"/>
                <w:sz w:val="24"/>
                <w:highlight w:val="none"/>
                <w14:textFill>
                  <w14:solidFill>
                    <w14:schemeClr w14:val="tx1"/>
                  </w14:solidFill>
                </w14:textFill>
              </w:rPr>
              <w:t>m</w:t>
            </w:r>
            <w:r>
              <w:rPr>
                <w:rFonts w:ascii="Times New Roman" w:hAnsi="Times New Roman" w:eastAsia="宋体"/>
                <w:caps w:val="0"/>
                <w:color w:val="000000" w:themeColor="text1"/>
                <w:spacing w:val="-2"/>
                <w:sz w:val="24"/>
                <w:highlight w:val="none"/>
                <w:vertAlign w:val="superscript"/>
                <w14:textFill>
                  <w14:solidFill>
                    <w14:schemeClr w14:val="tx1"/>
                  </w14:solidFill>
                </w14:textFill>
              </w:rPr>
              <w:t>3</w:t>
            </w:r>
            <w:r>
              <w:rPr>
                <w:rFonts w:ascii="Times New Roman" w:hAnsi="Times New Roman" w:eastAsia="宋体"/>
                <w:caps w:val="0"/>
                <w:color w:val="000000" w:themeColor="text1"/>
                <w:spacing w:val="-2"/>
                <w:sz w:val="24"/>
                <w:highlight w:val="none"/>
                <w14:textFill>
                  <w14:solidFill>
                    <w14:schemeClr w14:val="tx1"/>
                  </w14:solidFill>
                </w14:textFill>
              </w:rPr>
              <w:t>/d（</w:t>
            </w:r>
            <w:r>
              <w:rPr>
                <w:rFonts w:hint="eastAsia"/>
                <w:caps w:val="0"/>
                <w:color w:val="000000" w:themeColor="text1"/>
                <w:spacing w:val="-2"/>
                <w:sz w:val="24"/>
                <w:highlight w:val="none"/>
                <w:lang w:val="en-US" w:eastAsia="zh-CN"/>
                <w14:textFill>
                  <w14:solidFill>
                    <w14:schemeClr w14:val="tx1"/>
                  </w14:solidFill>
                </w14:textFill>
              </w:rPr>
              <w:t>3960</w:t>
            </w:r>
            <w:r>
              <w:rPr>
                <w:rFonts w:ascii="Times New Roman" w:hAnsi="Times New Roman" w:eastAsia="宋体"/>
                <w:caps w:val="0"/>
                <w:color w:val="000000" w:themeColor="text1"/>
                <w:spacing w:val="-2"/>
                <w:sz w:val="24"/>
                <w:highlight w:val="none"/>
                <w14:textFill>
                  <w14:solidFill>
                    <w14:schemeClr w14:val="tx1"/>
                  </w14:solidFill>
                </w14:textFill>
              </w:rPr>
              <w:t>m</w:t>
            </w:r>
            <w:r>
              <w:rPr>
                <w:rFonts w:ascii="Times New Roman" w:hAnsi="Times New Roman" w:eastAsia="宋体"/>
                <w:caps w:val="0"/>
                <w:color w:val="000000" w:themeColor="text1"/>
                <w:spacing w:val="-2"/>
                <w:sz w:val="24"/>
                <w:highlight w:val="none"/>
                <w:vertAlign w:val="superscript"/>
                <w14:textFill>
                  <w14:solidFill>
                    <w14:schemeClr w14:val="tx1"/>
                  </w14:solidFill>
                </w14:textFill>
              </w:rPr>
              <w:t>3</w:t>
            </w:r>
            <w:r>
              <w:rPr>
                <w:rFonts w:ascii="Times New Roman" w:hAnsi="Times New Roman" w:eastAsia="宋体"/>
                <w:caps w:val="0"/>
                <w:color w:val="000000" w:themeColor="text1"/>
                <w:spacing w:val="-2"/>
                <w:sz w:val="24"/>
                <w:highlight w:val="none"/>
                <w14:textFill>
                  <w14:solidFill>
                    <w14:schemeClr w14:val="tx1"/>
                  </w14:solidFill>
                </w14:textFill>
              </w:rPr>
              <w:t>/a）。生活污水中主要污染物浓度为COD（350mg/L）、BOD</w:t>
            </w:r>
            <w:r>
              <w:rPr>
                <w:rFonts w:ascii="Times New Roman" w:hAnsi="Times New Roman" w:eastAsia="宋体"/>
                <w:caps w:val="0"/>
                <w:color w:val="000000" w:themeColor="text1"/>
                <w:spacing w:val="-2"/>
                <w:sz w:val="24"/>
                <w:highlight w:val="none"/>
                <w:vertAlign w:val="subscript"/>
                <w14:textFill>
                  <w14:solidFill>
                    <w14:schemeClr w14:val="tx1"/>
                  </w14:solidFill>
                </w14:textFill>
              </w:rPr>
              <w:t>5</w:t>
            </w:r>
            <w:r>
              <w:rPr>
                <w:rFonts w:ascii="Times New Roman" w:hAnsi="Times New Roman" w:eastAsia="宋体"/>
                <w:caps w:val="0"/>
                <w:color w:val="000000" w:themeColor="text1"/>
                <w:spacing w:val="-2"/>
                <w:sz w:val="24"/>
                <w:highlight w:val="none"/>
                <w14:textFill>
                  <w14:solidFill>
                    <w14:schemeClr w14:val="tx1"/>
                  </w14:solidFill>
                </w14:textFill>
              </w:rPr>
              <w:t>（250mg/L）氨氮（35mg/L）、SS（300mg/L）</w:t>
            </w:r>
            <w:r>
              <w:rPr>
                <w:rFonts w:hint="eastAsia" w:ascii="Times New Roman" w:hAnsi="Times New Roman" w:eastAsia="宋体"/>
                <w:caps w:val="0"/>
                <w:color w:val="000000" w:themeColor="text1"/>
                <w:spacing w:val="-2"/>
                <w:sz w:val="24"/>
                <w:highlight w:val="none"/>
                <w:lang w:eastAsia="zh-CN"/>
                <w14:textFill>
                  <w14:solidFill>
                    <w14:schemeClr w14:val="tx1"/>
                  </w14:solidFill>
                </w14:textFill>
              </w:rPr>
              <w:t>、</w:t>
            </w:r>
            <w:r>
              <w:rPr>
                <w:rFonts w:hint="eastAsia" w:ascii="Times New Roman" w:hAnsi="Times New Roman" w:eastAsia="宋体"/>
                <w:caps w:val="0"/>
                <w:color w:val="000000" w:themeColor="text1"/>
                <w:spacing w:val="-2"/>
                <w:sz w:val="24"/>
                <w:highlight w:val="none"/>
                <w14:textFill>
                  <w14:solidFill>
                    <w14:schemeClr w14:val="tx1"/>
                  </w14:solidFill>
                </w14:textFill>
              </w:rPr>
              <w:t>动植物油（100mg/L）</w:t>
            </w:r>
            <w:r>
              <w:rPr>
                <w:rFonts w:ascii="Times New Roman" w:hAnsi="Times New Roman" w:eastAsia="宋体"/>
                <w:caps w:val="0"/>
                <w:color w:val="000000" w:themeColor="text1"/>
                <w:spacing w:val="-2"/>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生活污水经厂区化粪池</w:t>
            </w:r>
            <w:r>
              <w:rPr>
                <w:rFonts w:hint="eastAsia"/>
                <w:caps w:val="0"/>
                <w:color w:val="000000" w:themeColor="text1"/>
                <w:sz w:val="24"/>
                <w:highlight w:val="none"/>
                <w:lang w:val="en-US" w:eastAsia="zh-CN"/>
                <w14:textFill>
                  <w14:solidFill>
                    <w14:schemeClr w14:val="tx1"/>
                  </w14:solidFill>
                </w14:textFill>
              </w:rPr>
              <w:t>+隔油池</w:t>
            </w:r>
            <w:r>
              <w:rPr>
                <w:rFonts w:hint="eastAsia" w:ascii="Times New Roman" w:hAnsi="Times New Roman" w:eastAsia="宋体"/>
                <w:caps w:val="0"/>
                <w:color w:val="000000" w:themeColor="text1"/>
                <w:sz w:val="24"/>
                <w:highlight w:val="none"/>
                <w14:textFill>
                  <w14:solidFill>
                    <w14:schemeClr w14:val="tx1"/>
                  </w14:solidFill>
                </w14:textFill>
              </w:rPr>
              <w:t>处理后废水排放入市政污水管网，进入芜湖市</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城南</w:t>
            </w:r>
            <w:r>
              <w:rPr>
                <w:rFonts w:hint="eastAsia" w:ascii="Times New Roman" w:hAnsi="Times New Roman" w:eastAsia="宋体"/>
                <w:caps w:val="0"/>
                <w:color w:val="000000" w:themeColor="text1"/>
                <w:sz w:val="24"/>
                <w:highlight w:val="none"/>
                <w14:textFill>
                  <w14:solidFill>
                    <w14:schemeClr w14:val="tx1"/>
                  </w14:solidFill>
                </w14:textFill>
              </w:rPr>
              <w:t>污水处理厂进一步处理，最终排入</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长江芜湖段</w:t>
            </w:r>
            <w:r>
              <w:rPr>
                <w:rFonts w:hint="eastAsia" w:ascii="Times New Roman" w:hAnsi="Times New Roman" w:eastAsia="宋体"/>
                <w:caps w:val="0"/>
                <w:color w:val="000000" w:themeColor="text1"/>
                <w:sz w:val="24"/>
                <w:highlight w:val="none"/>
                <w14:textFill>
                  <w14:solidFill>
                    <w14:schemeClr w14:val="tx1"/>
                  </w14:solidFill>
                </w14:textFill>
              </w:rPr>
              <w:t>。</w:t>
            </w:r>
          </w:p>
          <w:p w14:paraId="31C28093">
            <w:pPr>
              <w:spacing w:line="360" w:lineRule="auto"/>
              <w:ind w:firstLine="44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bCs/>
                <w:caps w:val="0"/>
                <w:color w:val="000000" w:themeColor="text1"/>
                <w:spacing w:val="-10"/>
                <w:sz w:val="24"/>
                <w:highlight w:val="none"/>
                <w14:textFill>
                  <w14:solidFill>
                    <w14:schemeClr w14:val="tx1"/>
                  </w14:solidFill>
                </w14:textFill>
              </w:rPr>
              <w:t>（</w:t>
            </w:r>
            <w:r>
              <w:rPr>
                <w:rFonts w:hint="eastAsia" w:ascii="Times New Roman" w:hAnsi="Times New Roman" w:eastAsia="宋体"/>
                <w:bCs/>
                <w:caps w:val="0"/>
                <w:color w:val="000000" w:themeColor="text1"/>
                <w:spacing w:val="-10"/>
                <w:sz w:val="24"/>
                <w:highlight w:val="none"/>
                <w:lang w:val="en-US" w:eastAsia="zh-CN"/>
                <w14:textFill>
                  <w14:solidFill>
                    <w14:schemeClr w14:val="tx1"/>
                  </w14:solidFill>
                </w14:textFill>
              </w:rPr>
              <w:t>2</w:t>
            </w:r>
            <w:r>
              <w:rPr>
                <w:rFonts w:hint="eastAsia" w:ascii="Times New Roman" w:hAnsi="Times New Roman" w:eastAsia="宋体"/>
                <w:bCs/>
                <w:caps w:val="0"/>
                <w:color w:val="000000" w:themeColor="text1"/>
                <w:spacing w:val="-10"/>
                <w:sz w:val="24"/>
                <w:highlight w:val="none"/>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切削液配制</w:t>
            </w:r>
            <w:r>
              <w:rPr>
                <w:rFonts w:hint="eastAsia" w:ascii="Times New Roman" w:hAnsi="Times New Roman" w:eastAsia="宋体"/>
                <w:caps w:val="0"/>
                <w:color w:val="000000" w:themeColor="text1"/>
                <w:sz w:val="24"/>
                <w:highlight w:val="none"/>
                <w14:textFill>
                  <w14:solidFill>
                    <w14:schemeClr w14:val="tx1"/>
                  </w14:solidFill>
                </w14:textFill>
              </w:rPr>
              <w:t>用水</w:t>
            </w:r>
          </w:p>
          <w:p w14:paraId="5D6CC7BF">
            <w:pPr>
              <w:spacing w:line="360" w:lineRule="auto"/>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bCs/>
                <w:caps w:val="0"/>
                <w:color w:val="000000" w:themeColor="text1"/>
                <w:sz w:val="24"/>
                <w:highlight w:val="none"/>
                <w:lang w:val="en-US" w:eastAsia="zh-CN"/>
                <w14:textFill>
                  <w14:solidFill>
                    <w14:schemeClr w14:val="tx1"/>
                  </w14:solidFill>
                </w14:textFill>
              </w:rPr>
              <w:t>本项目切削液需与水按1：20的比例配制后使用，切削液的使用量为0.02m</w:t>
            </w:r>
            <w:r>
              <w:rPr>
                <w:rFonts w:hint="eastAsia"/>
                <w:bCs/>
                <w:caps w:val="0"/>
                <w:color w:val="000000" w:themeColor="text1"/>
                <w:sz w:val="24"/>
                <w:highlight w:val="none"/>
                <w:vertAlign w:val="superscript"/>
                <w:lang w:val="en-US" w:eastAsia="zh-CN"/>
                <w14:textFill>
                  <w14:solidFill>
                    <w14:schemeClr w14:val="tx1"/>
                  </w14:solidFill>
                </w14:textFill>
              </w:rPr>
              <w:t>3</w:t>
            </w:r>
            <w:r>
              <w:rPr>
                <w:rFonts w:hint="eastAsia"/>
                <w:bCs/>
                <w:caps w:val="0"/>
                <w:color w:val="000000" w:themeColor="text1"/>
                <w:sz w:val="24"/>
                <w:highlight w:val="none"/>
                <w:lang w:val="en-US" w:eastAsia="zh-CN"/>
                <w14:textFill>
                  <w14:solidFill>
                    <w14:schemeClr w14:val="tx1"/>
                  </w14:solidFill>
                </w14:textFill>
              </w:rPr>
              <w:t>/a，则切削液配制用水量为0.4m</w:t>
            </w:r>
            <w:r>
              <w:rPr>
                <w:rFonts w:hint="eastAsia"/>
                <w:bCs/>
                <w:caps w:val="0"/>
                <w:color w:val="000000" w:themeColor="text1"/>
                <w:sz w:val="24"/>
                <w:highlight w:val="none"/>
                <w:vertAlign w:val="superscript"/>
                <w:lang w:val="en-US" w:eastAsia="zh-CN"/>
                <w14:textFill>
                  <w14:solidFill>
                    <w14:schemeClr w14:val="tx1"/>
                  </w14:solidFill>
                </w14:textFill>
              </w:rPr>
              <w:t>3</w:t>
            </w:r>
            <w:r>
              <w:rPr>
                <w:rFonts w:hint="eastAsia"/>
                <w:bCs/>
                <w:caps w:val="0"/>
                <w:color w:val="000000" w:themeColor="text1"/>
                <w:sz w:val="24"/>
                <w:highlight w:val="none"/>
                <w:lang w:val="en-US" w:eastAsia="zh-CN"/>
                <w14:textFill>
                  <w14:solidFill>
                    <w14:schemeClr w14:val="tx1"/>
                  </w14:solidFill>
                </w14:textFill>
              </w:rPr>
              <w:t>/a。</w:t>
            </w:r>
            <w:r>
              <w:rPr>
                <w:rFonts w:hint="eastAsia"/>
                <w:lang w:val="en-US" w:eastAsia="zh-CN"/>
              </w:rPr>
              <w:t>废切削液作为危废，交由有资质单位处理。</w:t>
            </w:r>
          </w:p>
          <w:p w14:paraId="27A1E507">
            <w:pPr>
              <w:numPr>
                <w:ilvl w:val="0"/>
                <w:numId w:val="2"/>
              </w:numPr>
              <w:spacing w:line="360" w:lineRule="auto"/>
              <w:ind w:left="0" w:leftChars="0" w:firstLine="480" w:firstLineChars="200"/>
              <w:rPr>
                <w:rFonts w:hint="eastAsia"/>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冷却塔用水</w:t>
            </w:r>
          </w:p>
          <w:p w14:paraId="73C50B60">
            <w:pPr>
              <w:numPr>
                <w:ilvl w:val="0"/>
                <w:numId w:val="0"/>
              </w:numPr>
              <w:spacing w:line="360" w:lineRule="auto"/>
              <w:ind w:firstLine="480" w:firstLineChars="200"/>
              <w:rPr>
                <w:rFonts w:hint="default"/>
                <w:caps w:val="0"/>
                <w:color w:val="000000" w:themeColor="text1"/>
                <w:sz w:val="24"/>
                <w:highlight w:val="none"/>
                <w:lang w:val="en-US" w:eastAsia="zh-CN"/>
                <w14:textFill>
                  <w14:solidFill>
                    <w14:schemeClr w14:val="tx1"/>
                  </w14:solidFill>
                </w14:textFill>
              </w:rPr>
            </w:pPr>
            <w:r>
              <w:rPr>
                <w:rFonts w:hint="eastAsia"/>
                <w:caps w:val="0"/>
                <w:color w:val="000000" w:themeColor="text1"/>
                <w:sz w:val="24"/>
                <w:highlight w:val="none"/>
                <w:lang w:val="en-US" w:eastAsia="zh-CN"/>
                <w14:textFill>
                  <w14:solidFill>
                    <w14:schemeClr w14:val="tx1"/>
                  </w14:solidFill>
                </w14:textFill>
              </w:rPr>
              <w:t>项目新增注塑机配套1个冷却塔，冷却水循环使用，不外排，水泵总循环水量为20t/h，则冷却塔总循环水量Q为20t/h*13.3h/d *300d/a*1=79800m</w:t>
            </w:r>
            <w:r>
              <w:rPr>
                <w:rFonts w:hint="eastAsia"/>
                <w:caps w:val="0"/>
                <w:color w:val="000000" w:themeColor="text1"/>
                <w:sz w:val="24"/>
                <w:highlight w:val="none"/>
                <w:vertAlign w:val="superscript"/>
                <w:lang w:val="en-US" w:eastAsia="zh-CN"/>
                <w14:textFill>
                  <w14:solidFill>
                    <w14:schemeClr w14:val="tx1"/>
                  </w14:solidFill>
                </w14:textFill>
              </w:rPr>
              <w:t>3</w:t>
            </w:r>
            <w:r>
              <w:rPr>
                <w:rFonts w:hint="eastAsia"/>
                <w:caps w:val="0"/>
                <w:color w:val="000000" w:themeColor="text1"/>
                <w:sz w:val="24"/>
                <w:highlight w:val="none"/>
                <w:lang w:val="en-US" w:eastAsia="zh-CN"/>
                <w14:textFill>
                  <w14:solidFill>
                    <w14:schemeClr w14:val="tx1"/>
                  </w14:solidFill>
                </w14:textFill>
              </w:rPr>
              <w:t>/a。冷却塔水蒸发量q=∆t/600*100%*Q（∆t—冷却水进出水温差，国际工况下取∆t=5℃；600：水的蒸发热（kcal/kg）），则冷却塔水蒸发量q=665</w:t>
            </w:r>
            <w:r>
              <w:rPr>
                <w:rFonts w:hint="eastAsia"/>
                <w:bCs/>
                <w:caps w:val="0"/>
                <w:color w:val="000000" w:themeColor="text1"/>
                <w:sz w:val="24"/>
                <w:highlight w:val="none"/>
                <w:lang w:val="en-US" w:eastAsia="zh-CN"/>
                <w14:textFill>
                  <w14:solidFill>
                    <w14:schemeClr w14:val="tx1"/>
                  </w14:solidFill>
                </w14:textFill>
              </w:rPr>
              <w:t>m</w:t>
            </w:r>
            <w:r>
              <w:rPr>
                <w:rFonts w:hint="eastAsia"/>
                <w:bCs/>
                <w:caps w:val="0"/>
                <w:color w:val="000000" w:themeColor="text1"/>
                <w:sz w:val="24"/>
                <w:highlight w:val="none"/>
                <w:vertAlign w:val="superscript"/>
                <w:lang w:val="en-US" w:eastAsia="zh-CN"/>
                <w14:textFill>
                  <w14:solidFill>
                    <w14:schemeClr w14:val="tx1"/>
                  </w14:solidFill>
                </w14:textFill>
              </w:rPr>
              <w:t>3</w:t>
            </w:r>
            <w:r>
              <w:rPr>
                <w:rFonts w:hint="eastAsia"/>
                <w:caps w:val="0"/>
                <w:color w:val="000000" w:themeColor="text1"/>
                <w:sz w:val="24"/>
                <w:highlight w:val="none"/>
                <w:lang w:val="en-US" w:eastAsia="zh-CN"/>
                <w14:textFill>
                  <w14:solidFill>
                    <w14:schemeClr w14:val="tx1"/>
                  </w14:solidFill>
                </w14:textFill>
              </w:rPr>
              <w:t>/a，因此冷却塔补水量为665</w:t>
            </w:r>
            <w:r>
              <w:rPr>
                <w:rFonts w:hint="eastAsia"/>
                <w:bCs/>
                <w:caps w:val="0"/>
                <w:color w:val="000000" w:themeColor="text1"/>
                <w:sz w:val="24"/>
                <w:highlight w:val="none"/>
                <w:lang w:val="en-US" w:eastAsia="zh-CN"/>
                <w14:textFill>
                  <w14:solidFill>
                    <w14:schemeClr w14:val="tx1"/>
                  </w14:solidFill>
                </w14:textFill>
              </w:rPr>
              <w:t>m</w:t>
            </w:r>
            <w:r>
              <w:rPr>
                <w:rFonts w:hint="eastAsia"/>
                <w:bCs/>
                <w:caps w:val="0"/>
                <w:color w:val="000000" w:themeColor="text1"/>
                <w:sz w:val="24"/>
                <w:highlight w:val="none"/>
                <w:vertAlign w:val="superscript"/>
                <w:lang w:val="en-US" w:eastAsia="zh-CN"/>
                <w14:textFill>
                  <w14:solidFill>
                    <w14:schemeClr w14:val="tx1"/>
                  </w14:solidFill>
                </w14:textFill>
              </w:rPr>
              <w:t>3</w:t>
            </w:r>
            <w:r>
              <w:rPr>
                <w:rFonts w:hint="eastAsia"/>
                <w:caps w:val="0"/>
                <w:color w:val="000000" w:themeColor="text1"/>
                <w:sz w:val="24"/>
                <w:highlight w:val="none"/>
                <w:lang w:val="en-US" w:eastAsia="zh-CN"/>
                <w14:textFill>
                  <w14:solidFill>
                    <w14:schemeClr w14:val="tx1"/>
                  </w14:solidFill>
                </w14:textFill>
              </w:rPr>
              <w:t>/a。</w:t>
            </w:r>
          </w:p>
          <w:p w14:paraId="6DDB02A9">
            <w:pPr>
              <w:keepNext w:val="0"/>
              <w:keepLines w:val="0"/>
              <w:pageBreakBefore w:val="0"/>
              <w:widowControl w:val="0"/>
              <w:kinsoku/>
              <w:wordWrap/>
              <w:overflowPunct/>
              <w:topLinePunct w:val="0"/>
              <w:autoSpaceDE/>
              <w:autoSpaceDN/>
              <w:bidi w:val="0"/>
              <w:adjustRightInd/>
              <w:snapToGrid/>
              <w:spacing w:line="360" w:lineRule="auto"/>
              <w:ind w:firstLine="556"/>
              <w:textAlignment w:val="auto"/>
              <w:rPr>
                <w:rFonts w:hint="default" w:ascii="Times New Roman" w:hAnsi="Times New Roman" w:eastAsia="宋体"/>
                <w:bCs/>
                <w:caps w:val="0"/>
                <w:color w:val="000000" w:themeColor="text1"/>
                <w:sz w:val="24"/>
                <w:highlight w:val="none"/>
                <w:lang w:val="en-US" w:eastAsia="zh-CN"/>
                <w14:textFill>
                  <w14:solidFill>
                    <w14:schemeClr w14:val="tx1"/>
                  </w14:solidFill>
                </w14:textFill>
              </w:rPr>
            </w:pPr>
            <w:r>
              <w:rPr>
                <w:rFonts w:hint="eastAsia"/>
                <w:bCs/>
                <w:caps w:val="0"/>
                <w:color w:val="000000" w:themeColor="text1"/>
                <w:sz w:val="24"/>
                <w:highlight w:val="none"/>
                <w:lang w:eastAsia="zh-CN"/>
                <w14:textFill>
                  <w14:solidFill>
                    <w14:schemeClr w14:val="tx1"/>
                  </w14:solidFill>
                </w14:textFill>
              </w:rPr>
              <w:t>（</w:t>
            </w:r>
            <w:r>
              <w:rPr>
                <w:rFonts w:hint="eastAsia"/>
                <w:bCs/>
                <w:caps w:val="0"/>
                <w:color w:val="000000" w:themeColor="text1"/>
                <w:sz w:val="24"/>
                <w:highlight w:val="none"/>
                <w:lang w:val="en-US" w:eastAsia="zh-CN"/>
                <w14:textFill>
                  <w14:solidFill>
                    <w14:schemeClr w14:val="tx1"/>
                  </w14:solidFill>
                </w14:textFill>
              </w:rPr>
              <w:t>4</w:t>
            </w:r>
            <w:r>
              <w:rPr>
                <w:rFonts w:hint="eastAsia"/>
                <w:bCs/>
                <w:caps w:val="0"/>
                <w:color w:val="000000" w:themeColor="text1"/>
                <w:sz w:val="24"/>
                <w:highlight w:val="none"/>
                <w:lang w:eastAsia="zh-CN"/>
                <w14:textFill>
                  <w14:solidFill>
                    <w14:schemeClr w14:val="tx1"/>
                  </w14:solidFill>
                </w14:textFill>
              </w:rPr>
              <w:t>）</w:t>
            </w:r>
            <w:r>
              <w:rPr>
                <w:rFonts w:hint="eastAsia"/>
                <w:bCs/>
                <w:caps w:val="0"/>
                <w:color w:val="000000" w:themeColor="text1"/>
                <w:sz w:val="24"/>
                <w:highlight w:val="none"/>
                <w:lang w:val="en-US" w:eastAsia="zh-CN"/>
                <w14:textFill>
                  <w14:solidFill>
                    <w14:schemeClr w14:val="tx1"/>
                  </w14:solidFill>
                </w14:textFill>
              </w:rPr>
              <w:t>潮湿用水：项目新增1个循环水池用于潮湿工序，容积为2m</w:t>
            </w:r>
            <w:r>
              <w:rPr>
                <w:rFonts w:hint="eastAsia"/>
                <w:bCs/>
                <w:caps w:val="0"/>
                <w:color w:val="000000" w:themeColor="text1"/>
                <w:sz w:val="24"/>
                <w:highlight w:val="none"/>
                <w:vertAlign w:val="superscript"/>
                <w:lang w:val="en-US" w:eastAsia="zh-CN"/>
                <w14:textFill>
                  <w14:solidFill>
                    <w14:schemeClr w14:val="tx1"/>
                  </w14:solidFill>
                </w14:textFill>
              </w:rPr>
              <w:t>3</w:t>
            </w:r>
            <w:r>
              <w:rPr>
                <w:rFonts w:hint="eastAsia"/>
                <w:bCs/>
                <w:caps w:val="0"/>
                <w:color w:val="000000" w:themeColor="text1"/>
                <w:sz w:val="24"/>
                <w:highlight w:val="none"/>
                <w:lang w:val="en-US" w:eastAsia="zh-CN"/>
                <w14:textFill>
                  <w14:solidFill>
                    <w14:schemeClr w14:val="tx1"/>
                  </w14:solidFill>
                </w14:textFill>
              </w:rPr>
              <w:t>，循环水池内的水循环使用，定期补水，每天补水量为循环水量的20%计，为120t/a，本项目建成后每周经沉淀池处理后经市政管网排放至城南污水处理厂，则排放量为104t/a，则潮湿用水量为224t/a。</w:t>
            </w:r>
          </w:p>
          <w:p w14:paraId="3EAB7D99">
            <w:pPr>
              <w:keepNext w:val="0"/>
              <w:keepLines w:val="0"/>
              <w:pageBreakBefore w:val="0"/>
              <w:widowControl w:val="0"/>
              <w:kinsoku/>
              <w:wordWrap/>
              <w:overflowPunct/>
              <w:topLinePunct w:val="0"/>
              <w:autoSpaceDE/>
              <w:autoSpaceDN/>
              <w:bidi w:val="0"/>
              <w:adjustRightInd/>
              <w:snapToGrid/>
              <w:spacing w:line="360" w:lineRule="auto"/>
              <w:ind w:firstLine="556"/>
              <w:textAlignment w:val="auto"/>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bCs/>
                <w:caps w:val="0"/>
                <w:color w:val="000000" w:themeColor="text1"/>
                <w:sz w:val="24"/>
                <w:highlight w:val="none"/>
                <w14:textFill>
                  <w14:solidFill>
                    <w14:schemeClr w14:val="tx1"/>
                  </w14:solidFill>
                </w14:textFill>
              </w:rPr>
              <w:t>污染物浓度及</w:t>
            </w:r>
            <w:r>
              <w:rPr>
                <w:rFonts w:ascii="Times New Roman" w:hAnsi="Times New Roman" w:eastAsia="宋体"/>
                <w:bCs/>
                <w:caps w:val="0"/>
                <w:color w:val="000000" w:themeColor="text1"/>
                <w:sz w:val="24"/>
                <w:highlight w:val="none"/>
                <w14:textFill>
                  <w14:solidFill>
                    <w14:schemeClr w14:val="tx1"/>
                  </w14:solidFill>
                </w14:textFill>
              </w:rPr>
              <w:t>产排情况见下表。</w:t>
            </w:r>
          </w:p>
          <w:p w14:paraId="34A3E9E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表4</w:t>
            </w:r>
            <w:r>
              <w:rPr>
                <w:rFonts w:hint="eastAsia" w:ascii="Times New Roman" w:hAnsi="Times New Roman" w:eastAsia="宋体"/>
                <w:b/>
                <w:bCs/>
                <w:caps w:val="0"/>
                <w:color w:val="000000" w:themeColor="text1"/>
                <w:sz w:val="24"/>
                <w:highlight w:val="none"/>
                <w14:textFill>
                  <w14:solidFill>
                    <w14:schemeClr w14:val="tx1"/>
                  </w14:solidFill>
                </w14:textFill>
              </w:rPr>
              <w:t>-</w:t>
            </w:r>
            <w:r>
              <w:rPr>
                <w:rFonts w:hint="eastAsia"/>
                <w:b/>
                <w:bCs/>
                <w:caps w:val="0"/>
                <w:color w:val="000000" w:themeColor="text1"/>
                <w:sz w:val="24"/>
                <w:highlight w:val="none"/>
                <w:lang w:val="en-US" w:eastAsia="zh-CN"/>
                <w14:textFill>
                  <w14:solidFill>
                    <w14:schemeClr w14:val="tx1"/>
                  </w14:solidFill>
                </w14:textFill>
              </w:rPr>
              <w:t>10</w:t>
            </w:r>
            <w:r>
              <w:rPr>
                <w:rFonts w:ascii="Times New Roman" w:hAnsi="Times New Roman" w:eastAsia="宋体"/>
                <w:b/>
                <w:bCs/>
                <w:caps w:val="0"/>
                <w:color w:val="000000" w:themeColor="text1"/>
                <w:sz w:val="24"/>
                <w:highlight w:val="none"/>
                <w14:textFill>
                  <w14:solidFill>
                    <w14:schemeClr w14:val="tx1"/>
                  </w14:solidFill>
                </w14:textFill>
              </w:rPr>
              <w:t xml:space="preserve"> </w:t>
            </w: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 xml:space="preserve"> </w:t>
            </w:r>
            <w:r>
              <w:rPr>
                <w:rFonts w:ascii="Times New Roman" w:hAnsi="Times New Roman" w:eastAsia="宋体"/>
                <w:b/>
                <w:bCs/>
                <w:caps w:val="0"/>
                <w:color w:val="000000" w:themeColor="text1"/>
                <w:sz w:val="24"/>
                <w:highlight w:val="none"/>
                <w14:textFill>
                  <w14:solidFill>
                    <w14:schemeClr w14:val="tx1"/>
                  </w14:solidFill>
                </w14:textFill>
              </w:rPr>
              <w:t>项目废水产排情况一览表</w:t>
            </w:r>
          </w:p>
          <w:tbl>
            <w:tblPr>
              <w:tblStyle w:val="21"/>
              <w:tblW w:w="8014"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48"/>
              <w:gridCol w:w="633"/>
              <w:gridCol w:w="1380"/>
              <w:gridCol w:w="879"/>
              <w:gridCol w:w="952"/>
              <w:gridCol w:w="656"/>
              <w:gridCol w:w="583"/>
              <w:gridCol w:w="683"/>
              <w:gridCol w:w="798"/>
              <w:gridCol w:w="702"/>
            </w:tblGrid>
            <w:tr w14:paraId="3747A0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trPr>
              <w:tc>
                <w:tcPr>
                  <w:tcW w:w="466" w:type="pct"/>
                  <w:vMerge w:val="restart"/>
                  <w:tcBorders>
                    <w:tl2br w:val="nil"/>
                    <w:tr2bl w:val="nil"/>
                  </w:tcBorders>
                  <w:noWrap w:val="0"/>
                  <w:vAlign w:val="center"/>
                </w:tcPr>
                <w:p w14:paraId="77EC6457">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污染源</w:t>
                  </w:r>
                </w:p>
                <w:p w14:paraId="5C1AD3B8">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名称</w:t>
                  </w:r>
                </w:p>
              </w:tc>
              <w:tc>
                <w:tcPr>
                  <w:tcW w:w="394" w:type="pct"/>
                  <w:vMerge w:val="restart"/>
                  <w:tcBorders>
                    <w:tl2br w:val="nil"/>
                    <w:tr2bl w:val="nil"/>
                  </w:tcBorders>
                  <w:noWrap w:val="0"/>
                  <w:vAlign w:val="center"/>
                </w:tcPr>
                <w:p w14:paraId="0EA57324">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污水量t/a</w:t>
                  </w:r>
                </w:p>
              </w:tc>
              <w:tc>
                <w:tcPr>
                  <w:tcW w:w="860" w:type="pct"/>
                  <w:vMerge w:val="restart"/>
                  <w:tcBorders>
                    <w:tl2br w:val="nil"/>
                    <w:tr2bl w:val="nil"/>
                  </w:tcBorders>
                  <w:noWrap w:val="0"/>
                  <w:vAlign w:val="center"/>
                </w:tcPr>
                <w:p w14:paraId="662F1781">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污染物名称</w:t>
                  </w:r>
                </w:p>
              </w:tc>
              <w:tc>
                <w:tcPr>
                  <w:tcW w:w="1142" w:type="pct"/>
                  <w:gridSpan w:val="2"/>
                  <w:tcBorders>
                    <w:tl2br w:val="nil"/>
                    <w:tr2bl w:val="nil"/>
                  </w:tcBorders>
                  <w:noWrap w:val="0"/>
                  <w:vAlign w:val="center"/>
                </w:tcPr>
                <w:p w14:paraId="5C8E196C">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产生情况</w:t>
                  </w:r>
                </w:p>
              </w:tc>
              <w:tc>
                <w:tcPr>
                  <w:tcW w:w="409" w:type="pct"/>
                  <w:vMerge w:val="restart"/>
                  <w:tcBorders>
                    <w:tl2br w:val="nil"/>
                    <w:tr2bl w:val="nil"/>
                  </w:tcBorders>
                  <w:noWrap w:val="0"/>
                  <w:vAlign w:val="center"/>
                </w:tcPr>
                <w:p w14:paraId="43699029">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治理措施</w:t>
                  </w:r>
                </w:p>
              </w:tc>
              <w:tc>
                <w:tcPr>
                  <w:tcW w:w="789" w:type="pct"/>
                  <w:gridSpan w:val="2"/>
                  <w:tcBorders>
                    <w:tl2br w:val="nil"/>
                    <w:tr2bl w:val="nil"/>
                  </w:tcBorders>
                  <w:noWrap w:val="0"/>
                  <w:vAlign w:val="center"/>
                </w:tcPr>
                <w:p w14:paraId="2DDC4D62">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纳管情况</w:t>
                  </w:r>
                </w:p>
              </w:tc>
              <w:tc>
                <w:tcPr>
                  <w:tcW w:w="935" w:type="pct"/>
                  <w:gridSpan w:val="2"/>
                  <w:tcBorders>
                    <w:tl2br w:val="nil"/>
                    <w:tr2bl w:val="nil"/>
                  </w:tcBorders>
                  <w:noWrap w:val="0"/>
                  <w:vAlign w:val="center"/>
                </w:tcPr>
                <w:p w14:paraId="18B89CB8">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排入外环境情况</w:t>
                  </w:r>
                </w:p>
              </w:tc>
            </w:tr>
            <w:tr w14:paraId="34733A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3" w:hRule="atLeast"/>
              </w:trPr>
              <w:tc>
                <w:tcPr>
                  <w:tcW w:w="466" w:type="pct"/>
                  <w:vMerge w:val="continue"/>
                  <w:tcBorders>
                    <w:tl2br w:val="nil"/>
                    <w:tr2bl w:val="nil"/>
                  </w:tcBorders>
                  <w:noWrap w:val="0"/>
                  <w:vAlign w:val="center"/>
                </w:tcPr>
                <w:p w14:paraId="48640D11">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3A4703EE">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vMerge w:val="continue"/>
                  <w:tcBorders>
                    <w:tl2br w:val="nil"/>
                    <w:tr2bl w:val="nil"/>
                  </w:tcBorders>
                  <w:noWrap w:val="0"/>
                  <w:vAlign w:val="center"/>
                </w:tcPr>
                <w:p w14:paraId="3EF83539">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548" w:type="pct"/>
                  <w:tcBorders>
                    <w:tl2br w:val="nil"/>
                    <w:tr2bl w:val="nil"/>
                  </w:tcBorders>
                  <w:noWrap w:val="0"/>
                  <w:vAlign w:val="center"/>
                </w:tcPr>
                <w:p w14:paraId="42BBC57B">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mg/L</w:t>
                  </w:r>
                </w:p>
              </w:tc>
              <w:tc>
                <w:tcPr>
                  <w:tcW w:w="593" w:type="pct"/>
                  <w:tcBorders>
                    <w:tl2br w:val="nil"/>
                    <w:tr2bl w:val="nil"/>
                  </w:tcBorders>
                  <w:noWrap w:val="0"/>
                  <w:vAlign w:val="center"/>
                </w:tcPr>
                <w:p w14:paraId="4E71C572">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t/a</w:t>
                  </w:r>
                </w:p>
              </w:tc>
              <w:tc>
                <w:tcPr>
                  <w:tcW w:w="409" w:type="pct"/>
                  <w:vMerge w:val="continue"/>
                  <w:tcBorders>
                    <w:tl2br w:val="nil"/>
                    <w:tr2bl w:val="nil"/>
                  </w:tcBorders>
                  <w:noWrap w:val="0"/>
                  <w:vAlign w:val="center"/>
                </w:tcPr>
                <w:p w14:paraId="1C7C9D5F">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63" w:type="pct"/>
                  <w:tcBorders>
                    <w:tl2br w:val="nil"/>
                    <w:tr2bl w:val="nil"/>
                  </w:tcBorders>
                  <w:noWrap w:val="0"/>
                  <w:vAlign w:val="center"/>
                </w:tcPr>
                <w:p w14:paraId="14465640">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mg/L</w:t>
                  </w:r>
                </w:p>
              </w:tc>
              <w:tc>
                <w:tcPr>
                  <w:tcW w:w="426" w:type="pct"/>
                  <w:tcBorders>
                    <w:tl2br w:val="nil"/>
                    <w:tr2bl w:val="nil"/>
                  </w:tcBorders>
                  <w:noWrap w:val="0"/>
                  <w:vAlign w:val="center"/>
                </w:tcPr>
                <w:p w14:paraId="7C3C9887">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t/a</w:t>
                  </w:r>
                </w:p>
              </w:tc>
              <w:tc>
                <w:tcPr>
                  <w:tcW w:w="497" w:type="pct"/>
                  <w:tcBorders>
                    <w:tl2br w:val="nil"/>
                    <w:tr2bl w:val="nil"/>
                  </w:tcBorders>
                  <w:noWrap w:val="0"/>
                  <w:vAlign w:val="center"/>
                </w:tcPr>
                <w:p w14:paraId="16C856BB">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mg/L</w:t>
                  </w:r>
                </w:p>
              </w:tc>
              <w:tc>
                <w:tcPr>
                  <w:tcW w:w="437" w:type="pct"/>
                  <w:tcBorders>
                    <w:tl2br w:val="nil"/>
                    <w:tr2bl w:val="nil"/>
                  </w:tcBorders>
                  <w:noWrap w:val="0"/>
                  <w:vAlign w:val="center"/>
                </w:tcPr>
                <w:p w14:paraId="28AE6B32">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t/a</w:t>
                  </w:r>
                </w:p>
              </w:tc>
            </w:tr>
            <w:tr w14:paraId="7FF903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466" w:type="pct"/>
                  <w:vMerge w:val="restart"/>
                  <w:tcBorders>
                    <w:tl2br w:val="nil"/>
                    <w:tr2bl w:val="nil"/>
                  </w:tcBorders>
                  <w:noWrap w:val="0"/>
                  <w:vAlign w:val="center"/>
                </w:tcPr>
                <w:p w14:paraId="27806F84">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生活污水</w:t>
                  </w:r>
                </w:p>
              </w:tc>
              <w:tc>
                <w:tcPr>
                  <w:tcW w:w="394" w:type="pct"/>
                  <w:vMerge w:val="restart"/>
                  <w:tcBorders>
                    <w:tl2br w:val="nil"/>
                    <w:tr2bl w:val="nil"/>
                  </w:tcBorders>
                  <w:noWrap w:val="0"/>
                  <w:vAlign w:val="center"/>
                </w:tcPr>
                <w:p w14:paraId="1B6EB343">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3960</w:t>
                  </w:r>
                </w:p>
              </w:tc>
              <w:tc>
                <w:tcPr>
                  <w:tcW w:w="860" w:type="pct"/>
                  <w:tcBorders>
                    <w:tl2br w:val="nil"/>
                    <w:tr2bl w:val="nil"/>
                  </w:tcBorders>
                  <w:noWrap w:val="0"/>
                  <w:vAlign w:val="center"/>
                </w:tcPr>
                <w:p w14:paraId="775C53BC">
                  <w:pPr>
                    <w:ind w:left="-105" w:leftChars="-50" w:right="-105" w:rightChars="-5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szCs w:val="21"/>
                    </w:rPr>
                    <w:t>p</w:t>
                  </w:r>
                  <w:r>
                    <w:rPr>
                      <w:szCs w:val="21"/>
                    </w:rPr>
                    <w:t>H</w:t>
                  </w:r>
                  <w:r>
                    <w:rPr>
                      <w:rFonts w:hint="eastAsia"/>
                      <w:szCs w:val="21"/>
                      <w:lang w:eastAsia="zh-CN"/>
                    </w:rPr>
                    <w:t>（</w:t>
                  </w:r>
                  <w:r>
                    <w:rPr>
                      <w:rFonts w:hint="eastAsia"/>
                      <w:szCs w:val="21"/>
                      <w:lang w:val="en-US" w:eastAsia="zh-CN"/>
                    </w:rPr>
                    <w:t>无量纲）</w:t>
                  </w:r>
                </w:p>
              </w:tc>
              <w:tc>
                <w:tcPr>
                  <w:tcW w:w="548" w:type="pct"/>
                  <w:tcBorders>
                    <w:tl2br w:val="nil"/>
                    <w:tr2bl w:val="nil"/>
                  </w:tcBorders>
                  <w:noWrap w:val="0"/>
                  <w:vAlign w:val="center"/>
                </w:tcPr>
                <w:p w14:paraId="1F6F93B3">
                  <w:pPr>
                    <w:ind w:left="-105" w:leftChars="-50" w:right="-105" w:rightChars="-5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szCs w:val="21"/>
                    </w:rPr>
                    <w:t>6~9</w:t>
                  </w:r>
                </w:p>
              </w:tc>
              <w:tc>
                <w:tcPr>
                  <w:tcW w:w="593" w:type="pct"/>
                  <w:tcBorders>
                    <w:tl2br w:val="nil"/>
                    <w:tr2bl w:val="nil"/>
                  </w:tcBorders>
                  <w:noWrap w:val="0"/>
                  <w:vAlign w:val="center"/>
                </w:tcPr>
                <w:p w14:paraId="56482A09">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09" w:type="pct"/>
                  <w:vMerge w:val="restart"/>
                  <w:tcBorders>
                    <w:tl2br w:val="nil"/>
                    <w:tr2bl w:val="nil"/>
                  </w:tcBorders>
                  <w:noWrap w:val="0"/>
                  <w:vAlign w:val="center"/>
                </w:tcPr>
                <w:p w14:paraId="10E46AE9">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化粪池/隔油池</w:t>
                  </w:r>
                </w:p>
              </w:tc>
              <w:tc>
                <w:tcPr>
                  <w:tcW w:w="363" w:type="pct"/>
                  <w:tcBorders>
                    <w:tl2br w:val="nil"/>
                    <w:tr2bl w:val="nil"/>
                  </w:tcBorders>
                  <w:noWrap w:val="0"/>
                  <w:vAlign w:val="center"/>
                </w:tcPr>
                <w:p w14:paraId="45A79318">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szCs w:val="21"/>
                    </w:rPr>
                    <w:t>6~9</w:t>
                  </w:r>
                </w:p>
              </w:tc>
              <w:tc>
                <w:tcPr>
                  <w:tcW w:w="426" w:type="pct"/>
                  <w:tcBorders>
                    <w:tl2br w:val="nil"/>
                    <w:tr2bl w:val="nil"/>
                  </w:tcBorders>
                  <w:noWrap w:val="0"/>
                  <w:vAlign w:val="center"/>
                </w:tcPr>
                <w:p w14:paraId="10410A35">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97" w:type="pct"/>
                  <w:tcBorders>
                    <w:tl2br w:val="nil"/>
                    <w:tr2bl w:val="nil"/>
                  </w:tcBorders>
                  <w:noWrap w:val="0"/>
                  <w:vAlign w:val="center"/>
                </w:tcPr>
                <w:p w14:paraId="37CF9284">
                  <w:pPr>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szCs w:val="21"/>
                      <w:lang w:val="en-US" w:eastAsia="zh-CN"/>
                    </w:rPr>
                    <w:t>/</w:t>
                  </w:r>
                </w:p>
              </w:tc>
              <w:tc>
                <w:tcPr>
                  <w:tcW w:w="437" w:type="pct"/>
                  <w:tcBorders>
                    <w:tl2br w:val="nil"/>
                    <w:tr2bl w:val="nil"/>
                  </w:tcBorders>
                  <w:noWrap w:val="0"/>
                  <w:vAlign w:val="center"/>
                </w:tcPr>
                <w:p w14:paraId="52819C3F">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29B8AD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9" w:hRule="atLeast"/>
              </w:trPr>
              <w:tc>
                <w:tcPr>
                  <w:tcW w:w="466" w:type="pct"/>
                  <w:vMerge w:val="continue"/>
                  <w:tcBorders>
                    <w:tl2br w:val="nil"/>
                    <w:tr2bl w:val="nil"/>
                  </w:tcBorders>
                  <w:noWrap w:val="0"/>
                  <w:vAlign w:val="center"/>
                </w:tcPr>
                <w:p w14:paraId="672AA7A8">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08C3F0C1">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71A8550C">
                  <w:pPr>
                    <w:widowControl/>
                    <w:adjustRightInd w:val="0"/>
                    <w:snapToGrid w:val="0"/>
                    <w:jc w:val="center"/>
                    <w:rPr>
                      <w:rFonts w:hint="default" w:ascii="Times New Roman" w:hAnsi="Times New Roman" w:eastAsia="宋体"/>
                      <w:caps w:val="0"/>
                      <w:color w:val="000000" w:themeColor="text1"/>
                      <w:kern w:val="0"/>
                      <w:szCs w:val="21"/>
                      <w:highlight w:val="none"/>
                      <w:lang w:val="en-US" w:eastAsia="zh-CN" w:bidi="ar"/>
                      <w14:textFill>
                        <w14:solidFill>
                          <w14:schemeClr w14:val="tx1"/>
                        </w14:solidFill>
                      </w14:textFill>
                    </w:rPr>
                  </w:pPr>
                  <w:r>
                    <w:rPr>
                      <w:kern w:val="0"/>
                      <w:szCs w:val="21"/>
                    </w:rPr>
                    <w:t>COD</w:t>
                  </w:r>
                </w:p>
              </w:tc>
              <w:tc>
                <w:tcPr>
                  <w:tcW w:w="548" w:type="pct"/>
                  <w:tcBorders>
                    <w:tl2br w:val="nil"/>
                    <w:tr2bl w:val="nil"/>
                  </w:tcBorders>
                  <w:noWrap w:val="0"/>
                  <w:vAlign w:val="center"/>
                </w:tcPr>
                <w:p w14:paraId="1F21CEAD">
                  <w:pPr>
                    <w:widowControl/>
                    <w:adjustRightInd w:val="0"/>
                    <w:snapToGrid w:val="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kern w:val="0"/>
                      <w:szCs w:val="21"/>
                    </w:rPr>
                    <w:t>400</w:t>
                  </w:r>
                </w:p>
              </w:tc>
              <w:tc>
                <w:tcPr>
                  <w:tcW w:w="593" w:type="pct"/>
                  <w:tcBorders>
                    <w:tl2br w:val="nil"/>
                    <w:tr2bl w:val="nil"/>
                  </w:tcBorders>
                  <w:noWrap w:val="0"/>
                  <w:vAlign w:val="center"/>
                </w:tcPr>
                <w:p w14:paraId="360AB7FE">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1.584</w:t>
                  </w:r>
                </w:p>
              </w:tc>
              <w:tc>
                <w:tcPr>
                  <w:tcW w:w="409" w:type="pct"/>
                  <w:vMerge w:val="continue"/>
                  <w:tcBorders>
                    <w:tl2br w:val="nil"/>
                    <w:tr2bl w:val="nil"/>
                  </w:tcBorders>
                  <w:noWrap w:val="0"/>
                  <w:vAlign w:val="center"/>
                </w:tcPr>
                <w:p w14:paraId="136265FA">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eastAsia="宋体"/>
                      <w:caps w:val="0"/>
                      <w:color w:val="000000" w:themeColor="text1"/>
                      <w:szCs w:val="21"/>
                      <w:highlight w:val="none"/>
                      <w14:textFill>
                        <w14:solidFill>
                          <w14:schemeClr w14:val="tx1"/>
                        </w14:solidFill>
                      </w14:textFill>
                    </w:rPr>
                  </w:pPr>
                </w:p>
              </w:tc>
              <w:tc>
                <w:tcPr>
                  <w:tcW w:w="363" w:type="pct"/>
                  <w:tcBorders>
                    <w:tl2br w:val="nil"/>
                    <w:tr2bl w:val="nil"/>
                  </w:tcBorders>
                  <w:noWrap w:val="0"/>
                  <w:vAlign w:val="center"/>
                </w:tcPr>
                <w:p w14:paraId="1158BC21">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280</w:t>
                  </w:r>
                </w:p>
              </w:tc>
              <w:tc>
                <w:tcPr>
                  <w:tcW w:w="426" w:type="pct"/>
                  <w:tcBorders>
                    <w:tl2br w:val="nil"/>
                    <w:tr2bl w:val="nil"/>
                  </w:tcBorders>
                  <w:noWrap w:val="0"/>
                  <w:vAlign w:val="center"/>
                </w:tcPr>
                <w:p w14:paraId="337B4DEF">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1.1088</w:t>
                  </w:r>
                </w:p>
              </w:tc>
              <w:tc>
                <w:tcPr>
                  <w:tcW w:w="497" w:type="pct"/>
                  <w:tcBorders>
                    <w:tl2br w:val="nil"/>
                    <w:tr2bl w:val="nil"/>
                  </w:tcBorders>
                  <w:shd w:val="clear" w:color="auto" w:fill="auto"/>
                  <w:noWrap w:val="0"/>
                  <w:vAlign w:val="center"/>
                </w:tcPr>
                <w:p w14:paraId="4EA9D15E">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37" w:type="pct"/>
                  <w:tcBorders>
                    <w:tl2br w:val="nil"/>
                    <w:tr2bl w:val="nil"/>
                  </w:tcBorders>
                  <w:noWrap w:val="0"/>
                  <w:vAlign w:val="center"/>
                </w:tcPr>
                <w:p w14:paraId="15B40662">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4D97C1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466" w:type="pct"/>
                  <w:vMerge w:val="continue"/>
                  <w:tcBorders>
                    <w:tl2br w:val="nil"/>
                    <w:tr2bl w:val="nil"/>
                  </w:tcBorders>
                  <w:noWrap w:val="0"/>
                  <w:vAlign w:val="center"/>
                </w:tcPr>
                <w:p w14:paraId="51AC29E0">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3E4E0880">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15056C6C">
                  <w:pPr>
                    <w:widowControl/>
                    <w:adjustRightInd w:val="0"/>
                    <w:snapToGrid w:val="0"/>
                    <w:jc w:val="center"/>
                    <w:rPr>
                      <w:rFonts w:hint="eastAsia" w:ascii="Times New Roman" w:hAnsi="Times New Roman" w:eastAsia="宋体" w:cs="Times New Roman"/>
                      <w:caps w:val="0"/>
                      <w:color w:val="000000" w:themeColor="text1"/>
                      <w:kern w:val="0"/>
                      <w:sz w:val="21"/>
                      <w:szCs w:val="21"/>
                      <w:highlight w:val="none"/>
                      <w:lang w:val="en-US" w:eastAsia="zh-CN" w:bidi="ar"/>
                      <w14:textFill>
                        <w14:solidFill>
                          <w14:schemeClr w14:val="tx1"/>
                        </w14:solidFill>
                      </w14:textFill>
                    </w:rPr>
                  </w:pPr>
                  <w:r>
                    <w:rPr>
                      <w:kern w:val="0"/>
                      <w:szCs w:val="21"/>
                    </w:rPr>
                    <w:t>BOD</w:t>
                  </w:r>
                  <w:r>
                    <w:rPr>
                      <w:kern w:val="0"/>
                      <w:szCs w:val="21"/>
                      <w:vertAlign w:val="subscript"/>
                    </w:rPr>
                    <w:t>5</w:t>
                  </w:r>
                </w:p>
              </w:tc>
              <w:tc>
                <w:tcPr>
                  <w:tcW w:w="548" w:type="pct"/>
                  <w:tcBorders>
                    <w:tl2br w:val="nil"/>
                    <w:tr2bl w:val="nil"/>
                  </w:tcBorders>
                  <w:noWrap w:val="0"/>
                  <w:vAlign w:val="center"/>
                </w:tcPr>
                <w:p w14:paraId="54244AB0">
                  <w:pPr>
                    <w:widowControl/>
                    <w:adjustRightInd w:val="0"/>
                    <w:snapToGrid w:val="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kern w:val="0"/>
                      <w:szCs w:val="21"/>
                    </w:rPr>
                    <w:t>200</w:t>
                  </w:r>
                </w:p>
              </w:tc>
              <w:tc>
                <w:tcPr>
                  <w:tcW w:w="593" w:type="pct"/>
                  <w:tcBorders>
                    <w:tl2br w:val="nil"/>
                    <w:tr2bl w:val="nil"/>
                  </w:tcBorders>
                  <w:noWrap w:val="0"/>
                  <w:vAlign w:val="center"/>
                </w:tcPr>
                <w:p w14:paraId="3F9F3D73">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0.792</w:t>
                  </w:r>
                </w:p>
              </w:tc>
              <w:tc>
                <w:tcPr>
                  <w:tcW w:w="409" w:type="pct"/>
                  <w:vMerge w:val="continue"/>
                  <w:tcBorders>
                    <w:tl2br w:val="nil"/>
                    <w:tr2bl w:val="nil"/>
                  </w:tcBorders>
                  <w:noWrap w:val="0"/>
                  <w:vAlign w:val="center"/>
                </w:tcPr>
                <w:p w14:paraId="5EE494F0">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eastAsia="宋体"/>
                      <w:caps w:val="0"/>
                      <w:color w:val="000000" w:themeColor="text1"/>
                      <w:szCs w:val="21"/>
                      <w:highlight w:val="none"/>
                      <w14:textFill>
                        <w14:solidFill>
                          <w14:schemeClr w14:val="tx1"/>
                        </w14:solidFill>
                      </w14:textFill>
                    </w:rPr>
                  </w:pPr>
                </w:p>
              </w:tc>
              <w:tc>
                <w:tcPr>
                  <w:tcW w:w="363" w:type="pct"/>
                  <w:tcBorders>
                    <w:tl2br w:val="nil"/>
                    <w:tr2bl w:val="nil"/>
                  </w:tcBorders>
                  <w:noWrap w:val="0"/>
                  <w:vAlign w:val="center"/>
                </w:tcPr>
                <w:p w14:paraId="6B547600">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150</w:t>
                  </w:r>
                </w:p>
              </w:tc>
              <w:tc>
                <w:tcPr>
                  <w:tcW w:w="426" w:type="pct"/>
                  <w:tcBorders>
                    <w:tl2br w:val="nil"/>
                    <w:tr2bl w:val="nil"/>
                  </w:tcBorders>
                  <w:noWrap w:val="0"/>
                  <w:vAlign w:val="center"/>
                </w:tcPr>
                <w:p w14:paraId="5BAA28C0">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0.594</w:t>
                  </w:r>
                </w:p>
              </w:tc>
              <w:tc>
                <w:tcPr>
                  <w:tcW w:w="497" w:type="pct"/>
                  <w:tcBorders>
                    <w:tl2br w:val="nil"/>
                    <w:tr2bl w:val="nil"/>
                  </w:tcBorders>
                  <w:shd w:val="clear" w:color="auto" w:fill="auto"/>
                  <w:noWrap w:val="0"/>
                  <w:vAlign w:val="center"/>
                </w:tcPr>
                <w:p w14:paraId="0C1EECFF">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37" w:type="pct"/>
                  <w:tcBorders>
                    <w:tl2br w:val="nil"/>
                    <w:tr2bl w:val="nil"/>
                  </w:tcBorders>
                  <w:noWrap w:val="0"/>
                  <w:vAlign w:val="center"/>
                </w:tcPr>
                <w:p w14:paraId="1DACA8E8">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34DA6A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6" w:hRule="atLeast"/>
              </w:trPr>
              <w:tc>
                <w:tcPr>
                  <w:tcW w:w="466" w:type="pct"/>
                  <w:vMerge w:val="continue"/>
                  <w:tcBorders>
                    <w:tl2br w:val="nil"/>
                    <w:tr2bl w:val="nil"/>
                  </w:tcBorders>
                  <w:noWrap w:val="0"/>
                  <w:vAlign w:val="center"/>
                </w:tcPr>
                <w:p w14:paraId="4C82F389">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68CAE7D0">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1FBE23D7">
                  <w:pPr>
                    <w:widowControl/>
                    <w:adjustRightInd w:val="0"/>
                    <w:snapToGrid w:val="0"/>
                    <w:jc w:val="center"/>
                    <w:rPr>
                      <w:rFonts w:ascii="Times New Roman" w:hAnsi="Times New Roman" w:eastAsia="宋体"/>
                      <w:caps w:val="0"/>
                      <w:color w:val="000000" w:themeColor="text1"/>
                      <w:kern w:val="0"/>
                      <w:szCs w:val="21"/>
                      <w:highlight w:val="none"/>
                      <w:lang w:bidi="ar"/>
                      <w14:textFill>
                        <w14:solidFill>
                          <w14:schemeClr w14:val="tx1"/>
                        </w14:solidFill>
                      </w14:textFill>
                    </w:rPr>
                  </w:pPr>
                  <w:r>
                    <w:rPr>
                      <w:kern w:val="0"/>
                      <w:szCs w:val="21"/>
                    </w:rPr>
                    <w:t>SS</w:t>
                  </w:r>
                </w:p>
              </w:tc>
              <w:tc>
                <w:tcPr>
                  <w:tcW w:w="548" w:type="pct"/>
                  <w:tcBorders>
                    <w:tl2br w:val="nil"/>
                    <w:tr2bl w:val="nil"/>
                  </w:tcBorders>
                  <w:noWrap w:val="0"/>
                  <w:vAlign w:val="center"/>
                </w:tcPr>
                <w:p w14:paraId="52BD4B5A">
                  <w:pPr>
                    <w:widowControl/>
                    <w:adjustRightInd w:val="0"/>
                    <w:snapToGrid w:val="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kern w:val="0"/>
                      <w:szCs w:val="21"/>
                    </w:rPr>
                    <w:t>200</w:t>
                  </w:r>
                </w:p>
              </w:tc>
              <w:tc>
                <w:tcPr>
                  <w:tcW w:w="593" w:type="pct"/>
                  <w:tcBorders>
                    <w:tl2br w:val="nil"/>
                    <w:tr2bl w:val="nil"/>
                  </w:tcBorders>
                  <w:noWrap w:val="0"/>
                  <w:vAlign w:val="center"/>
                </w:tcPr>
                <w:p w14:paraId="0F3EA871">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0.792</w:t>
                  </w:r>
                </w:p>
              </w:tc>
              <w:tc>
                <w:tcPr>
                  <w:tcW w:w="409" w:type="pct"/>
                  <w:vMerge w:val="continue"/>
                  <w:tcBorders>
                    <w:tl2br w:val="nil"/>
                    <w:tr2bl w:val="nil"/>
                  </w:tcBorders>
                  <w:noWrap w:val="0"/>
                  <w:vAlign w:val="center"/>
                </w:tcPr>
                <w:p w14:paraId="5400A3FE">
                  <w:pPr>
                    <w:keepNext w:val="0"/>
                    <w:keepLines w:val="0"/>
                    <w:pageBreakBefore w:val="0"/>
                    <w:kinsoku/>
                    <w:wordWrap/>
                    <w:overflowPunct/>
                    <w:topLinePunct w:val="0"/>
                    <w:autoSpaceDE/>
                    <w:autoSpaceDN/>
                    <w:bidi w:val="0"/>
                    <w:adjustRightInd w:val="0"/>
                    <w:snapToGrid w:val="0"/>
                    <w:spacing w:line="240" w:lineRule="auto"/>
                    <w:jc w:val="center"/>
                    <w:textAlignment w:val="baseline"/>
                    <w:rPr>
                      <w:rFonts w:ascii="Times New Roman" w:hAnsi="Times New Roman" w:eastAsia="宋体"/>
                      <w:caps w:val="0"/>
                      <w:color w:val="000000" w:themeColor="text1"/>
                      <w:szCs w:val="21"/>
                      <w:highlight w:val="none"/>
                      <w14:textFill>
                        <w14:solidFill>
                          <w14:schemeClr w14:val="tx1"/>
                        </w14:solidFill>
                      </w14:textFill>
                    </w:rPr>
                  </w:pPr>
                </w:p>
              </w:tc>
              <w:tc>
                <w:tcPr>
                  <w:tcW w:w="363" w:type="pct"/>
                  <w:tcBorders>
                    <w:tl2br w:val="nil"/>
                    <w:tr2bl w:val="nil"/>
                  </w:tcBorders>
                  <w:noWrap w:val="0"/>
                  <w:vAlign w:val="center"/>
                </w:tcPr>
                <w:p w14:paraId="73A8BE7B">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160</w:t>
                  </w:r>
                </w:p>
              </w:tc>
              <w:tc>
                <w:tcPr>
                  <w:tcW w:w="426" w:type="pct"/>
                  <w:tcBorders>
                    <w:tl2br w:val="nil"/>
                    <w:tr2bl w:val="nil"/>
                  </w:tcBorders>
                  <w:noWrap w:val="0"/>
                  <w:vAlign w:val="center"/>
                </w:tcPr>
                <w:p w14:paraId="69751201">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0.6336</w:t>
                  </w:r>
                </w:p>
              </w:tc>
              <w:tc>
                <w:tcPr>
                  <w:tcW w:w="497" w:type="pct"/>
                  <w:tcBorders>
                    <w:tl2br w:val="nil"/>
                    <w:tr2bl w:val="nil"/>
                  </w:tcBorders>
                  <w:shd w:val="clear" w:color="auto" w:fill="auto"/>
                  <w:noWrap w:val="0"/>
                  <w:vAlign w:val="center"/>
                </w:tcPr>
                <w:p w14:paraId="32C6ED5F">
                  <w:pPr>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37" w:type="pct"/>
                  <w:tcBorders>
                    <w:tl2br w:val="nil"/>
                    <w:tr2bl w:val="nil"/>
                  </w:tcBorders>
                  <w:noWrap w:val="0"/>
                  <w:vAlign w:val="center"/>
                </w:tcPr>
                <w:p w14:paraId="7121D674">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4F05C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6" w:hRule="atLeast"/>
              </w:trPr>
              <w:tc>
                <w:tcPr>
                  <w:tcW w:w="466" w:type="pct"/>
                  <w:vMerge w:val="continue"/>
                  <w:tcBorders>
                    <w:tl2br w:val="nil"/>
                    <w:tr2bl w:val="nil"/>
                  </w:tcBorders>
                  <w:noWrap w:val="0"/>
                  <w:vAlign w:val="center"/>
                </w:tcPr>
                <w:p w14:paraId="22277048">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2F8AC54C">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1FA2056A">
                  <w:pPr>
                    <w:widowControl/>
                    <w:adjustRightInd w:val="0"/>
                    <w:snapToGrid w:val="0"/>
                    <w:jc w:val="center"/>
                    <w:rPr>
                      <w:rFonts w:ascii="Times New Roman" w:hAnsi="Times New Roman" w:eastAsia="宋体"/>
                      <w:caps w:val="0"/>
                      <w:color w:val="000000" w:themeColor="text1"/>
                      <w:kern w:val="0"/>
                      <w:szCs w:val="21"/>
                      <w:highlight w:val="none"/>
                      <w:lang w:bidi="ar"/>
                      <w14:textFill>
                        <w14:solidFill>
                          <w14:schemeClr w14:val="tx1"/>
                        </w14:solidFill>
                      </w14:textFill>
                    </w:rPr>
                  </w:pPr>
                  <w:r>
                    <w:rPr>
                      <w:kern w:val="0"/>
                      <w:szCs w:val="21"/>
                    </w:rPr>
                    <w:t>NH</w:t>
                  </w:r>
                  <w:r>
                    <w:rPr>
                      <w:kern w:val="0"/>
                      <w:szCs w:val="21"/>
                      <w:vertAlign w:val="subscript"/>
                    </w:rPr>
                    <w:t>3</w:t>
                  </w:r>
                  <w:r>
                    <w:rPr>
                      <w:kern w:val="0"/>
                      <w:szCs w:val="21"/>
                    </w:rPr>
                    <w:t>-N</w:t>
                  </w:r>
                </w:p>
              </w:tc>
              <w:tc>
                <w:tcPr>
                  <w:tcW w:w="548" w:type="pct"/>
                  <w:tcBorders>
                    <w:tl2br w:val="nil"/>
                    <w:tr2bl w:val="nil"/>
                  </w:tcBorders>
                  <w:noWrap w:val="0"/>
                  <w:vAlign w:val="center"/>
                </w:tcPr>
                <w:p w14:paraId="21364F61">
                  <w:pPr>
                    <w:widowControl/>
                    <w:adjustRightInd w:val="0"/>
                    <w:snapToGrid w:val="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kern w:val="0"/>
                      <w:szCs w:val="21"/>
                    </w:rPr>
                    <w:t>30</w:t>
                  </w:r>
                </w:p>
              </w:tc>
              <w:tc>
                <w:tcPr>
                  <w:tcW w:w="593" w:type="pct"/>
                  <w:tcBorders>
                    <w:tl2br w:val="nil"/>
                    <w:tr2bl w:val="nil"/>
                  </w:tcBorders>
                  <w:noWrap w:val="0"/>
                  <w:vAlign w:val="center"/>
                </w:tcPr>
                <w:p w14:paraId="5DF18E5B">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0.119</w:t>
                  </w:r>
                </w:p>
              </w:tc>
              <w:tc>
                <w:tcPr>
                  <w:tcW w:w="409" w:type="pct"/>
                  <w:vMerge w:val="continue"/>
                  <w:tcBorders>
                    <w:tl2br w:val="nil"/>
                    <w:tr2bl w:val="nil"/>
                  </w:tcBorders>
                  <w:noWrap w:val="0"/>
                  <w:vAlign w:val="center"/>
                </w:tcPr>
                <w:p w14:paraId="06EFAE2E">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63" w:type="pct"/>
                  <w:tcBorders>
                    <w:tl2br w:val="nil"/>
                    <w:tr2bl w:val="nil"/>
                  </w:tcBorders>
                  <w:noWrap w:val="0"/>
                  <w:vAlign w:val="center"/>
                </w:tcPr>
                <w:p w14:paraId="283C50F9">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30</w:t>
                  </w:r>
                </w:p>
              </w:tc>
              <w:tc>
                <w:tcPr>
                  <w:tcW w:w="426" w:type="pct"/>
                  <w:tcBorders>
                    <w:tl2br w:val="nil"/>
                    <w:tr2bl w:val="nil"/>
                  </w:tcBorders>
                  <w:noWrap w:val="0"/>
                  <w:vAlign w:val="center"/>
                </w:tcPr>
                <w:p w14:paraId="4E30AF5D">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0.1188</w:t>
                  </w:r>
                </w:p>
              </w:tc>
              <w:tc>
                <w:tcPr>
                  <w:tcW w:w="497" w:type="pct"/>
                  <w:tcBorders>
                    <w:tl2br w:val="nil"/>
                    <w:tr2bl w:val="nil"/>
                  </w:tcBorders>
                  <w:shd w:val="clear" w:color="auto" w:fill="auto"/>
                  <w:noWrap w:val="0"/>
                  <w:vAlign w:val="center"/>
                </w:tcPr>
                <w:p w14:paraId="60A475C4">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37" w:type="pct"/>
                  <w:tcBorders>
                    <w:tl2br w:val="nil"/>
                    <w:tr2bl w:val="nil"/>
                  </w:tcBorders>
                  <w:noWrap w:val="0"/>
                  <w:vAlign w:val="center"/>
                </w:tcPr>
                <w:p w14:paraId="09A650AC">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03D375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2" w:hRule="atLeast"/>
              </w:trPr>
              <w:tc>
                <w:tcPr>
                  <w:tcW w:w="466" w:type="pct"/>
                  <w:vMerge w:val="continue"/>
                  <w:tcBorders>
                    <w:tl2br w:val="nil"/>
                    <w:tr2bl w:val="nil"/>
                  </w:tcBorders>
                  <w:noWrap w:val="0"/>
                  <w:vAlign w:val="center"/>
                </w:tcPr>
                <w:p w14:paraId="2BD3C127">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2D9490FC">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47D82CBD">
                  <w:pPr>
                    <w:widowControl/>
                    <w:adjustRightInd w:val="0"/>
                    <w:snapToGrid w:val="0"/>
                    <w:jc w:val="cente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pPr>
                  <w:r>
                    <w:rPr>
                      <w:kern w:val="0"/>
                      <w:szCs w:val="21"/>
                    </w:rPr>
                    <w:t>动植物油</w:t>
                  </w:r>
                </w:p>
              </w:tc>
              <w:tc>
                <w:tcPr>
                  <w:tcW w:w="548" w:type="pct"/>
                  <w:tcBorders>
                    <w:tl2br w:val="nil"/>
                    <w:tr2bl w:val="nil"/>
                  </w:tcBorders>
                  <w:noWrap w:val="0"/>
                  <w:vAlign w:val="center"/>
                </w:tcPr>
                <w:p w14:paraId="60F3FE74">
                  <w:pPr>
                    <w:widowControl/>
                    <w:adjustRightInd w:val="0"/>
                    <w:snapToGrid w:val="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kern w:val="0"/>
                      <w:szCs w:val="21"/>
                    </w:rPr>
                    <w:t>1</w:t>
                  </w:r>
                  <w:r>
                    <w:rPr>
                      <w:kern w:val="0"/>
                      <w:szCs w:val="21"/>
                    </w:rPr>
                    <w:t>00</w:t>
                  </w:r>
                </w:p>
              </w:tc>
              <w:tc>
                <w:tcPr>
                  <w:tcW w:w="593" w:type="pct"/>
                  <w:tcBorders>
                    <w:tl2br w:val="nil"/>
                    <w:tr2bl w:val="nil"/>
                  </w:tcBorders>
                  <w:noWrap w:val="0"/>
                  <w:vAlign w:val="center"/>
                </w:tcPr>
                <w:p w14:paraId="301563B7">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0.397</w:t>
                  </w:r>
                </w:p>
              </w:tc>
              <w:tc>
                <w:tcPr>
                  <w:tcW w:w="409" w:type="pct"/>
                  <w:vMerge w:val="continue"/>
                  <w:tcBorders>
                    <w:tl2br w:val="nil"/>
                    <w:tr2bl w:val="nil"/>
                  </w:tcBorders>
                  <w:noWrap w:val="0"/>
                  <w:vAlign w:val="center"/>
                </w:tcPr>
                <w:p w14:paraId="3455D251">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63" w:type="pct"/>
                  <w:tcBorders>
                    <w:tl2br w:val="nil"/>
                    <w:tr2bl w:val="nil"/>
                  </w:tcBorders>
                  <w:noWrap w:val="0"/>
                  <w:vAlign w:val="center"/>
                </w:tcPr>
                <w:p w14:paraId="79677EF2">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40</w:t>
                  </w:r>
                </w:p>
              </w:tc>
              <w:tc>
                <w:tcPr>
                  <w:tcW w:w="426" w:type="pct"/>
                  <w:tcBorders>
                    <w:tl2br w:val="nil"/>
                    <w:tr2bl w:val="nil"/>
                  </w:tcBorders>
                  <w:noWrap w:val="0"/>
                  <w:vAlign w:val="center"/>
                </w:tcPr>
                <w:p w14:paraId="2A01E828">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0.1584</w:t>
                  </w:r>
                </w:p>
              </w:tc>
              <w:tc>
                <w:tcPr>
                  <w:tcW w:w="497" w:type="pct"/>
                  <w:tcBorders>
                    <w:tl2br w:val="nil"/>
                    <w:tr2bl w:val="nil"/>
                  </w:tcBorders>
                  <w:shd w:val="clear" w:color="auto" w:fill="auto"/>
                  <w:noWrap w:val="0"/>
                  <w:vAlign w:val="center"/>
                </w:tcPr>
                <w:p w14:paraId="72D4177A">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37" w:type="pct"/>
                  <w:tcBorders>
                    <w:tl2br w:val="nil"/>
                    <w:tr2bl w:val="nil"/>
                  </w:tcBorders>
                  <w:noWrap w:val="0"/>
                  <w:vAlign w:val="center"/>
                </w:tcPr>
                <w:p w14:paraId="5FBD6AB6">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224064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6" w:hRule="atLeast"/>
              </w:trPr>
              <w:tc>
                <w:tcPr>
                  <w:tcW w:w="466" w:type="pct"/>
                  <w:vMerge w:val="restart"/>
                  <w:tcBorders>
                    <w:tl2br w:val="nil"/>
                    <w:tr2bl w:val="nil"/>
                  </w:tcBorders>
                  <w:noWrap w:val="0"/>
                  <w:vAlign w:val="center"/>
                </w:tcPr>
                <w:p w14:paraId="6FCE889B">
                  <w:pPr>
                    <w:keepNext w:val="0"/>
                    <w:keepLines w:val="0"/>
                    <w:pageBreakBefore w:val="0"/>
                    <w:widowControl/>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lang w:val="en-US" w:eastAsia="zh-CN"/>
                    </w:rPr>
                    <w:t>潮湿用水</w:t>
                  </w:r>
                </w:p>
              </w:tc>
              <w:tc>
                <w:tcPr>
                  <w:tcW w:w="394" w:type="pct"/>
                  <w:vMerge w:val="restart"/>
                  <w:tcBorders>
                    <w:tl2br w:val="nil"/>
                    <w:tr2bl w:val="nil"/>
                  </w:tcBorders>
                  <w:noWrap w:val="0"/>
                  <w:vAlign w:val="center"/>
                </w:tcPr>
                <w:p w14:paraId="3EFBA940">
                  <w:pPr>
                    <w:keepNext w:val="0"/>
                    <w:keepLines w:val="0"/>
                    <w:pageBreakBefore w:val="0"/>
                    <w:widowControl/>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104</w:t>
                  </w:r>
                </w:p>
              </w:tc>
              <w:tc>
                <w:tcPr>
                  <w:tcW w:w="860" w:type="pct"/>
                  <w:tcBorders>
                    <w:tl2br w:val="nil"/>
                    <w:tr2bl w:val="nil"/>
                  </w:tcBorders>
                  <w:noWrap w:val="0"/>
                  <w:vAlign w:val="center"/>
                </w:tcPr>
                <w:p w14:paraId="62E5BA5F">
                  <w:pPr>
                    <w:widowControl/>
                    <w:adjustRightInd w:val="0"/>
                    <w:snapToGrid w:val="0"/>
                    <w:jc w:val="center"/>
                    <w:rPr>
                      <w:rFonts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szCs w:val="21"/>
                    </w:rPr>
                    <w:t>p</w:t>
                  </w:r>
                  <w:r>
                    <w:rPr>
                      <w:szCs w:val="21"/>
                    </w:rPr>
                    <w:t>H</w:t>
                  </w:r>
                  <w:r>
                    <w:rPr>
                      <w:rFonts w:hint="eastAsia"/>
                      <w:szCs w:val="21"/>
                      <w:lang w:eastAsia="zh-CN"/>
                    </w:rPr>
                    <w:t>（</w:t>
                  </w:r>
                  <w:r>
                    <w:rPr>
                      <w:rFonts w:hint="eastAsia"/>
                      <w:szCs w:val="21"/>
                      <w:lang w:val="en-US" w:eastAsia="zh-CN"/>
                    </w:rPr>
                    <w:t>无量纲）</w:t>
                  </w:r>
                </w:p>
              </w:tc>
              <w:tc>
                <w:tcPr>
                  <w:tcW w:w="548" w:type="pct"/>
                  <w:tcBorders>
                    <w:tl2br w:val="nil"/>
                    <w:tr2bl w:val="nil"/>
                  </w:tcBorders>
                  <w:noWrap w:val="0"/>
                  <w:vAlign w:val="center"/>
                </w:tcPr>
                <w:p w14:paraId="01012789">
                  <w:pPr>
                    <w:widowControl/>
                    <w:adjustRightInd w:val="0"/>
                    <w:snapToGrid w:val="0"/>
                    <w:jc w:val="center"/>
                    <w:rPr>
                      <w:rFonts w:hint="eastAsia"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szCs w:val="21"/>
                    </w:rPr>
                    <w:t>6~9</w:t>
                  </w:r>
                </w:p>
              </w:tc>
              <w:tc>
                <w:tcPr>
                  <w:tcW w:w="593" w:type="pct"/>
                  <w:tcBorders>
                    <w:tl2br w:val="nil"/>
                    <w:tr2bl w:val="nil"/>
                  </w:tcBorders>
                  <w:noWrap w:val="0"/>
                  <w:vAlign w:val="center"/>
                </w:tcPr>
                <w:p w14:paraId="56881F09">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09" w:type="pct"/>
                  <w:vMerge w:val="restart"/>
                  <w:tcBorders>
                    <w:tl2br w:val="nil"/>
                    <w:tr2bl w:val="nil"/>
                  </w:tcBorders>
                  <w:noWrap w:val="0"/>
                  <w:vAlign w:val="center"/>
                </w:tcPr>
                <w:p w14:paraId="72EB5C99">
                  <w:pPr>
                    <w:keepNext w:val="0"/>
                    <w:keepLines w:val="0"/>
                    <w:pageBreakBefore w:val="0"/>
                    <w:widowControl/>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沉淀池</w:t>
                  </w:r>
                </w:p>
              </w:tc>
              <w:tc>
                <w:tcPr>
                  <w:tcW w:w="363" w:type="pct"/>
                  <w:tcBorders>
                    <w:tl2br w:val="nil"/>
                    <w:tr2bl w:val="nil"/>
                  </w:tcBorders>
                  <w:noWrap w:val="0"/>
                  <w:vAlign w:val="center"/>
                </w:tcPr>
                <w:p w14:paraId="34D25BD3">
                  <w:pPr>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szCs w:val="21"/>
                    </w:rPr>
                    <w:t>6~9</w:t>
                  </w:r>
                </w:p>
              </w:tc>
              <w:tc>
                <w:tcPr>
                  <w:tcW w:w="426" w:type="pct"/>
                  <w:tcBorders>
                    <w:tl2br w:val="nil"/>
                    <w:tr2bl w:val="nil"/>
                  </w:tcBorders>
                  <w:noWrap w:val="0"/>
                  <w:vAlign w:val="center"/>
                </w:tcPr>
                <w:p w14:paraId="013EED50">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97" w:type="pct"/>
                  <w:tcBorders>
                    <w:tl2br w:val="nil"/>
                    <w:tr2bl w:val="nil"/>
                  </w:tcBorders>
                  <w:shd w:val="clear" w:color="auto" w:fill="auto"/>
                  <w:noWrap w:val="0"/>
                  <w:vAlign w:val="center"/>
                </w:tcPr>
                <w:p w14:paraId="79D7FAFE">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37" w:type="pct"/>
                  <w:tcBorders>
                    <w:tl2br w:val="nil"/>
                    <w:tr2bl w:val="nil"/>
                  </w:tcBorders>
                  <w:noWrap w:val="0"/>
                  <w:vAlign w:val="center"/>
                </w:tcPr>
                <w:p w14:paraId="35BE9AF9">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430C54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6" w:hRule="atLeast"/>
              </w:trPr>
              <w:tc>
                <w:tcPr>
                  <w:tcW w:w="466" w:type="pct"/>
                  <w:vMerge w:val="continue"/>
                  <w:tcBorders>
                    <w:tl2br w:val="nil"/>
                    <w:tr2bl w:val="nil"/>
                  </w:tcBorders>
                  <w:noWrap w:val="0"/>
                  <w:vAlign w:val="center"/>
                </w:tcPr>
                <w:p w14:paraId="418B9E70">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31763D63">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0C98E48C">
                  <w:pPr>
                    <w:widowControl/>
                    <w:adjustRightInd w:val="0"/>
                    <w:snapToGrid w:val="0"/>
                    <w:jc w:val="center"/>
                    <w:rPr>
                      <w:rFonts w:hint="default" w:ascii="Times New Roman" w:hAnsi="Times New Roman" w:eastAsia="宋体" w:cs="Times New Roman"/>
                      <w:caps w:val="0"/>
                      <w:color w:val="000000" w:themeColor="text1"/>
                      <w:kern w:val="0"/>
                      <w:sz w:val="21"/>
                      <w:szCs w:val="21"/>
                      <w:highlight w:val="none"/>
                      <w:lang w:val="en-US" w:eastAsia="zh-CN" w:bidi="ar"/>
                      <w14:textFill>
                        <w14:solidFill>
                          <w14:schemeClr w14:val="tx1"/>
                        </w14:solidFill>
                      </w14:textFill>
                    </w:rPr>
                  </w:pPr>
                  <w:r>
                    <w:rPr>
                      <w:kern w:val="0"/>
                      <w:szCs w:val="21"/>
                    </w:rPr>
                    <w:t>COD</w:t>
                  </w:r>
                </w:p>
              </w:tc>
              <w:tc>
                <w:tcPr>
                  <w:tcW w:w="548" w:type="pct"/>
                  <w:tcBorders>
                    <w:tl2br w:val="nil"/>
                    <w:tr2bl w:val="nil"/>
                  </w:tcBorders>
                  <w:noWrap w:val="0"/>
                  <w:vAlign w:val="center"/>
                </w:tcPr>
                <w:p w14:paraId="3C3A3D79">
                  <w:pPr>
                    <w:widowControl/>
                    <w:adjustRightInd w:val="0"/>
                    <w:snapToGrid w:val="0"/>
                    <w:jc w:val="center"/>
                    <w:rPr>
                      <w:rFonts w:hint="eastAsia"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kern w:val="0"/>
                      <w:szCs w:val="21"/>
                    </w:rPr>
                    <w:t>150</w:t>
                  </w:r>
                </w:p>
              </w:tc>
              <w:tc>
                <w:tcPr>
                  <w:tcW w:w="593" w:type="pct"/>
                  <w:tcBorders>
                    <w:tl2br w:val="nil"/>
                    <w:tr2bl w:val="nil"/>
                  </w:tcBorders>
                  <w:noWrap w:val="0"/>
                  <w:vAlign w:val="center"/>
                </w:tcPr>
                <w:p w14:paraId="4BB71F4E">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0.0156</w:t>
                  </w:r>
                </w:p>
              </w:tc>
              <w:tc>
                <w:tcPr>
                  <w:tcW w:w="409" w:type="pct"/>
                  <w:vMerge w:val="continue"/>
                  <w:tcBorders>
                    <w:tl2br w:val="nil"/>
                    <w:tr2bl w:val="nil"/>
                  </w:tcBorders>
                  <w:noWrap w:val="0"/>
                  <w:vAlign w:val="center"/>
                </w:tcPr>
                <w:p w14:paraId="33040D66">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63" w:type="pct"/>
                  <w:tcBorders>
                    <w:tl2br w:val="nil"/>
                    <w:tr2bl w:val="nil"/>
                  </w:tcBorders>
                  <w:noWrap w:val="0"/>
                  <w:vAlign w:val="center"/>
                </w:tcPr>
                <w:p w14:paraId="7C9F315A">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s="Times New Roman"/>
                      <w:caps w:val="0"/>
                      <w:color w:val="000000" w:themeColor="text1"/>
                      <w:kern w:val="2"/>
                      <w:sz w:val="21"/>
                      <w:szCs w:val="21"/>
                      <w:highlight w:val="none"/>
                      <w:lang w:val="en-US" w:eastAsia="zh-CN" w:bidi="ar-SA"/>
                      <w14:textFill>
                        <w14:solidFill>
                          <w14:schemeClr w14:val="tx1"/>
                        </w14:solidFill>
                      </w14:textFill>
                    </w:rPr>
                    <w:t>150</w:t>
                  </w:r>
                </w:p>
              </w:tc>
              <w:tc>
                <w:tcPr>
                  <w:tcW w:w="426" w:type="pct"/>
                  <w:tcBorders>
                    <w:tl2br w:val="nil"/>
                    <w:tr2bl w:val="nil"/>
                  </w:tcBorders>
                  <w:noWrap w:val="0"/>
                  <w:vAlign w:val="center"/>
                </w:tcPr>
                <w:p w14:paraId="536AB33F">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0.0156</w:t>
                  </w:r>
                </w:p>
              </w:tc>
              <w:tc>
                <w:tcPr>
                  <w:tcW w:w="497" w:type="pct"/>
                  <w:tcBorders>
                    <w:tl2br w:val="nil"/>
                    <w:tr2bl w:val="nil"/>
                  </w:tcBorders>
                  <w:noWrap w:val="0"/>
                  <w:vAlign w:val="center"/>
                </w:tcPr>
                <w:p w14:paraId="62992392">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37" w:type="pct"/>
                  <w:tcBorders>
                    <w:tl2br w:val="nil"/>
                    <w:tr2bl w:val="nil"/>
                  </w:tcBorders>
                  <w:shd w:val="clear" w:color="auto" w:fill="auto"/>
                  <w:noWrap w:val="0"/>
                  <w:vAlign w:val="center"/>
                </w:tcPr>
                <w:p w14:paraId="6A8749A4">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4DDF47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6" w:hRule="atLeast"/>
              </w:trPr>
              <w:tc>
                <w:tcPr>
                  <w:tcW w:w="466" w:type="pct"/>
                  <w:vMerge w:val="continue"/>
                  <w:tcBorders>
                    <w:tl2br w:val="nil"/>
                    <w:tr2bl w:val="nil"/>
                  </w:tcBorders>
                  <w:noWrap w:val="0"/>
                  <w:vAlign w:val="center"/>
                </w:tcPr>
                <w:p w14:paraId="1063B655">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0D9DFEE0">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7804DEA4">
                  <w:pPr>
                    <w:widowControl/>
                    <w:adjustRightInd w:val="0"/>
                    <w:snapToGrid w:val="0"/>
                    <w:jc w:val="center"/>
                    <w:rPr>
                      <w:rFonts w:hint="eastAsia" w:ascii="Times New Roman" w:hAnsi="Times New Roman" w:eastAsia="宋体" w:cs="Times New Roman"/>
                      <w:caps w:val="0"/>
                      <w:color w:val="000000" w:themeColor="text1"/>
                      <w:kern w:val="0"/>
                      <w:sz w:val="21"/>
                      <w:szCs w:val="21"/>
                      <w:highlight w:val="none"/>
                      <w:lang w:val="en-US" w:eastAsia="zh-CN" w:bidi="ar"/>
                      <w14:textFill>
                        <w14:solidFill>
                          <w14:schemeClr w14:val="tx1"/>
                        </w14:solidFill>
                      </w14:textFill>
                    </w:rPr>
                  </w:pPr>
                  <w:r>
                    <w:rPr>
                      <w:kern w:val="0"/>
                      <w:szCs w:val="21"/>
                    </w:rPr>
                    <w:t>BOD</w:t>
                  </w:r>
                  <w:r>
                    <w:rPr>
                      <w:kern w:val="0"/>
                      <w:szCs w:val="21"/>
                      <w:vertAlign w:val="subscript"/>
                    </w:rPr>
                    <w:t>5</w:t>
                  </w:r>
                </w:p>
              </w:tc>
              <w:tc>
                <w:tcPr>
                  <w:tcW w:w="548" w:type="pct"/>
                  <w:tcBorders>
                    <w:tl2br w:val="nil"/>
                    <w:tr2bl w:val="nil"/>
                  </w:tcBorders>
                  <w:noWrap w:val="0"/>
                  <w:vAlign w:val="center"/>
                </w:tcPr>
                <w:p w14:paraId="268C8481">
                  <w:pPr>
                    <w:widowControl/>
                    <w:adjustRightInd w:val="0"/>
                    <w:snapToGrid w:val="0"/>
                    <w:jc w:val="center"/>
                    <w:rPr>
                      <w:rFonts w:hint="eastAsia"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kern w:val="0"/>
                      <w:szCs w:val="21"/>
                    </w:rPr>
                    <w:t>20</w:t>
                  </w:r>
                </w:p>
              </w:tc>
              <w:tc>
                <w:tcPr>
                  <w:tcW w:w="593" w:type="pct"/>
                  <w:tcBorders>
                    <w:tl2br w:val="nil"/>
                    <w:tr2bl w:val="nil"/>
                  </w:tcBorders>
                  <w:noWrap w:val="0"/>
                  <w:vAlign w:val="center"/>
                </w:tcPr>
                <w:p w14:paraId="3D7FB31A">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0.0021</w:t>
                  </w:r>
                </w:p>
              </w:tc>
              <w:tc>
                <w:tcPr>
                  <w:tcW w:w="409" w:type="pct"/>
                  <w:vMerge w:val="continue"/>
                  <w:tcBorders>
                    <w:tl2br w:val="nil"/>
                    <w:tr2bl w:val="nil"/>
                  </w:tcBorders>
                  <w:noWrap w:val="0"/>
                  <w:vAlign w:val="center"/>
                </w:tcPr>
                <w:p w14:paraId="0E9C06B6">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63" w:type="pct"/>
                  <w:tcBorders>
                    <w:tl2br w:val="nil"/>
                    <w:tr2bl w:val="nil"/>
                  </w:tcBorders>
                  <w:noWrap w:val="0"/>
                  <w:vAlign w:val="center"/>
                </w:tcPr>
                <w:p w14:paraId="0ABD94BF">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s="Times New Roman"/>
                      <w:caps w:val="0"/>
                      <w:color w:val="000000" w:themeColor="text1"/>
                      <w:kern w:val="2"/>
                      <w:sz w:val="21"/>
                      <w:szCs w:val="21"/>
                      <w:highlight w:val="none"/>
                      <w:lang w:val="en-US" w:eastAsia="zh-CN" w:bidi="ar-SA"/>
                      <w14:textFill>
                        <w14:solidFill>
                          <w14:schemeClr w14:val="tx1"/>
                        </w14:solidFill>
                      </w14:textFill>
                    </w:rPr>
                    <w:t>20</w:t>
                  </w:r>
                </w:p>
              </w:tc>
              <w:tc>
                <w:tcPr>
                  <w:tcW w:w="426" w:type="pct"/>
                  <w:tcBorders>
                    <w:tl2br w:val="nil"/>
                    <w:tr2bl w:val="nil"/>
                  </w:tcBorders>
                  <w:noWrap w:val="0"/>
                  <w:vAlign w:val="center"/>
                </w:tcPr>
                <w:p w14:paraId="5011E65E">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0.0021</w:t>
                  </w:r>
                </w:p>
              </w:tc>
              <w:tc>
                <w:tcPr>
                  <w:tcW w:w="497" w:type="pct"/>
                  <w:tcBorders>
                    <w:tl2br w:val="nil"/>
                    <w:tr2bl w:val="nil"/>
                  </w:tcBorders>
                  <w:noWrap w:val="0"/>
                  <w:vAlign w:val="center"/>
                </w:tcPr>
                <w:p w14:paraId="4F3CBED7">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37" w:type="pct"/>
                  <w:tcBorders>
                    <w:tl2br w:val="nil"/>
                    <w:tr2bl w:val="nil"/>
                  </w:tcBorders>
                  <w:shd w:val="clear" w:color="auto" w:fill="auto"/>
                  <w:noWrap w:val="0"/>
                  <w:vAlign w:val="center"/>
                </w:tcPr>
                <w:p w14:paraId="22A3BD76">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080FEA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6" w:hRule="atLeast"/>
              </w:trPr>
              <w:tc>
                <w:tcPr>
                  <w:tcW w:w="466" w:type="pct"/>
                  <w:vMerge w:val="continue"/>
                  <w:tcBorders>
                    <w:tl2br w:val="nil"/>
                    <w:tr2bl w:val="nil"/>
                  </w:tcBorders>
                  <w:noWrap w:val="0"/>
                  <w:vAlign w:val="center"/>
                </w:tcPr>
                <w:p w14:paraId="2F79D804">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53594123">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73681E90">
                  <w:pPr>
                    <w:widowControl/>
                    <w:adjustRightInd w:val="0"/>
                    <w:snapToGrid w:val="0"/>
                    <w:jc w:val="center"/>
                    <w:rPr>
                      <w:rFonts w:ascii="Times New Roman" w:hAnsi="Times New Roman" w:eastAsia="宋体" w:cs="Times New Roman"/>
                      <w:caps w:val="0"/>
                      <w:color w:val="000000" w:themeColor="text1"/>
                      <w:kern w:val="0"/>
                      <w:sz w:val="21"/>
                      <w:szCs w:val="21"/>
                      <w:highlight w:val="none"/>
                      <w:lang w:val="en-US" w:eastAsia="zh-CN" w:bidi="ar"/>
                      <w14:textFill>
                        <w14:solidFill>
                          <w14:schemeClr w14:val="tx1"/>
                        </w14:solidFill>
                      </w14:textFill>
                    </w:rPr>
                  </w:pPr>
                  <w:r>
                    <w:rPr>
                      <w:kern w:val="0"/>
                      <w:szCs w:val="21"/>
                    </w:rPr>
                    <w:t>SS</w:t>
                  </w:r>
                </w:p>
              </w:tc>
              <w:tc>
                <w:tcPr>
                  <w:tcW w:w="548" w:type="pct"/>
                  <w:tcBorders>
                    <w:tl2br w:val="nil"/>
                    <w:tr2bl w:val="nil"/>
                  </w:tcBorders>
                  <w:noWrap w:val="0"/>
                  <w:vAlign w:val="center"/>
                </w:tcPr>
                <w:p w14:paraId="043F7041">
                  <w:pPr>
                    <w:widowControl/>
                    <w:adjustRightInd w:val="0"/>
                    <w:snapToGrid w:val="0"/>
                    <w:jc w:val="center"/>
                    <w:rPr>
                      <w:rFonts w:hint="eastAsia"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kern w:val="0"/>
                      <w:szCs w:val="21"/>
                    </w:rPr>
                    <w:t>300</w:t>
                  </w:r>
                </w:p>
              </w:tc>
              <w:tc>
                <w:tcPr>
                  <w:tcW w:w="593" w:type="pct"/>
                  <w:tcBorders>
                    <w:tl2br w:val="nil"/>
                    <w:tr2bl w:val="nil"/>
                  </w:tcBorders>
                  <w:noWrap w:val="0"/>
                  <w:vAlign w:val="center"/>
                </w:tcPr>
                <w:p w14:paraId="4E3BBFBB">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0.0312</w:t>
                  </w:r>
                </w:p>
              </w:tc>
              <w:tc>
                <w:tcPr>
                  <w:tcW w:w="409" w:type="pct"/>
                  <w:vMerge w:val="continue"/>
                  <w:tcBorders>
                    <w:tl2br w:val="nil"/>
                    <w:tr2bl w:val="nil"/>
                  </w:tcBorders>
                  <w:noWrap w:val="0"/>
                  <w:vAlign w:val="center"/>
                </w:tcPr>
                <w:p w14:paraId="11DA4D7D">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63" w:type="pct"/>
                  <w:tcBorders>
                    <w:tl2br w:val="nil"/>
                    <w:tr2bl w:val="nil"/>
                  </w:tcBorders>
                  <w:noWrap w:val="0"/>
                  <w:vAlign w:val="center"/>
                </w:tcPr>
                <w:p w14:paraId="660A0483">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s="Times New Roman"/>
                      <w:caps w:val="0"/>
                      <w:color w:val="000000" w:themeColor="text1"/>
                      <w:kern w:val="2"/>
                      <w:sz w:val="21"/>
                      <w:szCs w:val="21"/>
                      <w:highlight w:val="none"/>
                      <w:lang w:val="en-US" w:eastAsia="zh-CN" w:bidi="ar-SA"/>
                      <w14:textFill>
                        <w14:solidFill>
                          <w14:schemeClr w14:val="tx1"/>
                        </w14:solidFill>
                      </w14:textFill>
                    </w:rPr>
                    <w:t>150</w:t>
                  </w:r>
                </w:p>
              </w:tc>
              <w:tc>
                <w:tcPr>
                  <w:tcW w:w="426" w:type="pct"/>
                  <w:tcBorders>
                    <w:tl2br w:val="nil"/>
                    <w:tr2bl w:val="nil"/>
                  </w:tcBorders>
                  <w:noWrap w:val="0"/>
                  <w:vAlign w:val="center"/>
                </w:tcPr>
                <w:p w14:paraId="26E8269E">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0.0156</w:t>
                  </w:r>
                </w:p>
              </w:tc>
              <w:tc>
                <w:tcPr>
                  <w:tcW w:w="497" w:type="pct"/>
                  <w:tcBorders>
                    <w:tl2br w:val="nil"/>
                    <w:tr2bl w:val="nil"/>
                  </w:tcBorders>
                  <w:noWrap w:val="0"/>
                  <w:vAlign w:val="center"/>
                </w:tcPr>
                <w:p w14:paraId="68A01367">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37" w:type="pct"/>
                  <w:tcBorders>
                    <w:tl2br w:val="nil"/>
                    <w:tr2bl w:val="nil"/>
                  </w:tcBorders>
                  <w:shd w:val="clear" w:color="auto" w:fill="auto"/>
                  <w:noWrap w:val="0"/>
                  <w:vAlign w:val="center"/>
                </w:tcPr>
                <w:p w14:paraId="23F9A011">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4A1A58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trPr>
              <w:tc>
                <w:tcPr>
                  <w:tcW w:w="466" w:type="pct"/>
                  <w:vMerge w:val="continue"/>
                  <w:tcBorders>
                    <w:tl2br w:val="nil"/>
                    <w:tr2bl w:val="nil"/>
                  </w:tcBorders>
                  <w:noWrap w:val="0"/>
                  <w:vAlign w:val="center"/>
                </w:tcPr>
                <w:p w14:paraId="6ED30304">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3A6AA512">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581465DF">
                  <w:pPr>
                    <w:widowControl/>
                    <w:adjustRightInd w:val="0"/>
                    <w:snapToGrid w:val="0"/>
                    <w:jc w:val="center"/>
                    <w:rPr>
                      <w:rFonts w:hint="default" w:ascii="Times New Roman" w:hAnsi="Times New Roman" w:eastAsia="宋体" w:cs="Times New Roman"/>
                      <w:caps w:val="0"/>
                      <w:color w:val="000000" w:themeColor="text1"/>
                      <w:kern w:val="0"/>
                      <w:sz w:val="21"/>
                      <w:szCs w:val="21"/>
                      <w:highlight w:val="none"/>
                      <w:lang w:val="en-US" w:eastAsia="zh-CN" w:bidi="ar"/>
                      <w14:textFill>
                        <w14:solidFill>
                          <w14:schemeClr w14:val="tx1"/>
                        </w14:solidFill>
                      </w14:textFill>
                    </w:rPr>
                  </w:pPr>
                  <w:r>
                    <w:rPr>
                      <w:kern w:val="0"/>
                      <w:szCs w:val="21"/>
                    </w:rPr>
                    <w:t>NH</w:t>
                  </w:r>
                  <w:r>
                    <w:rPr>
                      <w:kern w:val="0"/>
                      <w:szCs w:val="21"/>
                      <w:vertAlign w:val="subscript"/>
                    </w:rPr>
                    <w:t>3</w:t>
                  </w:r>
                  <w:r>
                    <w:rPr>
                      <w:kern w:val="0"/>
                      <w:szCs w:val="21"/>
                    </w:rPr>
                    <w:t>-N</w:t>
                  </w:r>
                </w:p>
              </w:tc>
              <w:tc>
                <w:tcPr>
                  <w:tcW w:w="548" w:type="pct"/>
                  <w:tcBorders>
                    <w:tl2br w:val="nil"/>
                    <w:tr2bl w:val="nil"/>
                  </w:tcBorders>
                  <w:noWrap w:val="0"/>
                  <w:vAlign w:val="center"/>
                </w:tcPr>
                <w:p w14:paraId="3DAB20C5">
                  <w:pPr>
                    <w:widowControl/>
                    <w:adjustRightInd w:val="0"/>
                    <w:snapToGrid w:val="0"/>
                    <w:jc w:val="center"/>
                    <w:rPr>
                      <w:rFonts w:hint="eastAsia"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kern w:val="0"/>
                      <w:szCs w:val="21"/>
                    </w:rPr>
                    <w:t>10</w:t>
                  </w:r>
                </w:p>
              </w:tc>
              <w:tc>
                <w:tcPr>
                  <w:tcW w:w="593" w:type="pct"/>
                  <w:tcBorders>
                    <w:tl2br w:val="nil"/>
                    <w:tr2bl w:val="nil"/>
                  </w:tcBorders>
                  <w:noWrap w:val="0"/>
                  <w:vAlign w:val="center"/>
                </w:tcPr>
                <w:p w14:paraId="48C2EF0B">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0.001</w:t>
                  </w:r>
                </w:p>
              </w:tc>
              <w:tc>
                <w:tcPr>
                  <w:tcW w:w="409" w:type="pct"/>
                  <w:vMerge w:val="continue"/>
                  <w:tcBorders>
                    <w:tl2br w:val="nil"/>
                    <w:tr2bl w:val="nil"/>
                  </w:tcBorders>
                  <w:noWrap w:val="0"/>
                  <w:vAlign w:val="center"/>
                </w:tcPr>
                <w:p w14:paraId="6497136D">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63" w:type="pct"/>
                  <w:tcBorders>
                    <w:tl2br w:val="nil"/>
                    <w:tr2bl w:val="nil"/>
                  </w:tcBorders>
                  <w:noWrap w:val="0"/>
                  <w:vAlign w:val="center"/>
                </w:tcPr>
                <w:p w14:paraId="2755E431">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s="Times New Roman"/>
                      <w:caps w:val="0"/>
                      <w:color w:val="000000" w:themeColor="text1"/>
                      <w:kern w:val="2"/>
                      <w:sz w:val="21"/>
                      <w:szCs w:val="21"/>
                      <w:highlight w:val="none"/>
                      <w:lang w:val="en-US" w:eastAsia="zh-CN" w:bidi="ar-SA"/>
                      <w14:textFill>
                        <w14:solidFill>
                          <w14:schemeClr w14:val="tx1"/>
                        </w14:solidFill>
                      </w14:textFill>
                    </w:rPr>
                    <w:t>10</w:t>
                  </w:r>
                </w:p>
              </w:tc>
              <w:tc>
                <w:tcPr>
                  <w:tcW w:w="426" w:type="pct"/>
                  <w:tcBorders>
                    <w:tl2br w:val="nil"/>
                    <w:tr2bl w:val="nil"/>
                  </w:tcBorders>
                  <w:noWrap w:val="0"/>
                  <w:vAlign w:val="center"/>
                </w:tcPr>
                <w:p w14:paraId="395E11A2">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0.001</w:t>
                  </w:r>
                </w:p>
              </w:tc>
              <w:tc>
                <w:tcPr>
                  <w:tcW w:w="497" w:type="pct"/>
                  <w:tcBorders>
                    <w:tl2br w:val="nil"/>
                    <w:tr2bl w:val="nil"/>
                  </w:tcBorders>
                  <w:noWrap w:val="0"/>
                  <w:vAlign w:val="center"/>
                </w:tcPr>
                <w:p w14:paraId="711C647F">
                  <w:pPr>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37" w:type="pct"/>
                  <w:tcBorders>
                    <w:tl2br w:val="nil"/>
                    <w:tr2bl w:val="nil"/>
                  </w:tcBorders>
                  <w:shd w:val="clear" w:color="auto" w:fill="auto"/>
                  <w:noWrap w:val="0"/>
                  <w:vAlign w:val="center"/>
                </w:tcPr>
                <w:p w14:paraId="4D0BC4C5">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4214ED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trPr>
              <w:tc>
                <w:tcPr>
                  <w:tcW w:w="466" w:type="pct"/>
                  <w:vMerge w:val="restart"/>
                  <w:tcBorders>
                    <w:tl2br w:val="nil"/>
                    <w:tr2bl w:val="nil"/>
                  </w:tcBorders>
                  <w:noWrap w:val="0"/>
                  <w:vAlign w:val="center"/>
                </w:tcPr>
                <w:p w14:paraId="1151EFF3">
                  <w:pPr>
                    <w:keepNext w:val="0"/>
                    <w:keepLines w:val="0"/>
                    <w:pageBreakBefore w:val="0"/>
                    <w:widowControl/>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厂区污水总排口</w:t>
                  </w:r>
                </w:p>
              </w:tc>
              <w:tc>
                <w:tcPr>
                  <w:tcW w:w="394" w:type="pct"/>
                  <w:vMerge w:val="restart"/>
                  <w:tcBorders>
                    <w:tl2br w:val="nil"/>
                    <w:tr2bl w:val="nil"/>
                  </w:tcBorders>
                  <w:noWrap w:val="0"/>
                  <w:vAlign w:val="center"/>
                </w:tcPr>
                <w:p w14:paraId="7AD8C81E">
                  <w:pPr>
                    <w:keepNext w:val="0"/>
                    <w:keepLines w:val="0"/>
                    <w:pageBreakBefore w:val="0"/>
                    <w:widowControl/>
                    <w:kinsoku/>
                    <w:wordWrap/>
                    <w:overflowPunct/>
                    <w:topLinePunct w:val="0"/>
                    <w:autoSpaceDE/>
                    <w:autoSpaceDN/>
                    <w:bidi w:val="0"/>
                    <w:spacing w:line="240" w:lineRule="auto"/>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4064</w:t>
                  </w:r>
                </w:p>
              </w:tc>
              <w:tc>
                <w:tcPr>
                  <w:tcW w:w="860" w:type="pct"/>
                  <w:tcBorders>
                    <w:tl2br w:val="nil"/>
                    <w:tr2bl w:val="nil"/>
                  </w:tcBorders>
                  <w:noWrap w:val="0"/>
                  <w:vAlign w:val="center"/>
                </w:tcPr>
                <w:p w14:paraId="48A39B43">
                  <w:pPr>
                    <w:ind w:left="-105" w:leftChars="-50" w:right="-105" w:rightChars="-50"/>
                    <w:jc w:val="center"/>
                    <w:rPr>
                      <w:kern w:val="0"/>
                      <w:szCs w:val="21"/>
                    </w:rPr>
                  </w:pPr>
                  <w:r>
                    <w:rPr>
                      <w:rFonts w:hint="eastAsia"/>
                      <w:szCs w:val="21"/>
                    </w:rPr>
                    <w:t>p</w:t>
                  </w:r>
                  <w:r>
                    <w:rPr>
                      <w:szCs w:val="21"/>
                    </w:rPr>
                    <w:t>H</w:t>
                  </w:r>
                  <w:r>
                    <w:rPr>
                      <w:rFonts w:hint="eastAsia"/>
                      <w:szCs w:val="21"/>
                      <w:lang w:eastAsia="zh-CN"/>
                    </w:rPr>
                    <w:t>（</w:t>
                  </w:r>
                  <w:r>
                    <w:rPr>
                      <w:rFonts w:hint="eastAsia"/>
                      <w:szCs w:val="21"/>
                      <w:lang w:val="en-US" w:eastAsia="zh-CN"/>
                    </w:rPr>
                    <w:t>无量纲）</w:t>
                  </w:r>
                </w:p>
              </w:tc>
              <w:tc>
                <w:tcPr>
                  <w:tcW w:w="548" w:type="pct"/>
                  <w:tcBorders>
                    <w:tl2br w:val="nil"/>
                    <w:tr2bl w:val="nil"/>
                  </w:tcBorders>
                  <w:noWrap w:val="0"/>
                  <w:vAlign w:val="center"/>
                </w:tcPr>
                <w:p w14:paraId="2022367D">
                  <w:pPr>
                    <w:widowControl/>
                    <w:adjustRightInd w:val="0"/>
                    <w:snapToGrid w:val="0"/>
                    <w:jc w:val="center"/>
                    <w:rPr>
                      <w:kern w:val="0"/>
                      <w:szCs w:val="21"/>
                    </w:rPr>
                  </w:pPr>
                  <w:r>
                    <w:rPr>
                      <w:szCs w:val="21"/>
                    </w:rPr>
                    <w:t>6~9</w:t>
                  </w:r>
                </w:p>
              </w:tc>
              <w:tc>
                <w:tcPr>
                  <w:tcW w:w="593" w:type="pct"/>
                  <w:tcBorders>
                    <w:tl2br w:val="nil"/>
                    <w:tr2bl w:val="nil"/>
                  </w:tcBorders>
                  <w:noWrap w:val="0"/>
                  <w:vAlign w:val="center"/>
                </w:tcPr>
                <w:p w14:paraId="0A851DC6">
                  <w:pPr>
                    <w:keepNext w:val="0"/>
                    <w:keepLines w:val="0"/>
                    <w:pageBreakBefore w:val="0"/>
                    <w:kinsoku/>
                    <w:wordWrap/>
                    <w:overflowPunct/>
                    <w:topLinePunct w:val="0"/>
                    <w:autoSpaceDE/>
                    <w:autoSpaceDN/>
                    <w:bidi w:val="0"/>
                    <w:spacing w:line="240" w:lineRule="auto"/>
                    <w:jc w:val="center"/>
                    <w:rPr>
                      <w:rFonts w:hint="eastAsia"/>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09" w:type="pct"/>
                  <w:vMerge w:val="restart"/>
                  <w:tcBorders>
                    <w:tl2br w:val="nil"/>
                    <w:tr2bl w:val="nil"/>
                  </w:tcBorders>
                  <w:noWrap w:val="0"/>
                  <w:vAlign w:val="center"/>
                </w:tcPr>
                <w:p w14:paraId="6E8FAFAD">
                  <w:pPr>
                    <w:keepNext w:val="0"/>
                    <w:keepLines w:val="0"/>
                    <w:pageBreakBefore w:val="0"/>
                    <w:widowControl/>
                    <w:kinsoku/>
                    <w:wordWrap/>
                    <w:overflowPunct/>
                    <w:topLinePunct w:val="0"/>
                    <w:autoSpaceDE/>
                    <w:autoSpaceDN/>
                    <w:bidi w:val="0"/>
                    <w:spacing w:line="240" w:lineRule="auto"/>
                    <w:jc w:val="center"/>
                    <w:rPr>
                      <w:rFonts w:hint="eastAsia"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363" w:type="pct"/>
                  <w:tcBorders>
                    <w:tl2br w:val="nil"/>
                    <w:tr2bl w:val="nil"/>
                  </w:tcBorders>
                  <w:noWrap w:val="0"/>
                  <w:vAlign w:val="center"/>
                </w:tcPr>
                <w:p w14:paraId="630B65BB">
                  <w:pPr>
                    <w:widowControl/>
                    <w:adjustRightInd w:val="0"/>
                    <w:snapToGrid w:val="0"/>
                    <w:jc w:val="center"/>
                    <w:rPr>
                      <w:rFonts w:hint="eastAsia" w:cs="Times New Roman"/>
                      <w:caps w:val="0"/>
                      <w:color w:val="000000" w:themeColor="text1"/>
                      <w:kern w:val="2"/>
                      <w:sz w:val="21"/>
                      <w:szCs w:val="21"/>
                      <w:highlight w:val="none"/>
                      <w:lang w:val="en-US" w:eastAsia="zh-CN" w:bidi="ar-SA"/>
                      <w14:textFill>
                        <w14:solidFill>
                          <w14:schemeClr w14:val="tx1"/>
                        </w14:solidFill>
                      </w14:textFill>
                    </w:rPr>
                  </w:pPr>
                  <w:r>
                    <w:rPr>
                      <w:szCs w:val="21"/>
                    </w:rPr>
                    <w:t>6~9</w:t>
                  </w:r>
                </w:p>
              </w:tc>
              <w:tc>
                <w:tcPr>
                  <w:tcW w:w="426" w:type="pct"/>
                  <w:tcBorders>
                    <w:tl2br w:val="nil"/>
                    <w:tr2bl w:val="nil"/>
                  </w:tcBorders>
                  <w:noWrap w:val="0"/>
                  <w:vAlign w:val="center"/>
                </w:tcPr>
                <w:p w14:paraId="37535F04">
                  <w:pPr>
                    <w:keepNext w:val="0"/>
                    <w:keepLines w:val="0"/>
                    <w:pageBreakBefore w:val="0"/>
                    <w:kinsoku/>
                    <w:wordWrap/>
                    <w:overflowPunct/>
                    <w:topLinePunct w:val="0"/>
                    <w:autoSpaceDE/>
                    <w:autoSpaceDN/>
                    <w:bidi w:val="0"/>
                    <w:spacing w:line="240" w:lineRule="auto"/>
                    <w:jc w:val="center"/>
                    <w:rPr>
                      <w:rFonts w:hint="eastAsia"/>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c>
                <w:tcPr>
                  <w:tcW w:w="497" w:type="pct"/>
                  <w:tcBorders>
                    <w:tl2br w:val="nil"/>
                    <w:tr2bl w:val="nil"/>
                  </w:tcBorders>
                  <w:noWrap w:val="0"/>
                  <w:vAlign w:val="center"/>
                </w:tcPr>
                <w:p w14:paraId="175AE5F4">
                  <w:pPr>
                    <w:widowControl/>
                    <w:adjustRightInd w:val="0"/>
                    <w:snapToGrid w:val="0"/>
                    <w:jc w:val="center"/>
                    <w:rPr>
                      <w:rFonts w:hint="eastAsia" w:ascii="Times New Roman" w:hAnsi="Times New Roman" w:eastAsia="宋体"/>
                      <w:caps w:val="0"/>
                      <w:color w:val="000000" w:themeColor="text1"/>
                      <w:szCs w:val="21"/>
                      <w:highlight w:val="none"/>
                      <w:lang w:val="en-US" w:eastAsia="zh-CN"/>
                      <w14:textFill>
                        <w14:solidFill>
                          <w14:schemeClr w14:val="tx1"/>
                        </w14:solidFill>
                      </w14:textFill>
                    </w:rPr>
                  </w:pPr>
                  <w:r>
                    <w:rPr>
                      <w:szCs w:val="21"/>
                    </w:rPr>
                    <w:t>6~9</w:t>
                  </w:r>
                </w:p>
              </w:tc>
              <w:tc>
                <w:tcPr>
                  <w:tcW w:w="437" w:type="pct"/>
                  <w:tcBorders>
                    <w:tl2br w:val="nil"/>
                    <w:tr2bl w:val="nil"/>
                  </w:tcBorders>
                  <w:shd w:val="clear" w:color="auto" w:fill="auto"/>
                  <w:noWrap w:val="0"/>
                  <w:vAlign w:val="center"/>
                </w:tcPr>
                <w:p w14:paraId="5F5743BC">
                  <w:pPr>
                    <w:keepNext w:val="0"/>
                    <w:keepLines w:val="0"/>
                    <w:pageBreakBefore w:val="0"/>
                    <w:kinsoku/>
                    <w:wordWrap/>
                    <w:overflowPunct/>
                    <w:topLinePunct w:val="0"/>
                    <w:autoSpaceDE/>
                    <w:autoSpaceDN/>
                    <w:bidi w:val="0"/>
                    <w:spacing w:line="240" w:lineRule="auto"/>
                    <w:jc w:val="center"/>
                    <w:rPr>
                      <w:rFonts w:hint="eastAsia"/>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w:t>
                  </w:r>
                </w:p>
              </w:tc>
            </w:tr>
            <w:tr w14:paraId="21E878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trPr>
              <w:tc>
                <w:tcPr>
                  <w:tcW w:w="466" w:type="pct"/>
                  <w:vMerge w:val="continue"/>
                  <w:tcBorders>
                    <w:tl2br w:val="nil"/>
                    <w:tr2bl w:val="nil"/>
                  </w:tcBorders>
                  <w:noWrap w:val="0"/>
                  <w:vAlign w:val="center"/>
                </w:tcPr>
                <w:p w14:paraId="357C30E5">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65BF65DE">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134CD8BD">
                  <w:pPr>
                    <w:widowControl/>
                    <w:adjustRightInd w:val="0"/>
                    <w:snapToGrid w:val="0"/>
                    <w:jc w:val="center"/>
                    <w:rPr>
                      <w:kern w:val="0"/>
                      <w:szCs w:val="21"/>
                    </w:rPr>
                  </w:pPr>
                  <w:r>
                    <w:rPr>
                      <w:kern w:val="0"/>
                      <w:szCs w:val="21"/>
                    </w:rPr>
                    <w:t>COD</w:t>
                  </w:r>
                </w:p>
              </w:tc>
              <w:tc>
                <w:tcPr>
                  <w:tcW w:w="548" w:type="pct"/>
                  <w:tcBorders>
                    <w:tl2br w:val="nil"/>
                    <w:tr2bl w:val="nil"/>
                  </w:tcBorders>
                  <w:noWrap w:val="0"/>
                  <w:vAlign w:val="center"/>
                </w:tcPr>
                <w:p w14:paraId="0CB25793">
                  <w:pPr>
                    <w:widowControl/>
                    <w:adjustRightInd w:val="0"/>
                    <w:snapToGrid w:val="0"/>
                    <w:jc w:val="center"/>
                    <w:rPr>
                      <w:rFonts w:eastAsia="宋体"/>
                      <w:szCs w:val="21"/>
                    </w:rPr>
                  </w:pPr>
                  <w:r>
                    <w:rPr>
                      <w:rFonts w:hint="eastAsia" w:eastAsia="宋体"/>
                      <w:szCs w:val="21"/>
                      <w:lang w:val="en-US" w:eastAsia="zh-CN"/>
                    </w:rPr>
                    <w:t xml:space="preserve">393.60 </w:t>
                  </w:r>
                </w:p>
              </w:tc>
              <w:tc>
                <w:tcPr>
                  <w:tcW w:w="593" w:type="pct"/>
                  <w:tcBorders>
                    <w:tl2br w:val="nil"/>
                    <w:tr2bl w:val="nil"/>
                  </w:tcBorders>
                  <w:noWrap w:val="0"/>
                  <w:vAlign w:val="center"/>
                </w:tcPr>
                <w:p w14:paraId="147C5071">
                  <w:pPr>
                    <w:widowControl/>
                    <w:adjustRightInd w:val="0"/>
                    <w:snapToGrid w:val="0"/>
                    <w:jc w:val="center"/>
                    <w:rPr>
                      <w:rFonts w:hint="eastAsia" w:eastAsia="宋体"/>
                      <w:szCs w:val="21"/>
                      <w:lang w:val="en-US" w:eastAsia="zh-CN"/>
                    </w:rPr>
                  </w:pPr>
                  <w:r>
                    <w:rPr>
                      <w:rFonts w:hint="eastAsia" w:eastAsia="宋体"/>
                      <w:szCs w:val="21"/>
                      <w:lang w:val="en-US" w:eastAsia="zh-CN"/>
                    </w:rPr>
                    <w:t>1.5996</w:t>
                  </w:r>
                </w:p>
              </w:tc>
              <w:tc>
                <w:tcPr>
                  <w:tcW w:w="409" w:type="pct"/>
                  <w:vMerge w:val="continue"/>
                  <w:tcBorders>
                    <w:tl2br w:val="nil"/>
                    <w:tr2bl w:val="nil"/>
                  </w:tcBorders>
                  <w:noWrap w:val="0"/>
                  <w:vAlign w:val="center"/>
                </w:tcPr>
                <w:p w14:paraId="4ADE75EE">
                  <w:pPr>
                    <w:widowControl/>
                    <w:adjustRightInd w:val="0"/>
                    <w:snapToGrid w:val="0"/>
                    <w:jc w:val="center"/>
                    <w:rPr>
                      <w:rFonts w:eastAsia="宋体"/>
                      <w:szCs w:val="21"/>
                    </w:rPr>
                  </w:pPr>
                </w:p>
              </w:tc>
              <w:tc>
                <w:tcPr>
                  <w:tcW w:w="363" w:type="pct"/>
                  <w:tcBorders>
                    <w:tl2br w:val="nil"/>
                    <w:tr2bl w:val="nil"/>
                  </w:tcBorders>
                  <w:noWrap w:val="0"/>
                  <w:vAlign w:val="center"/>
                </w:tcPr>
                <w:p w14:paraId="0340714A">
                  <w:pPr>
                    <w:widowControl/>
                    <w:adjustRightInd w:val="0"/>
                    <w:snapToGrid w:val="0"/>
                    <w:jc w:val="center"/>
                    <w:rPr>
                      <w:rFonts w:hint="eastAsia" w:eastAsia="宋体"/>
                      <w:szCs w:val="21"/>
                      <w:lang w:val="en-US" w:eastAsia="zh-CN"/>
                    </w:rPr>
                  </w:pPr>
                  <w:r>
                    <w:rPr>
                      <w:rFonts w:hint="eastAsia"/>
                      <w:szCs w:val="21"/>
                      <w:lang w:val="en-US" w:eastAsia="zh-CN"/>
                    </w:rPr>
                    <w:t>276.67</w:t>
                  </w:r>
                  <w:r>
                    <w:rPr>
                      <w:rFonts w:hint="eastAsia" w:eastAsia="宋体"/>
                      <w:szCs w:val="21"/>
                      <w:lang w:val="en-US" w:eastAsia="zh-CN"/>
                    </w:rPr>
                    <w:t xml:space="preserve"> </w:t>
                  </w:r>
                </w:p>
              </w:tc>
              <w:tc>
                <w:tcPr>
                  <w:tcW w:w="426" w:type="pct"/>
                  <w:tcBorders>
                    <w:tl2br w:val="nil"/>
                    <w:tr2bl w:val="nil"/>
                  </w:tcBorders>
                  <w:noWrap w:val="0"/>
                  <w:vAlign w:val="center"/>
                </w:tcPr>
                <w:p w14:paraId="221C9A4F">
                  <w:pPr>
                    <w:widowControl/>
                    <w:adjustRightInd w:val="0"/>
                    <w:snapToGrid w:val="0"/>
                    <w:jc w:val="center"/>
                    <w:rPr>
                      <w:rFonts w:hint="eastAsia" w:eastAsia="宋体"/>
                      <w:szCs w:val="21"/>
                      <w:lang w:val="en-US" w:eastAsia="zh-CN"/>
                    </w:rPr>
                  </w:pPr>
                  <w:r>
                    <w:rPr>
                      <w:rFonts w:hint="eastAsia" w:eastAsia="宋体"/>
                      <w:szCs w:val="21"/>
                      <w:lang w:val="en-US" w:eastAsia="zh-CN"/>
                    </w:rPr>
                    <w:t>1.1</w:t>
                  </w:r>
                  <w:r>
                    <w:rPr>
                      <w:rFonts w:hint="eastAsia"/>
                      <w:szCs w:val="21"/>
                      <w:lang w:val="en-US" w:eastAsia="zh-CN"/>
                    </w:rPr>
                    <w:t>24</w:t>
                  </w:r>
                  <w:r>
                    <w:rPr>
                      <w:rFonts w:hint="eastAsia" w:eastAsia="宋体"/>
                      <w:szCs w:val="21"/>
                      <w:lang w:val="en-US" w:eastAsia="zh-CN"/>
                    </w:rPr>
                    <w:t>4</w:t>
                  </w:r>
                </w:p>
              </w:tc>
              <w:tc>
                <w:tcPr>
                  <w:tcW w:w="497" w:type="pct"/>
                  <w:tcBorders>
                    <w:tl2br w:val="nil"/>
                    <w:tr2bl w:val="nil"/>
                  </w:tcBorders>
                  <w:noWrap w:val="0"/>
                  <w:vAlign w:val="center"/>
                </w:tcPr>
                <w:p w14:paraId="2855A0B8">
                  <w:pPr>
                    <w:keepNext w:val="0"/>
                    <w:keepLines w:val="0"/>
                    <w:pageBreakBefore w:val="0"/>
                    <w:kinsoku/>
                    <w:wordWrap/>
                    <w:overflowPunct/>
                    <w:topLinePunct w:val="0"/>
                    <w:autoSpaceDE/>
                    <w:autoSpaceDN/>
                    <w:bidi w:val="0"/>
                    <w:spacing w:line="240" w:lineRule="auto"/>
                    <w:jc w:val="center"/>
                    <w:rPr>
                      <w:rFonts w:hint="eastAsia"/>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50</w:t>
                  </w:r>
                </w:p>
              </w:tc>
              <w:tc>
                <w:tcPr>
                  <w:tcW w:w="702" w:type="dxa"/>
                  <w:tcBorders>
                    <w:tl2br w:val="nil"/>
                    <w:tr2bl w:val="nil"/>
                  </w:tcBorders>
                  <w:shd w:val="clear" w:color="auto" w:fill="auto"/>
                  <w:noWrap w:val="0"/>
                  <w:vAlign w:val="center"/>
                </w:tcPr>
                <w:p w14:paraId="6ED2FD16">
                  <w:pPr>
                    <w:widowControl/>
                    <w:adjustRightInd w:val="0"/>
                    <w:snapToGrid w:val="0"/>
                    <w:jc w:val="center"/>
                    <w:rPr>
                      <w:rFonts w:hint="eastAsia" w:eastAsia="宋体"/>
                      <w:szCs w:val="21"/>
                      <w:lang w:val="en-US" w:eastAsia="zh-CN"/>
                    </w:rPr>
                  </w:pPr>
                  <w:r>
                    <w:rPr>
                      <w:rFonts w:hint="eastAsia" w:eastAsia="宋体"/>
                      <w:szCs w:val="21"/>
                      <w:lang w:val="en-US" w:eastAsia="zh-CN"/>
                    </w:rPr>
                    <w:t>0.2032</w:t>
                  </w:r>
                </w:p>
              </w:tc>
            </w:tr>
            <w:tr w14:paraId="16FF3C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trPr>
              <w:tc>
                <w:tcPr>
                  <w:tcW w:w="466" w:type="pct"/>
                  <w:vMerge w:val="continue"/>
                  <w:tcBorders>
                    <w:tl2br w:val="nil"/>
                    <w:tr2bl w:val="nil"/>
                  </w:tcBorders>
                  <w:noWrap w:val="0"/>
                  <w:vAlign w:val="center"/>
                </w:tcPr>
                <w:p w14:paraId="7C2B8839">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1E97BC23">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36247B92">
                  <w:pPr>
                    <w:widowControl/>
                    <w:adjustRightInd w:val="0"/>
                    <w:snapToGrid w:val="0"/>
                    <w:jc w:val="center"/>
                    <w:rPr>
                      <w:kern w:val="0"/>
                      <w:szCs w:val="21"/>
                    </w:rPr>
                  </w:pPr>
                  <w:r>
                    <w:rPr>
                      <w:kern w:val="0"/>
                      <w:szCs w:val="21"/>
                    </w:rPr>
                    <w:t>BOD</w:t>
                  </w:r>
                  <w:r>
                    <w:rPr>
                      <w:kern w:val="0"/>
                      <w:szCs w:val="21"/>
                      <w:vertAlign w:val="subscript"/>
                    </w:rPr>
                    <w:t>5</w:t>
                  </w:r>
                </w:p>
              </w:tc>
              <w:tc>
                <w:tcPr>
                  <w:tcW w:w="548" w:type="pct"/>
                  <w:tcBorders>
                    <w:tl2br w:val="nil"/>
                    <w:tr2bl w:val="nil"/>
                  </w:tcBorders>
                  <w:noWrap w:val="0"/>
                  <w:vAlign w:val="center"/>
                </w:tcPr>
                <w:p w14:paraId="15886237">
                  <w:pPr>
                    <w:widowControl/>
                    <w:adjustRightInd w:val="0"/>
                    <w:snapToGrid w:val="0"/>
                    <w:jc w:val="center"/>
                    <w:rPr>
                      <w:rFonts w:eastAsia="宋体"/>
                      <w:szCs w:val="21"/>
                    </w:rPr>
                  </w:pPr>
                  <w:r>
                    <w:rPr>
                      <w:rFonts w:hint="eastAsia" w:eastAsia="宋体"/>
                      <w:szCs w:val="21"/>
                      <w:lang w:val="en-US" w:eastAsia="zh-CN"/>
                    </w:rPr>
                    <w:t xml:space="preserve">195.40 </w:t>
                  </w:r>
                </w:p>
              </w:tc>
              <w:tc>
                <w:tcPr>
                  <w:tcW w:w="593" w:type="pct"/>
                  <w:tcBorders>
                    <w:tl2br w:val="nil"/>
                    <w:tr2bl w:val="nil"/>
                  </w:tcBorders>
                  <w:noWrap w:val="0"/>
                  <w:vAlign w:val="center"/>
                </w:tcPr>
                <w:p w14:paraId="382A20D0">
                  <w:pPr>
                    <w:widowControl/>
                    <w:adjustRightInd w:val="0"/>
                    <w:snapToGrid w:val="0"/>
                    <w:jc w:val="center"/>
                    <w:rPr>
                      <w:rFonts w:hint="eastAsia" w:eastAsia="宋体"/>
                      <w:szCs w:val="21"/>
                      <w:lang w:val="en-US" w:eastAsia="zh-CN"/>
                    </w:rPr>
                  </w:pPr>
                  <w:r>
                    <w:rPr>
                      <w:rFonts w:hint="eastAsia" w:eastAsia="宋体"/>
                      <w:szCs w:val="21"/>
                      <w:lang w:val="en-US" w:eastAsia="zh-CN"/>
                    </w:rPr>
                    <w:t>0.7941</w:t>
                  </w:r>
                </w:p>
              </w:tc>
              <w:tc>
                <w:tcPr>
                  <w:tcW w:w="409" w:type="pct"/>
                  <w:vMerge w:val="continue"/>
                  <w:tcBorders>
                    <w:tl2br w:val="nil"/>
                    <w:tr2bl w:val="nil"/>
                  </w:tcBorders>
                  <w:noWrap w:val="0"/>
                  <w:vAlign w:val="center"/>
                </w:tcPr>
                <w:p w14:paraId="6D078913">
                  <w:pPr>
                    <w:widowControl/>
                    <w:adjustRightInd w:val="0"/>
                    <w:snapToGrid w:val="0"/>
                    <w:jc w:val="center"/>
                    <w:rPr>
                      <w:rFonts w:eastAsia="宋体"/>
                      <w:szCs w:val="21"/>
                    </w:rPr>
                  </w:pPr>
                </w:p>
              </w:tc>
              <w:tc>
                <w:tcPr>
                  <w:tcW w:w="363" w:type="pct"/>
                  <w:tcBorders>
                    <w:tl2br w:val="nil"/>
                    <w:tr2bl w:val="nil"/>
                  </w:tcBorders>
                  <w:noWrap w:val="0"/>
                  <w:vAlign w:val="center"/>
                </w:tcPr>
                <w:p w14:paraId="54D6AEB4">
                  <w:pPr>
                    <w:widowControl/>
                    <w:adjustRightInd w:val="0"/>
                    <w:snapToGrid w:val="0"/>
                    <w:jc w:val="center"/>
                    <w:rPr>
                      <w:rFonts w:hint="default" w:eastAsia="宋体"/>
                      <w:szCs w:val="21"/>
                      <w:lang w:val="en-US" w:eastAsia="zh-CN"/>
                    </w:rPr>
                  </w:pPr>
                  <w:r>
                    <w:rPr>
                      <w:rFonts w:hint="eastAsia"/>
                      <w:szCs w:val="21"/>
                      <w:lang w:val="en-US" w:eastAsia="zh-CN"/>
                    </w:rPr>
                    <w:t>146.68</w:t>
                  </w:r>
                </w:p>
              </w:tc>
              <w:tc>
                <w:tcPr>
                  <w:tcW w:w="426" w:type="pct"/>
                  <w:tcBorders>
                    <w:tl2br w:val="nil"/>
                    <w:tr2bl w:val="nil"/>
                  </w:tcBorders>
                  <w:noWrap w:val="0"/>
                  <w:vAlign w:val="center"/>
                </w:tcPr>
                <w:p w14:paraId="1B7797AA">
                  <w:pPr>
                    <w:widowControl/>
                    <w:adjustRightInd w:val="0"/>
                    <w:snapToGrid w:val="0"/>
                    <w:jc w:val="center"/>
                    <w:rPr>
                      <w:rFonts w:hint="default" w:eastAsia="宋体"/>
                      <w:szCs w:val="21"/>
                      <w:lang w:val="en-US" w:eastAsia="zh-CN"/>
                    </w:rPr>
                  </w:pPr>
                  <w:r>
                    <w:rPr>
                      <w:rFonts w:hint="eastAsia" w:eastAsia="宋体"/>
                      <w:szCs w:val="21"/>
                      <w:lang w:val="en-US" w:eastAsia="zh-CN"/>
                    </w:rPr>
                    <w:t>0.59</w:t>
                  </w:r>
                  <w:r>
                    <w:rPr>
                      <w:rFonts w:hint="eastAsia"/>
                      <w:szCs w:val="21"/>
                      <w:lang w:val="en-US" w:eastAsia="zh-CN"/>
                    </w:rPr>
                    <w:t>61</w:t>
                  </w:r>
                </w:p>
              </w:tc>
              <w:tc>
                <w:tcPr>
                  <w:tcW w:w="497" w:type="pct"/>
                  <w:tcBorders>
                    <w:tl2br w:val="nil"/>
                    <w:tr2bl w:val="nil"/>
                  </w:tcBorders>
                  <w:noWrap w:val="0"/>
                  <w:vAlign w:val="center"/>
                </w:tcPr>
                <w:p w14:paraId="4AEF85E5">
                  <w:pPr>
                    <w:keepNext w:val="0"/>
                    <w:keepLines w:val="0"/>
                    <w:pageBreakBefore w:val="0"/>
                    <w:kinsoku/>
                    <w:wordWrap/>
                    <w:overflowPunct/>
                    <w:topLinePunct w:val="0"/>
                    <w:autoSpaceDE/>
                    <w:autoSpaceDN/>
                    <w:bidi w:val="0"/>
                    <w:spacing w:line="240" w:lineRule="auto"/>
                    <w:jc w:val="center"/>
                    <w:rPr>
                      <w:rFonts w:hint="eastAsia"/>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10</w:t>
                  </w:r>
                </w:p>
              </w:tc>
              <w:tc>
                <w:tcPr>
                  <w:tcW w:w="702" w:type="dxa"/>
                  <w:tcBorders>
                    <w:tl2br w:val="nil"/>
                    <w:tr2bl w:val="nil"/>
                  </w:tcBorders>
                  <w:shd w:val="clear" w:color="auto" w:fill="auto"/>
                  <w:noWrap w:val="0"/>
                  <w:vAlign w:val="center"/>
                </w:tcPr>
                <w:p w14:paraId="6A2ABC29">
                  <w:pPr>
                    <w:widowControl/>
                    <w:adjustRightInd w:val="0"/>
                    <w:snapToGrid w:val="0"/>
                    <w:jc w:val="center"/>
                    <w:rPr>
                      <w:rFonts w:hint="eastAsia" w:eastAsia="宋体"/>
                      <w:szCs w:val="21"/>
                      <w:lang w:val="en-US" w:eastAsia="zh-CN"/>
                    </w:rPr>
                  </w:pPr>
                  <w:r>
                    <w:rPr>
                      <w:rFonts w:hint="eastAsia" w:eastAsia="宋体"/>
                      <w:szCs w:val="21"/>
                      <w:lang w:val="en-US" w:eastAsia="zh-CN"/>
                    </w:rPr>
                    <w:t>0.0406</w:t>
                  </w:r>
                </w:p>
              </w:tc>
            </w:tr>
            <w:tr w14:paraId="4A06D4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trPr>
              <w:tc>
                <w:tcPr>
                  <w:tcW w:w="466" w:type="pct"/>
                  <w:vMerge w:val="continue"/>
                  <w:tcBorders>
                    <w:tl2br w:val="nil"/>
                    <w:tr2bl w:val="nil"/>
                  </w:tcBorders>
                  <w:noWrap w:val="0"/>
                  <w:vAlign w:val="center"/>
                </w:tcPr>
                <w:p w14:paraId="3BB14F0B">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6F2DECEF">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7C2F1019">
                  <w:pPr>
                    <w:widowControl/>
                    <w:adjustRightInd w:val="0"/>
                    <w:snapToGrid w:val="0"/>
                    <w:jc w:val="center"/>
                    <w:rPr>
                      <w:kern w:val="0"/>
                      <w:szCs w:val="21"/>
                    </w:rPr>
                  </w:pPr>
                  <w:r>
                    <w:rPr>
                      <w:kern w:val="0"/>
                      <w:szCs w:val="21"/>
                    </w:rPr>
                    <w:t>SS</w:t>
                  </w:r>
                </w:p>
              </w:tc>
              <w:tc>
                <w:tcPr>
                  <w:tcW w:w="548" w:type="pct"/>
                  <w:tcBorders>
                    <w:tl2br w:val="nil"/>
                    <w:tr2bl w:val="nil"/>
                  </w:tcBorders>
                  <w:noWrap w:val="0"/>
                  <w:vAlign w:val="center"/>
                </w:tcPr>
                <w:p w14:paraId="21DBE1A1">
                  <w:pPr>
                    <w:widowControl/>
                    <w:adjustRightInd w:val="0"/>
                    <w:snapToGrid w:val="0"/>
                    <w:jc w:val="center"/>
                    <w:rPr>
                      <w:rFonts w:eastAsia="宋体"/>
                      <w:szCs w:val="21"/>
                    </w:rPr>
                  </w:pPr>
                  <w:r>
                    <w:rPr>
                      <w:rFonts w:hint="eastAsia" w:eastAsia="宋体"/>
                      <w:szCs w:val="21"/>
                      <w:lang w:val="en-US" w:eastAsia="zh-CN"/>
                    </w:rPr>
                    <w:t xml:space="preserve">202.56 </w:t>
                  </w:r>
                </w:p>
              </w:tc>
              <w:tc>
                <w:tcPr>
                  <w:tcW w:w="593" w:type="pct"/>
                  <w:tcBorders>
                    <w:tl2br w:val="nil"/>
                    <w:tr2bl w:val="nil"/>
                  </w:tcBorders>
                  <w:noWrap w:val="0"/>
                  <w:vAlign w:val="center"/>
                </w:tcPr>
                <w:p w14:paraId="6CF12C99">
                  <w:pPr>
                    <w:widowControl/>
                    <w:adjustRightInd w:val="0"/>
                    <w:snapToGrid w:val="0"/>
                    <w:jc w:val="center"/>
                    <w:rPr>
                      <w:rFonts w:hint="eastAsia" w:eastAsia="宋体"/>
                      <w:szCs w:val="21"/>
                      <w:lang w:val="en-US" w:eastAsia="zh-CN"/>
                    </w:rPr>
                  </w:pPr>
                  <w:r>
                    <w:rPr>
                      <w:rFonts w:hint="eastAsia" w:eastAsia="宋体"/>
                      <w:szCs w:val="21"/>
                      <w:lang w:val="en-US" w:eastAsia="zh-CN"/>
                    </w:rPr>
                    <w:t>0.8232</w:t>
                  </w:r>
                </w:p>
              </w:tc>
              <w:tc>
                <w:tcPr>
                  <w:tcW w:w="409" w:type="pct"/>
                  <w:vMerge w:val="continue"/>
                  <w:tcBorders>
                    <w:tl2br w:val="nil"/>
                    <w:tr2bl w:val="nil"/>
                  </w:tcBorders>
                  <w:noWrap w:val="0"/>
                  <w:vAlign w:val="center"/>
                </w:tcPr>
                <w:p w14:paraId="1E115456">
                  <w:pPr>
                    <w:widowControl/>
                    <w:adjustRightInd w:val="0"/>
                    <w:snapToGrid w:val="0"/>
                    <w:jc w:val="center"/>
                    <w:rPr>
                      <w:rFonts w:eastAsia="宋体"/>
                      <w:szCs w:val="21"/>
                    </w:rPr>
                  </w:pPr>
                </w:p>
              </w:tc>
              <w:tc>
                <w:tcPr>
                  <w:tcW w:w="363" w:type="pct"/>
                  <w:tcBorders>
                    <w:tl2br w:val="nil"/>
                    <w:tr2bl w:val="nil"/>
                  </w:tcBorders>
                  <w:noWrap w:val="0"/>
                  <w:vAlign w:val="center"/>
                </w:tcPr>
                <w:p w14:paraId="768DDBDE">
                  <w:pPr>
                    <w:widowControl/>
                    <w:adjustRightInd w:val="0"/>
                    <w:snapToGrid w:val="0"/>
                    <w:jc w:val="center"/>
                    <w:rPr>
                      <w:rFonts w:hint="default" w:eastAsia="宋体"/>
                      <w:szCs w:val="21"/>
                      <w:lang w:val="en-US" w:eastAsia="zh-CN"/>
                    </w:rPr>
                  </w:pPr>
                  <w:r>
                    <w:rPr>
                      <w:rFonts w:hint="eastAsia"/>
                      <w:szCs w:val="21"/>
                      <w:lang w:val="en-US" w:eastAsia="zh-CN"/>
                    </w:rPr>
                    <w:t>159.74</w:t>
                  </w:r>
                </w:p>
              </w:tc>
              <w:tc>
                <w:tcPr>
                  <w:tcW w:w="426" w:type="pct"/>
                  <w:tcBorders>
                    <w:tl2br w:val="nil"/>
                    <w:tr2bl w:val="nil"/>
                  </w:tcBorders>
                  <w:noWrap w:val="0"/>
                  <w:vAlign w:val="center"/>
                </w:tcPr>
                <w:p w14:paraId="29941917">
                  <w:pPr>
                    <w:widowControl/>
                    <w:adjustRightInd w:val="0"/>
                    <w:snapToGrid w:val="0"/>
                    <w:jc w:val="center"/>
                    <w:rPr>
                      <w:rFonts w:hint="default" w:eastAsia="宋体"/>
                      <w:szCs w:val="21"/>
                      <w:lang w:val="en-US" w:eastAsia="zh-CN"/>
                    </w:rPr>
                  </w:pPr>
                  <w:r>
                    <w:rPr>
                      <w:rFonts w:hint="eastAsia" w:eastAsia="宋体"/>
                      <w:szCs w:val="21"/>
                      <w:lang w:val="en-US" w:eastAsia="zh-CN"/>
                    </w:rPr>
                    <w:t>0.6</w:t>
                  </w:r>
                  <w:r>
                    <w:rPr>
                      <w:rFonts w:hint="eastAsia"/>
                      <w:szCs w:val="21"/>
                      <w:lang w:val="en-US" w:eastAsia="zh-CN"/>
                    </w:rPr>
                    <w:t>492</w:t>
                  </w:r>
                </w:p>
              </w:tc>
              <w:tc>
                <w:tcPr>
                  <w:tcW w:w="497" w:type="pct"/>
                  <w:tcBorders>
                    <w:tl2br w:val="nil"/>
                    <w:tr2bl w:val="nil"/>
                  </w:tcBorders>
                  <w:noWrap w:val="0"/>
                  <w:vAlign w:val="center"/>
                </w:tcPr>
                <w:p w14:paraId="7D129B94">
                  <w:pPr>
                    <w:keepNext w:val="0"/>
                    <w:keepLines w:val="0"/>
                    <w:pageBreakBefore w:val="0"/>
                    <w:kinsoku/>
                    <w:wordWrap/>
                    <w:overflowPunct/>
                    <w:topLinePunct w:val="0"/>
                    <w:autoSpaceDE/>
                    <w:autoSpaceDN/>
                    <w:bidi w:val="0"/>
                    <w:spacing w:line="240" w:lineRule="auto"/>
                    <w:jc w:val="center"/>
                    <w:rPr>
                      <w:rFonts w:hint="eastAsia"/>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10</w:t>
                  </w:r>
                </w:p>
              </w:tc>
              <w:tc>
                <w:tcPr>
                  <w:tcW w:w="702" w:type="dxa"/>
                  <w:tcBorders>
                    <w:tl2br w:val="nil"/>
                    <w:tr2bl w:val="nil"/>
                  </w:tcBorders>
                  <w:shd w:val="clear" w:color="auto" w:fill="auto"/>
                  <w:noWrap w:val="0"/>
                  <w:vAlign w:val="center"/>
                </w:tcPr>
                <w:p w14:paraId="63F58AF0">
                  <w:pPr>
                    <w:widowControl/>
                    <w:adjustRightInd w:val="0"/>
                    <w:snapToGrid w:val="0"/>
                    <w:jc w:val="center"/>
                    <w:rPr>
                      <w:rFonts w:hint="eastAsia" w:eastAsia="宋体"/>
                      <w:szCs w:val="21"/>
                      <w:lang w:val="en-US" w:eastAsia="zh-CN"/>
                    </w:rPr>
                  </w:pPr>
                  <w:r>
                    <w:rPr>
                      <w:rFonts w:hint="eastAsia" w:eastAsia="宋体"/>
                      <w:szCs w:val="21"/>
                      <w:lang w:val="en-US" w:eastAsia="zh-CN"/>
                    </w:rPr>
                    <w:t>0.0406</w:t>
                  </w:r>
                </w:p>
              </w:tc>
            </w:tr>
            <w:tr w14:paraId="0DB94A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trPr>
              <w:tc>
                <w:tcPr>
                  <w:tcW w:w="466" w:type="pct"/>
                  <w:vMerge w:val="continue"/>
                  <w:tcBorders>
                    <w:tl2br w:val="nil"/>
                    <w:tr2bl w:val="nil"/>
                  </w:tcBorders>
                  <w:noWrap w:val="0"/>
                  <w:vAlign w:val="center"/>
                </w:tcPr>
                <w:p w14:paraId="17B32152">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633484C8">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58243A4C">
                  <w:pPr>
                    <w:widowControl/>
                    <w:adjustRightInd w:val="0"/>
                    <w:snapToGrid w:val="0"/>
                    <w:jc w:val="center"/>
                    <w:rPr>
                      <w:kern w:val="0"/>
                      <w:szCs w:val="21"/>
                    </w:rPr>
                  </w:pPr>
                  <w:r>
                    <w:rPr>
                      <w:kern w:val="0"/>
                      <w:szCs w:val="21"/>
                    </w:rPr>
                    <w:t>NH</w:t>
                  </w:r>
                  <w:r>
                    <w:rPr>
                      <w:kern w:val="0"/>
                      <w:szCs w:val="21"/>
                      <w:vertAlign w:val="subscript"/>
                    </w:rPr>
                    <w:t>3</w:t>
                  </w:r>
                  <w:r>
                    <w:rPr>
                      <w:kern w:val="0"/>
                      <w:szCs w:val="21"/>
                    </w:rPr>
                    <w:t>-N</w:t>
                  </w:r>
                </w:p>
              </w:tc>
              <w:tc>
                <w:tcPr>
                  <w:tcW w:w="548" w:type="pct"/>
                  <w:tcBorders>
                    <w:tl2br w:val="nil"/>
                    <w:tr2bl w:val="nil"/>
                  </w:tcBorders>
                  <w:noWrap w:val="0"/>
                  <w:vAlign w:val="center"/>
                </w:tcPr>
                <w:p w14:paraId="060E784E">
                  <w:pPr>
                    <w:widowControl/>
                    <w:adjustRightInd w:val="0"/>
                    <w:snapToGrid w:val="0"/>
                    <w:jc w:val="center"/>
                    <w:rPr>
                      <w:rFonts w:eastAsia="宋体"/>
                      <w:szCs w:val="21"/>
                    </w:rPr>
                  </w:pPr>
                  <w:r>
                    <w:rPr>
                      <w:rFonts w:hint="eastAsia" w:eastAsia="宋体"/>
                      <w:szCs w:val="21"/>
                      <w:lang w:val="en-US" w:eastAsia="zh-CN"/>
                    </w:rPr>
                    <w:t xml:space="preserve">29.53 </w:t>
                  </w:r>
                </w:p>
              </w:tc>
              <w:tc>
                <w:tcPr>
                  <w:tcW w:w="593" w:type="pct"/>
                  <w:tcBorders>
                    <w:tl2br w:val="nil"/>
                    <w:tr2bl w:val="nil"/>
                  </w:tcBorders>
                  <w:noWrap w:val="0"/>
                  <w:vAlign w:val="center"/>
                </w:tcPr>
                <w:p w14:paraId="45088DF7">
                  <w:pPr>
                    <w:widowControl/>
                    <w:adjustRightInd w:val="0"/>
                    <w:snapToGrid w:val="0"/>
                    <w:jc w:val="center"/>
                    <w:rPr>
                      <w:rFonts w:hint="eastAsia" w:eastAsia="宋体"/>
                      <w:szCs w:val="21"/>
                      <w:lang w:val="en-US" w:eastAsia="zh-CN"/>
                    </w:rPr>
                  </w:pPr>
                  <w:r>
                    <w:rPr>
                      <w:rFonts w:hint="eastAsia" w:eastAsia="宋体"/>
                      <w:szCs w:val="21"/>
                      <w:lang w:val="en-US" w:eastAsia="zh-CN"/>
                    </w:rPr>
                    <w:t>0.12</w:t>
                  </w:r>
                </w:p>
              </w:tc>
              <w:tc>
                <w:tcPr>
                  <w:tcW w:w="409" w:type="pct"/>
                  <w:vMerge w:val="continue"/>
                  <w:tcBorders>
                    <w:tl2br w:val="nil"/>
                    <w:tr2bl w:val="nil"/>
                  </w:tcBorders>
                  <w:noWrap w:val="0"/>
                  <w:vAlign w:val="center"/>
                </w:tcPr>
                <w:p w14:paraId="3667310B">
                  <w:pPr>
                    <w:widowControl/>
                    <w:adjustRightInd w:val="0"/>
                    <w:snapToGrid w:val="0"/>
                    <w:jc w:val="center"/>
                    <w:rPr>
                      <w:rFonts w:eastAsia="宋体"/>
                      <w:szCs w:val="21"/>
                    </w:rPr>
                  </w:pPr>
                </w:p>
              </w:tc>
              <w:tc>
                <w:tcPr>
                  <w:tcW w:w="363" w:type="pct"/>
                  <w:tcBorders>
                    <w:tl2br w:val="nil"/>
                    <w:tr2bl w:val="nil"/>
                  </w:tcBorders>
                  <w:noWrap w:val="0"/>
                  <w:vAlign w:val="center"/>
                </w:tcPr>
                <w:p w14:paraId="6A98C5E2">
                  <w:pPr>
                    <w:widowControl/>
                    <w:adjustRightInd w:val="0"/>
                    <w:snapToGrid w:val="0"/>
                    <w:jc w:val="center"/>
                    <w:rPr>
                      <w:rFonts w:hint="eastAsia" w:eastAsia="宋体"/>
                      <w:szCs w:val="21"/>
                      <w:lang w:val="en-US" w:eastAsia="zh-CN"/>
                    </w:rPr>
                  </w:pPr>
                  <w:r>
                    <w:rPr>
                      <w:rFonts w:hint="eastAsia"/>
                      <w:szCs w:val="21"/>
                      <w:lang w:val="en-US" w:eastAsia="zh-CN"/>
                    </w:rPr>
                    <w:t>29.48</w:t>
                  </w:r>
                  <w:r>
                    <w:rPr>
                      <w:rFonts w:hint="eastAsia" w:eastAsia="宋体"/>
                      <w:szCs w:val="21"/>
                      <w:lang w:val="en-US" w:eastAsia="zh-CN"/>
                    </w:rPr>
                    <w:t xml:space="preserve"> </w:t>
                  </w:r>
                </w:p>
              </w:tc>
              <w:tc>
                <w:tcPr>
                  <w:tcW w:w="426" w:type="pct"/>
                  <w:tcBorders>
                    <w:tl2br w:val="nil"/>
                    <w:tr2bl w:val="nil"/>
                  </w:tcBorders>
                  <w:noWrap w:val="0"/>
                  <w:vAlign w:val="center"/>
                </w:tcPr>
                <w:p w14:paraId="696FF2E7">
                  <w:pPr>
                    <w:widowControl/>
                    <w:adjustRightInd w:val="0"/>
                    <w:snapToGrid w:val="0"/>
                    <w:jc w:val="center"/>
                    <w:rPr>
                      <w:rFonts w:hint="default" w:eastAsia="宋体"/>
                      <w:szCs w:val="21"/>
                      <w:lang w:val="en-US" w:eastAsia="zh-CN"/>
                    </w:rPr>
                  </w:pPr>
                  <w:r>
                    <w:rPr>
                      <w:rFonts w:hint="eastAsia" w:eastAsia="宋体"/>
                      <w:szCs w:val="21"/>
                      <w:lang w:val="en-US" w:eastAsia="zh-CN"/>
                    </w:rPr>
                    <w:t>0.1</w:t>
                  </w:r>
                  <w:r>
                    <w:rPr>
                      <w:rFonts w:hint="eastAsia"/>
                      <w:szCs w:val="21"/>
                      <w:lang w:val="en-US" w:eastAsia="zh-CN"/>
                    </w:rPr>
                    <w:t>198</w:t>
                  </w:r>
                </w:p>
              </w:tc>
              <w:tc>
                <w:tcPr>
                  <w:tcW w:w="497" w:type="pct"/>
                  <w:tcBorders>
                    <w:tl2br w:val="nil"/>
                    <w:tr2bl w:val="nil"/>
                  </w:tcBorders>
                  <w:noWrap w:val="0"/>
                  <w:vAlign w:val="center"/>
                </w:tcPr>
                <w:p w14:paraId="4756DC80">
                  <w:pPr>
                    <w:keepNext w:val="0"/>
                    <w:keepLines w:val="0"/>
                    <w:pageBreakBefore w:val="0"/>
                    <w:kinsoku/>
                    <w:wordWrap/>
                    <w:overflowPunct/>
                    <w:topLinePunct w:val="0"/>
                    <w:autoSpaceDE/>
                    <w:autoSpaceDN/>
                    <w:bidi w:val="0"/>
                    <w:spacing w:line="240" w:lineRule="auto"/>
                    <w:jc w:val="center"/>
                    <w:rPr>
                      <w:rFonts w:hint="eastAsia"/>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5</w:t>
                  </w:r>
                </w:p>
              </w:tc>
              <w:tc>
                <w:tcPr>
                  <w:tcW w:w="702" w:type="dxa"/>
                  <w:tcBorders>
                    <w:tl2br w:val="nil"/>
                    <w:tr2bl w:val="nil"/>
                  </w:tcBorders>
                  <w:shd w:val="clear" w:color="auto" w:fill="auto"/>
                  <w:noWrap w:val="0"/>
                  <w:vAlign w:val="center"/>
                </w:tcPr>
                <w:p w14:paraId="3664876A">
                  <w:pPr>
                    <w:widowControl/>
                    <w:adjustRightInd w:val="0"/>
                    <w:snapToGrid w:val="0"/>
                    <w:jc w:val="center"/>
                    <w:rPr>
                      <w:rFonts w:hint="eastAsia" w:eastAsia="宋体"/>
                      <w:szCs w:val="21"/>
                      <w:lang w:val="en-US" w:eastAsia="zh-CN"/>
                    </w:rPr>
                  </w:pPr>
                  <w:r>
                    <w:rPr>
                      <w:rFonts w:hint="eastAsia" w:eastAsia="宋体"/>
                      <w:szCs w:val="21"/>
                      <w:lang w:val="en-US" w:eastAsia="zh-CN"/>
                    </w:rPr>
                    <w:t>0.0203</w:t>
                  </w:r>
                </w:p>
              </w:tc>
            </w:tr>
            <w:tr w14:paraId="5E2C2C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trPr>
              <w:tc>
                <w:tcPr>
                  <w:tcW w:w="466" w:type="pct"/>
                  <w:vMerge w:val="continue"/>
                  <w:tcBorders>
                    <w:tl2br w:val="nil"/>
                    <w:tr2bl w:val="nil"/>
                  </w:tcBorders>
                  <w:noWrap w:val="0"/>
                  <w:vAlign w:val="center"/>
                </w:tcPr>
                <w:p w14:paraId="2A450394">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394" w:type="pct"/>
                  <w:vMerge w:val="continue"/>
                  <w:tcBorders>
                    <w:tl2br w:val="nil"/>
                    <w:tr2bl w:val="nil"/>
                  </w:tcBorders>
                  <w:noWrap w:val="0"/>
                  <w:vAlign w:val="center"/>
                </w:tcPr>
                <w:p w14:paraId="1EBE0173">
                  <w:pPr>
                    <w:keepNext w:val="0"/>
                    <w:keepLines w:val="0"/>
                    <w:pageBreakBefore w:val="0"/>
                    <w:widowControl/>
                    <w:kinsoku/>
                    <w:wordWrap/>
                    <w:overflowPunct/>
                    <w:topLinePunct w:val="0"/>
                    <w:autoSpaceDE/>
                    <w:autoSpaceDN/>
                    <w:bidi w:val="0"/>
                    <w:spacing w:line="240" w:lineRule="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860" w:type="pct"/>
                  <w:tcBorders>
                    <w:tl2br w:val="nil"/>
                    <w:tr2bl w:val="nil"/>
                  </w:tcBorders>
                  <w:noWrap w:val="0"/>
                  <w:vAlign w:val="center"/>
                </w:tcPr>
                <w:p w14:paraId="3C7FD92A">
                  <w:pPr>
                    <w:widowControl/>
                    <w:adjustRightInd w:val="0"/>
                    <w:snapToGrid w:val="0"/>
                    <w:jc w:val="center"/>
                    <w:rPr>
                      <w:kern w:val="0"/>
                      <w:szCs w:val="21"/>
                    </w:rPr>
                  </w:pPr>
                  <w:r>
                    <w:rPr>
                      <w:kern w:val="0"/>
                      <w:szCs w:val="21"/>
                    </w:rPr>
                    <w:t>动植物油</w:t>
                  </w:r>
                </w:p>
              </w:tc>
              <w:tc>
                <w:tcPr>
                  <w:tcW w:w="548" w:type="pct"/>
                  <w:tcBorders>
                    <w:tl2br w:val="nil"/>
                    <w:tr2bl w:val="nil"/>
                  </w:tcBorders>
                  <w:noWrap w:val="0"/>
                  <w:vAlign w:val="center"/>
                </w:tcPr>
                <w:p w14:paraId="71019D6E">
                  <w:pPr>
                    <w:widowControl/>
                    <w:adjustRightInd w:val="0"/>
                    <w:snapToGrid w:val="0"/>
                    <w:jc w:val="center"/>
                    <w:rPr>
                      <w:rFonts w:eastAsia="宋体"/>
                      <w:szCs w:val="21"/>
                    </w:rPr>
                  </w:pPr>
                  <w:r>
                    <w:rPr>
                      <w:rFonts w:hint="eastAsia" w:eastAsia="宋体"/>
                      <w:szCs w:val="21"/>
                      <w:lang w:val="en-US" w:eastAsia="zh-CN"/>
                    </w:rPr>
                    <w:t xml:space="preserve">97.69 </w:t>
                  </w:r>
                </w:p>
              </w:tc>
              <w:tc>
                <w:tcPr>
                  <w:tcW w:w="593" w:type="pct"/>
                  <w:tcBorders>
                    <w:tl2br w:val="nil"/>
                    <w:tr2bl w:val="nil"/>
                  </w:tcBorders>
                  <w:noWrap w:val="0"/>
                  <w:vAlign w:val="center"/>
                </w:tcPr>
                <w:p w14:paraId="1B3425E9">
                  <w:pPr>
                    <w:widowControl/>
                    <w:adjustRightInd w:val="0"/>
                    <w:snapToGrid w:val="0"/>
                    <w:jc w:val="center"/>
                    <w:rPr>
                      <w:rFonts w:hint="eastAsia" w:eastAsia="宋体"/>
                      <w:szCs w:val="21"/>
                      <w:lang w:val="en-US" w:eastAsia="zh-CN"/>
                    </w:rPr>
                  </w:pPr>
                  <w:r>
                    <w:rPr>
                      <w:rFonts w:hint="eastAsia" w:eastAsia="宋体"/>
                      <w:szCs w:val="21"/>
                      <w:lang w:val="en-US" w:eastAsia="zh-CN"/>
                    </w:rPr>
                    <w:t>0.397</w:t>
                  </w:r>
                </w:p>
              </w:tc>
              <w:tc>
                <w:tcPr>
                  <w:tcW w:w="409" w:type="pct"/>
                  <w:vMerge w:val="continue"/>
                  <w:tcBorders>
                    <w:tl2br w:val="nil"/>
                    <w:tr2bl w:val="nil"/>
                  </w:tcBorders>
                  <w:noWrap w:val="0"/>
                  <w:vAlign w:val="center"/>
                </w:tcPr>
                <w:p w14:paraId="1BAD6C09">
                  <w:pPr>
                    <w:widowControl/>
                    <w:adjustRightInd w:val="0"/>
                    <w:snapToGrid w:val="0"/>
                    <w:jc w:val="center"/>
                    <w:rPr>
                      <w:rFonts w:eastAsia="宋体"/>
                      <w:szCs w:val="21"/>
                    </w:rPr>
                  </w:pPr>
                </w:p>
              </w:tc>
              <w:tc>
                <w:tcPr>
                  <w:tcW w:w="363" w:type="pct"/>
                  <w:tcBorders>
                    <w:tl2br w:val="nil"/>
                    <w:tr2bl w:val="nil"/>
                  </w:tcBorders>
                  <w:noWrap w:val="0"/>
                  <w:vAlign w:val="center"/>
                </w:tcPr>
                <w:p w14:paraId="60C2CC61">
                  <w:pPr>
                    <w:widowControl/>
                    <w:adjustRightInd w:val="0"/>
                    <w:snapToGrid w:val="0"/>
                    <w:jc w:val="center"/>
                    <w:rPr>
                      <w:rFonts w:hint="eastAsia" w:eastAsia="宋体"/>
                      <w:szCs w:val="21"/>
                      <w:lang w:val="en-US" w:eastAsia="zh-CN"/>
                    </w:rPr>
                  </w:pPr>
                  <w:r>
                    <w:rPr>
                      <w:rFonts w:hint="eastAsia" w:eastAsia="宋体"/>
                      <w:szCs w:val="21"/>
                      <w:lang w:val="en-US" w:eastAsia="zh-CN"/>
                    </w:rPr>
                    <w:t xml:space="preserve">38.98 </w:t>
                  </w:r>
                </w:p>
              </w:tc>
              <w:tc>
                <w:tcPr>
                  <w:tcW w:w="426" w:type="pct"/>
                  <w:tcBorders>
                    <w:tl2br w:val="nil"/>
                    <w:tr2bl w:val="nil"/>
                  </w:tcBorders>
                  <w:noWrap w:val="0"/>
                  <w:vAlign w:val="center"/>
                </w:tcPr>
                <w:p w14:paraId="5ADB6BEF">
                  <w:pPr>
                    <w:widowControl/>
                    <w:adjustRightInd w:val="0"/>
                    <w:snapToGrid w:val="0"/>
                    <w:jc w:val="center"/>
                    <w:rPr>
                      <w:rFonts w:hint="eastAsia" w:eastAsia="宋体"/>
                      <w:szCs w:val="21"/>
                      <w:lang w:val="en-US" w:eastAsia="zh-CN"/>
                    </w:rPr>
                  </w:pPr>
                  <w:r>
                    <w:rPr>
                      <w:rFonts w:hint="eastAsia" w:eastAsia="宋体"/>
                      <w:szCs w:val="21"/>
                      <w:lang w:val="en-US" w:eastAsia="zh-CN"/>
                    </w:rPr>
                    <w:t>0.1584</w:t>
                  </w:r>
                </w:p>
              </w:tc>
              <w:tc>
                <w:tcPr>
                  <w:tcW w:w="497" w:type="pct"/>
                  <w:tcBorders>
                    <w:tl2br w:val="nil"/>
                    <w:tr2bl w:val="nil"/>
                  </w:tcBorders>
                  <w:noWrap w:val="0"/>
                  <w:vAlign w:val="center"/>
                </w:tcPr>
                <w:p w14:paraId="0E1C86C8">
                  <w:pPr>
                    <w:keepNext w:val="0"/>
                    <w:keepLines w:val="0"/>
                    <w:pageBreakBefore w:val="0"/>
                    <w:kinsoku/>
                    <w:wordWrap/>
                    <w:overflowPunct/>
                    <w:topLinePunct w:val="0"/>
                    <w:autoSpaceDE/>
                    <w:autoSpaceDN/>
                    <w:bidi w:val="0"/>
                    <w:spacing w:line="240" w:lineRule="auto"/>
                    <w:jc w:val="center"/>
                    <w:rPr>
                      <w:rFonts w:hint="eastAsia"/>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1</w:t>
                  </w:r>
                </w:p>
              </w:tc>
              <w:tc>
                <w:tcPr>
                  <w:tcW w:w="702" w:type="dxa"/>
                  <w:tcBorders>
                    <w:tl2br w:val="nil"/>
                    <w:tr2bl w:val="nil"/>
                  </w:tcBorders>
                  <w:shd w:val="clear" w:color="auto" w:fill="auto"/>
                  <w:noWrap w:val="0"/>
                  <w:vAlign w:val="center"/>
                </w:tcPr>
                <w:p w14:paraId="13A877BC">
                  <w:pPr>
                    <w:widowControl/>
                    <w:adjustRightInd w:val="0"/>
                    <w:snapToGrid w:val="0"/>
                    <w:jc w:val="center"/>
                    <w:rPr>
                      <w:rFonts w:hint="eastAsia" w:eastAsia="宋体"/>
                      <w:szCs w:val="21"/>
                      <w:lang w:val="en-US" w:eastAsia="zh-CN"/>
                    </w:rPr>
                  </w:pPr>
                  <w:r>
                    <w:rPr>
                      <w:rFonts w:hint="eastAsia" w:eastAsia="宋体"/>
                      <w:szCs w:val="21"/>
                      <w:lang w:val="en-US" w:eastAsia="zh-CN"/>
                    </w:rPr>
                    <w:t>0.0041</w:t>
                  </w:r>
                </w:p>
              </w:tc>
            </w:tr>
          </w:tbl>
          <w:p w14:paraId="00315311">
            <w:pPr>
              <w:spacing w:line="360" w:lineRule="auto"/>
              <w:ind w:left="90" w:leftChars="43" w:firstLine="360" w:firstLineChars="150"/>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综上所述</w:t>
            </w:r>
            <w:r>
              <w:rPr>
                <w:rFonts w:ascii="Times New Roman" w:hAnsi="Times New Roman" w:eastAsia="宋体"/>
                <w:caps w:val="0"/>
                <w:color w:val="000000" w:themeColor="text1"/>
                <w:sz w:val="24"/>
                <w:highlight w:val="none"/>
                <w14:textFill>
                  <w14:solidFill>
                    <w14:schemeClr w14:val="tx1"/>
                  </w14:solidFill>
                </w14:textFill>
              </w:rPr>
              <w:t>，本项目产生的废水排放可满足</w:t>
            </w:r>
            <w:r>
              <w:rPr>
                <w:rFonts w:ascii="Times New Roman" w:hAnsi="Times New Roman" w:eastAsia="宋体"/>
                <w:bCs/>
                <w:caps w:val="0"/>
                <w:color w:val="000000" w:themeColor="text1"/>
                <w:sz w:val="24"/>
                <w:highlight w:val="none"/>
                <w14:textFill>
                  <w14:solidFill>
                    <w14:schemeClr w14:val="tx1"/>
                  </w14:solidFill>
                </w14:textFill>
              </w:rPr>
              <w:t>《污水综合排放标准》</w:t>
            </w:r>
            <w:r>
              <w:rPr>
                <w:rFonts w:hint="eastAsia"/>
                <w:bCs/>
                <w:caps w:val="0"/>
                <w:color w:val="000000" w:themeColor="text1"/>
                <w:sz w:val="24"/>
                <w:highlight w:val="none"/>
                <w:lang w:eastAsia="zh-CN"/>
                <w14:textFill>
                  <w14:solidFill>
                    <w14:schemeClr w14:val="tx1"/>
                  </w14:solidFill>
                </w14:textFill>
              </w:rPr>
              <w:t>（</w:t>
            </w:r>
            <w:r>
              <w:rPr>
                <w:rFonts w:ascii="Times New Roman" w:hAnsi="Times New Roman" w:eastAsia="宋体"/>
                <w:bCs/>
                <w:caps w:val="0"/>
                <w:color w:val="000000" w:themeColor="text1"/>
                <w:sz w:val="24"/>
                <w:highlight w:val="none"/>
                <w14:textFill>
                  <w14:solidFill>
                    <w14:schemeClr w14:val="tx1"/>
                  </w14:solidFill>
                </w14:textFill>
              </w:rPr>
              <w:t>GB8978-1996</w:t>
            </w:r>
            <w:r>
              <w:rPr>
                <w:rFonts w:hint="eastAsia"/>
                <w:bCs/>
                <w:caps w:val="0"/>
                <w:color w:val="000000" w:themeColor="text1"/>
                <w:sz w:val="24"/>
                <w:highlight w:val="none"/>
                <w:lang w:eastAsia="zh-CN"/>
                <w14:textFill>
                  <w14:solidFill>
                    <w14:schemeClr w14:val="tx1"/>
                  </w14:solidFill>
                </w14:textFill>
              </w:rPr>
              <w:t>）</w:t>
            </w:r>
            <w:r>
              <w:rPr>
                <w:rFonts w:ascii="Times New Roman" w:hAnsi="Times New Roman" w:eastAsia="宋体"/>
                <w:bCs/>
                <w:caps w:val="0"/>
                <w:color w:val="000000" w:themeColor="text1"/>
                <w:sz w:val="24"/>
                <w:highlight w:val="none"/>
                <w14:textFill>
                  <w14:solidFill>
                    <w14:schemeClr w14:val="tx1"/>
                  </w14:solidFill>
                </w14:textFill>
              </w:rPr>
              <w:t>中三级标准</w:t>
            </w:r>
            <w:r>
              <w:rPr>
                <w:rFonts w:ascii="Times New Roman" w:hAnsi="Times New Roman" w:eastAsia="宋体"/>
                <w:caps w:val="0"/>
                <w:color w:val="000000" w:themeColor="text1"/>
                <w:sz w:val="24"/>
                <w:highlight w:val="none"/>
                <w14:textFill>
                  <w14:solidFill>
                    <w14:schemeClr w14:val="tx1"/>
                  </w14:solidFill>
                </w14:textFill>
              </w:rPr>
              <w:t>要求，满足</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芜湖市城南</w:t>
            </w:r>
            <w:r>
              <w:rPr>
                <w:rFonts w:hint="eastAsia" w:ascii="Times New Roman" w:hAnsi="Times New Roman" w:eastAsia="宋体"/>
                <w:caps w:val="0"/>
                <w:color w:val="000000" w:themeColor="text1"/>
                <w:sz w:val="24"/>
                <w:highlight w:val="none"/>
                <w14:textFill>
                  <w14:solidFill>
                    <w14:schemeClr w14:val="tx1"/>
                  </w14:solidFill>
                </w14:textFill>
              </w:rPr>
              <w:t>污水处理厂</w:t>
            </w:r>
            <w:r>
              <w:rPr>
                <w:rFonts w:ascii="Times New Roman" w:hAnsi="Times New Roman" w:eastAsia="宋体"/>
                <w:caps w:val="0"/>
                <w:color w:val="000000" w:themeColor="text1"/>
                <w:sz w:val="24"/>
                <w:highlight w:val="none"/>
                <w14:textFill>
                  <w14:solidFill>
                    <w14:schemeClr w14:val="tx1"/>
                  </w14:solidFill>
                </w14:textFill>
              </w:rPr>
              <w:t>接管要求。</w:t>
            </w:r>
          </w:p>
          <w:p w14:paraId="18F7901C">
            <w:pPr>
              <w:spacing w:line="360" w:lineRule="auto"/>
              <w:ind w:firstLine="482" w:firstLineChars="200"/>
              <w:rPr>
                <w:rFonts w:hint="default" w:ascii="Times New Roman" w:hAnsi="Times New Roman" w:eastAsia="宋体"/>
                <w:b/>
                <w:bCs/>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2、废水处理工艺及可达性分析</w:t>
            </w:r>
          </w:p>
          <w:p w14:paraId="2CFA3D15">
            <w:pPr>
              <w:shd w:val="clear" w:color="auto" w:fill="FFFFFF"/>
              <w:adjustRightInd w:val="0"/>
              <w:snapToGrid w:val="0"/>
              <w:spacing w:line="360" w:lineRule="auto"/>
              <w:ind w:firstLine="480" w:firstLineChars="200"/>
              <w:rPr>
                <w:rFonts w:ascii="Times New Roman" w:hAnsi="Times New Roman" w:eastAsia="宋体" w:cs="Times New Roman"/>
                <w:bCs/>
                <w:color w:val="000000" w:themeColor="text1"/>
                <w:kern w:val="0"/>
                <w:sz w:val="24"/>
                <w14:textFill>
                  <w14:solidFill>
                    <w14:schemeClr w14:val="tx1"/>
                  </w14:solidFill>
                </w14:textFill>
              </w:rPr>
            </w:pPr>
            <w:r>
              <w:rPr>
                <w:rFonts w:ascii="Times New Roman" w:hAnsi="Times New Roman" w:eastAsia="宋体" w:cs="Times New Roman"/>
                <w:bCs/>
                <w:color w:val="000000" w:themeColor="text1"/>
                <w:kern w:val="0"/>
                <w:sz w:val="24"/>
                <w14:textFill>
                  <w14:solidFill>
                    <w14:schemeClr w14:val="tx1"/>
                  </w14:solidFill>
                </w14:textFill>
              </w:rPr>
              <w:t>（1）生活污水处理可行性</w:t>
            </w:r>
          </w:p>
          <w:p w14:paraId="5C66FA3D">
            <w:pPr>
              <w:shd w:val="clear" w:color="auto" w:fill="FFFFFF"/>
              <w:adjustRightInd w:val="0"/>
              <w:snapToGrid w:val="0"/>
              <w:spacing w:line="360" w:lineRule="auto"/>
              <w:ind w:firstLine="480" w:firstLineChars="200"/>
              <w:rPr>
                <w:rFonts w:ascii="Times New Roman" w:hAnsi="Times New Roman" w:eastAsia="宋体" w:cs="Times New Roman"/>
                <w:bCs/>
                <w:color w:val="000000" w:themeColor="text1"/>
                <w:kern w:val="0"/>
                <w:sz w:val="24"/>
                <w14:textFill>
                  <w14:solidFill>
                    <w14:schemeClr w14:val="tx1"/>
                  </w14:solidFill>
                </w14:textFill>
              </w:rPr>
            </w:pPr>
            <w:r>
              <w:rPr>
                <w:rFonts w:ascii="Times New Roman" w:hAnsi="Times New Roman" w:eastAsia="宋体" w:cs="Times New Roman"/>
                <w:bCs/>
                <w:color w:val="000000" w:themeColor="text1"/>
                <w:kern w:val="0"/>
                <w:sz w:val="24"/>
                <w14:textFill>
                  <w14:solidFill>
                    <w14:schemeClr w14:val="tx1"/>
                  </w14:solidFill>
                </w14:textFill>
              </w:rPr>
              <w:t>本项目产生的</w:t>
            </w:r>
            <w:r>
              <w:rPr>
                <w:rFonts w:hint="eastAsia" w:cs="Times New Roman"/>
                <w:bCs/>
                <w:color w:val="000000" w:themeColor="text1"/>
                <w:kern w:val="0"/>
                <w:sz w:val="24"/>
                <w:lang w:val="en-US" w:eastAsia="zh-CN"/>
                <w14:textFill>
                  <w14:solidFill>
                    <w14:schemeClr w14:val="tx1"/>
                  </w14:solidFill>
                </w14:textFill>
              </w:rPr>
              <w:t>潮湿废水经沉淀池处理后与</w:t>
            </w:r>
            <w:r>
              <w:rPr>
                <w:rFonts w:ascii="Times New Roman" w:hAnsi="Times New Roman" w:eastAsia="宋体" w:cs="Times New Roman"/>
                <w:bCs/>
                <w:color w:val="000000" w:themeColor="text1"/>
                <w:kern w:val="0"/>
                <w:sz w:val="24"/>
                <w14:textFill>
                  <w14:solidFill>
                    <w14:schemeClr w14:val="tx1"/>
                  </w14:solidFill>
                </w14:textFill>
              </w:rPr>
              <w:t>生活污水经厂区化粪池</w:t>
            </w:r>
            <w:r>
              <w:rPr>
                <w:rFonts w:hint="eastAsia" w:cs="Times New Roman"/>
                <w:bCs/>
                <w:color w:val="000000" w:themeColor="text1"/>
                <w:kern w:val="0"/>
                <w:sz w:val="24"/>
                <w:lang w:val="en-US" w:eastAsia="zh-CN"/>
                <w14:textFill>
                  <w14:solidFill>
                    <w14:schemeClr w14:val="tx1"/>
                  </w14:solidFill>
                </w14:textFill>
              </w:rPr>
              <w:t>+</w:t>
            </w:r>
            <w:r>
              <w:rPr>
                <w:rFonts w:hint="eastAsia" w:ascii="Times New Roman" w:hAnsi="Times New Roman" w:eastAsia="宋体" w:cs="Times New Roman"/>
                <w:bCs/>
                <w:color w:val="000000" w:themeColor="text1"/>
                <w:kern w:val="0"/>
                <w:sz w:val="24"/>
                <w:lang w:val="en-US" w:eastAsia="zh-CN"/>
                <w14:textFill>
                  <w14:solidFill>
                    <w14:schemeClr w14:val="tx1"/>
                  </w14:solidFill>
                </w14:textFill>
              </w:rPr>
              <w:t>隔油池</w:t>
            </w:r>
            <w:r>
              <w:rPr>
                <w:rFonts w:ascii="Times New Roman" w:hAnsi="Times New Roman" w:eastAsia="宋体" w:cs="Times New Roman"/>
                <w:bCs/>
                <w:color w:val="000000" w:themeColor="text1"/>
                <w:kern w:val="0"/>
                <w:sz w:val="24"/>
                <w14:textFill>
                  <w14:solidFill>
                    <w14:schemeClr w14:val="tx1"/>
                  </w14:solidFill>
                </w14:textFill>
              </w:rPr>
              <w:t>处理后</w:t>
            </w:r>
            <w:r>
              <w:rPr>
                <w:rFonts w:hint="eastAsia" w:cs="Times New Roman"/>
                <w:bCs/>
                <w:color w:val="000000" w:themeColor="text1"/>
                <w:kern w:val="0"/>
                <w:sz w:val="24"/>
                <w:lang w:val="en-US" w:eastAsia="zh-CN"/>
                <w14:textFill>
                  <w14:solidFill>
                    <w14:schemeClr w14:val="tx1"/>
                  </w14:solidFill>
                </w14:textFill>
              </w:rPr>
              <w:t>一起</w:t>
            </w:r>
            <w:r>
              <w:rPr>
                <w:rFonts w:ascii="Times New Roman" w:hAnsi="Times New Roman" w:eastAsia="宋体" w:cs="Times New Roman"/>
                <w:bCs/>
                <w:color w:val="000000" w:themeColor="text1"/>
                <w:kern w:val="0"/>
                <w:sz w:val="24"/>
                <w14:textFill>
                  <w14:solidFill>
                    <w14:schemeClr w14:val="tx1"/>
                  </w14:solidFill>
                </w14:textFill>
              </w:rPr>
              <w:t>接管</w:t>
            </w:r>
            <w:r>
              <w:rPr>
                <w:rFonts w:hint="eastAsia" w:ascii="Times New Roman" w:hAnsi="Times New Roman" w:cs="Times New Roman"/>
                <w:bCs/>
                <w:color w:val="000000" w:themeColor="text1"/>
                <w:kern w:val="0"/>
                <w:sz w:val="24"/>
                <w:lang w:val="en-US" w:eastAsia="zh-CN"/>
                <w14:textFill>
                  <w14:solidFill>
                    <w14:schemeClr w14:val="tx1"/>
                  </w14:solidFill>
                </w14:textFill>
              </w:rPr>
              <w:t>芜湖市城南</w:t>
            </w:r>
            <w:r>
              <w:rPr>
                <w:rFonts w:ascii="Times New Roman" w:hAnsi="Times New Roman" w:eastAsia="宋体" w:cs="Times New Roman"/>
                <w:bCs/>
                <w:color w:val="000000" w:themeColor="text1"/>
                <w:kern w:val="0"/>
                <w:sz w:val="24"/>
                <w14:textFill>
                  <w14:solidFill>
                    <w14:schemeClr w14:val="tx1"/>
                  </w14:solidFill>
                </w14:textFill>
              </w:rPr>
              <w:t>污水处理厂。主要污染物为</w:t>
            </w:r>
            <w:r>
              <w:rPr>
                <w:rFonts w:hint="eastAsia" w:ascii="Times New Roman" w:hAnsi="Times New Roman" w:eastAsia="宋体" w:cs="Times New Roman"/>
                <w:bCs/>
                <w:color w:val="000000" w:themeColor="text1"/>
                <w:kern w:val="0"/>
                <w:sz w:val="24"/>
                <w14:textFill>
                  <w14:solidFill>
                    <w14:schemeClr w14:val="tx1"/>
                  </w14:solidFill>
                </w14:textFill>
              </w:rPr>
              <w:t>pH</w:t>
            </w:r>
            <w:r>
              <w:rPr>
                <w:rFonts w:hint="eastAsia" w:cs="Times New Roman"/>
                <w:bCs/>
                <w:color w:val="000000" w:themeColor="text1"/>
                <w:kern w:val="0"/>
                <w:sz w:val="24"/>
                <w:lang w:eastAsia="zh-CN"/>
                <w14:textFill>
                  <w14:solidFill>
                    <w14:schemeClr w14:val="tx1"/>
                  </w14:solidFill>
                </w14:textFill>
              </w:rPr>
              <w:t>、</w:t>
            </w:r>
            <w:r>
              <w:rPr>
                <w:rFonts w:ascii="Times New Roman" w:hAnsi="Times New Roman" w:eastAsia="宋体" w:cs="Times New Roman"/>
                <w:bCs/>
                <w:color w:val="000000" w:themeColor="text1"/>
                <w:kern w:val="0"/>
                <w:sz w:val="24"/>
                <w14:textFill>
                  <w14:solidFill>
                    <w14:schemeClr w14:val="tx1"/>
                  </w14:solidFill>
                </w14:textFill>
              </w:rPr>
              <w:t>COD、BOD</w:t>
            </w:r>
            <w:r>
              <w:rPr>
                <w:rFonts w:ascii="Times New Roman" w:hAnsi="Times New Roman" w:eastAsia="宋体" w:cs="Times New Roman"/>
                <w:bCs/>
                <w:color w:val="000000" w:themeColor="text1"/>
                <w:kern w:val="0"/>
                <w:sz w:val="24"/>
                <w:vertAlign w:val="subscript"/>
                <w14:textFill>
                  <w14:solidFill>
                    <w14:schemeClr w14:val="tx1"/>
                  </w14:solidFill>
                </w14:textFill>
              </w:rPr>
              <w:t>5</w:t>
            </w:r>
            <w:r>
              <w:rPr>
                <w:rFonts w:ascii="Times New Roman" w:hAnsi="Times New Roman" w:eastAsia="宋体" w:cs="Times New Roman"/>
                <w:bCs/>
                <w:color w:val="000000" w:themeColor="text1"/>
                <w:kern w:val="0"/>
                <w:sz w:val="24"/>
                <w14:textFill>
                  <w14:solidFill>
                    <w14:schemeClr w14:val="tx1"/>
                  </w14:solidFill>
                </w14:textFill>
              </w:rPr>
              <w:t>、氨氮、SS</w:t>
            </w:r>
            <w:r>
              <w:rPr>
                <w:rFonts w:hint="eastAsia" w:ascii="Times New Roman" w:hAnsi="Times New Roman" w:eastAsia="宋体" w:cs="Times New Roman"/>
                <w:bCs/>
                <w:color w:val="000000" w:themeColor="text1"/>
                <w:kern w:val="0"/>
                <w:sz w:val="24"/>
                <w:lang w:eastAsia="zh-CN"/>
                <w14:textFill>
                  <w14:solidFill>
                    <w14:schemeClr w14:val="tx1"/>
                  </w14:solidFill>
                </w14:textFill>
              </w:rPr>
              <w:t>、</w:t>
            </w:r>
            <w:r>
              <w:rPr>
                <w:rFonts w:hint="eastAsia" w:ascii="Times New Roman" w:hAnsi="Times New Roman" w:eastAsia="宋体" w:cs="Times New Roman"/>
                <w:bCs/>
                <w:color w:val="000000" w:themeColor="text1"/>
                <w:kern w:val="0"/>
                <w:sz w:val="24"/>
                <w:lang w:val="en-US" w:eastAsia="zh-CN"/>
                <w14:textFill>
                  <w14:solidFill>
                    <w14:schemeClr w14:val="tx1"/>
                  </w14:solidFill>
                </w14:textFill>
              </w:rPr>
              <w:t>动植物油</w:t>
            </w:r>
            <w:r>
              <w:rPr>
                <w:rFonts w:ascii="Times New Roman" w:hAnsi="Times New Roman" w:eastAsia="宋体" w:cs="Times New Roman"/>
                <w:bCs/>
                <w:color w:val="000000" w:themeColor="text1"/>
                <w:kern w:val="0"/>
                <w:sz w:val="24"/>
                <w14:textFill>
                  <w14:solidFill>
                    <w14:schemeClr w14:val="tx1"/>
                  </w14:solidFill>
                </w14:textFill>
              </w:rPr>
              <w:t>，水质简单，水量较小，处理后可满足</w:t>
            </w:r>
            <w:r>
              <w:rPr>
                <w:rFonts w:hint="eastAsia" w:ascii="Times New Roman" w:hAnsi="Times New Roman" w:cs="Times New Roman"/>
                <w:bCs/>
                <w:color w:val="000000" w:themeColor="text1"/>
                <w:kern w:val="0"/>
                <w:sz w:val="24"/>
                <w:lang w:val="en-US" w:eastAsia="zh-CN"/>
                <w14:textFill>
                  <w14:solidFill>
                    <w14:schemeClr w14:val="tx1"/>
                  </w14:solidFill>
                </w14:textFill>
              </w:rPr>
              <w:t>芜湖市城南</w:t>
            </w:r>
            <w:r>
              <w:rPr>
                <w:rFonts w:ascii="Times New Roman" w:hAnsi="Times New Roman" w:eastAsia="宋体" w:cs="Times New Roman"/>
                <w:bCs/>
                <w:color w:val="000000" w:themeColor="text1"/>
                <w:kern w:val="0"/>
                <w:sz w:val="24"/>
                <w14:textFill>
                  <w14:solidFill>
                    <w14:schemeClr w14:val="tx1"/>
                  </w14:solidFill>
                </w14:textFill>
              </w:rPr>
              <w:t>污水处理厂接管要求</w:t>
            </w:r>
            <w:r>
              <w:rPr>
                <w:rFonts w:ascii="Times New Roman" w:hAnsi="Times New Roman" w:eastAsia="宋体" w:cs="Times New Roman"/>
                <w:bCs/>
                <w:color w:val="000000" w:themeColor="text1"/>
                <w:sz w:val="24"/>
                <w14:textFill>
                  <w14:solidFill>
                    <w14:schemeClr w14:val="tx1"/>
                  </w14:solidFill>
                </w14:textFill>
              </w:rPr>
              <w:t>。</w:t>
            </w:r>
          </w:p>
          <w:p w14:paraId="6AB8031E">
            <w:pPr>
              <w:spacing w:line="360" w:lineRule="auto"/>
              <w:ind w:firstLine="480" w:firstLineChars="200"/>
              <w:rPr>
                <w:kern w:val="0"/>
                <w:sz w:val="24"/>
                <w:szCs w:val="20"/>
              </w:rPr>
            </w:pPr>
            <w:r>
              <w:rPr>
                <w:sz w:val="24"/>
              </w:rPr>
              <w:t>（1）</w:t>
            </w:r>
            <w:r>
              <w:rPr>
                <w:kern w:val="0"/>
                <w:sz w:val="24"/>
                <w:szCs w:val="20"/>
              </w:rPr>
              <w:t>芜湖市城南污水处理厂概况</w:t>
            </w:r>
          </w:p>
          <w:p w14:paraId="305C7D27">
            <w:pPr>
              <w:overflowPunct w:val="0"/>
              <w:adjustRightInd w:val="0"/>
              <w:snapToGrid w:val="0"/>
              <w:spacing w:line="360" w:lineRule="auto"/>
              <w:ind w:firstLine="480" w:firstLineChars="200"/>
              <w:textAlignment w:val="baseline"/>
              <w:rPr>
                <w:kern w:val="0"/>
                <w:sz w:val="24"/>
                <w:szCs w:val="20"/>
              </w:rPr>
            </w:pPr>
            <w:r>
              <w:rPr>
                <w:kern w:val="0"/>
                <w:sz w:val="24"/>
                <w:szCs w:val="20"/>
              </w:rPr>
              <w:t>芜湖市城南污水处理厂（以下简称“城南污水厂”）位于芜湖市峨山路与滨江南路的交汇处，远期总设计规模30万m</w:t>
            </w:r>
            <w:r>
              <w:rPr>
                <w:kern w:val="0"/>
                <w:sz w:val="24"/>
                <w:szCs w:val="20"/>
                <w:vertAlign w:val="superscript"/>
              </w:rPr>
              <w:t>3</w:t>
            </w:r>
            <w:r>
              <w:rPr>
                <w:kern w:val="0"/>
                <w:sz w:val="24"/>
                <w:szCs w:val="20"/>
              </w:rPr>
              <w:t>/d，现状总规模10万m</w:t>
            </w:r>
            <w:r>
              <w:rPr>
                <w:kern w:val="0"/>
                <w:sz w:val="24"/>
                <w:szCs w:val="20"/>
                <w:vertAlign w:val="superscript"/>
              </w:rPr>
              <w:t>3</w:t>
            </w:r>
            <w:r>
              <w:rPr>
                <w:kern w:val="0"/>
                <w:sz w:val="24"/>
                <w:szCs w:val="20"/>
              </w:rPr>
              <w:t>/d，收水范围为青弋江以南、漳河以东、荆山河以西，处理的废水类型主要为生活污水，含部分工业废水。其中，一期工程规模10万m</w:t>
            </w:r>
            <w:r>
              <w:rPr>
                <w:kern w:val="0"/>
                <w:sz w:val="24"/>
                <w:szCs w:val="20"/>
                <w:vertAlign w:val="superscript"/>
              </w:rPr>
              <w:t>3</w:t>
            </w:r>
            <w:r>
              <w:rPr>
                <w:kern w:val="0"/>
                <w:sz w:val="24"/>
                <w:szCs w:val="20"/>
              </w:rPr>
              <w:t>/d，分两阶段实施，一阶段工程已于2010年建设完成并投入运营，处理规模5万m</w:t>
            </w:r>
            <w:r>
              <w:rPr>
                <w:kern w:val="0"/>
                <w:sz w:val="24"/>
                <w:szCs w:val="20"/>
                <w:vertAlign w:val="superscript"/>
              </w:rPr>
              <w:t>3</w:t>
            </w:r>
            <w:r>
              <w:rPr>
                <w:kern w:val="0"/>
                <w:sz w:val="24"/>
                <w:szCs w:val="20"/>
              </w:rPr>
              <w:t>/d，并于2012年6月通过环保验收；二阶段工程于2015年建设完成并投入运营，处理规模5万m</w:t>
            </w:r>
            <w:r>
              <w:rPr>
                <w:kern w:val="0"/>
                <w:sz w:val="24"/>
                <w:szCs w:val="20"/>
                <w:vertAlign w:val="superscript"/>
              </w:rPr>
              <w:t>3</w:t>
            </w:r>
            <w:r>
              <w:rPr>
                <w:kern w:val="0"/>
                <w:sz w:val="24"/>
                <w:szCs w:val="20"/>
              </w:rPr>
              <w:t>/d，并于2017年7月通过环保验收。一期工程出水水质均执行国家《城镇污水处理厂污染物排放标准》（GB18918-2002）中一级B标准。2017年城南污水厂进行了提标改造，设计出水水质执行《城镇污水处理厂污染物排放标准》（GB18918-2002）中一级A标准。</w:t>
            </w:r>
          </w:p>
          <w:p w14:paraId="673A002E">
            <w:pPr>
              <w:overflowPunct w:val="0"/>
              <w:adjustRightInd w:val="0"/>
              <w:snapToGrid w:val="0"/>
              <w:spacing w:line="360" w:lineRule="auto"/>
              <w:ind w:firstLine="480" w:firstLineChars="200"/>
              <w:textAlignment w:val="baseline"/>
              <w:rPr>
                <w:kern w:val="0"/>
                <w:sz w:val="24"/>
                <w:szCs w:val="20"/>
              </w:rPr>
            </w:pPr>
            <w:r>
              <w:rPr>
                <w:kern w:val="0"/>
                <w:sz w:val="24"/>
                <w:szCs w:val="20"/>
              </w:rPr>
              <w:t>本项目位于</w:t>
            </w:r>
            <w:r>
              <w:rPr>
                <w:rFonts w:hint="eastAsia"/>
                <w:sz w:val="24"/>
              </w:rPr>
              <w:t>安徽省芜湖市高新技术产业开发区漳河路28号</w:t>
            </w:r>
            <w:r>
              <w:rPr>
                <w:kern w:val="0"/>
                <w:sz w:val="24"/>
                <w:szCs w:val="20"/>
              </w:rPr>
              <w:t>，在城南污水处理厂的收水范围内，厂区所在地管网已建成。</w:t>
            </w:r>
          </w:p>
          <w:p w14:paraId="3725DBB3">
            <w:pPr>
              <w:adjustRightInd w:val="0"/>
              <w:snapToGrid w:val="0"/>
              <w:spacing w:line="360" w:lineRule="auto"/>
              <w:ind w:firstLine="480" w:firstLineChars="200"/>
              <w:rPr>
                <w:sz w:val="24"/>
              </w:rPr>
            </w:pPr>
            <w:r>
              <w:rPr>
                <w:sz w:val="24"/>
              </w:rPr>
              <w:t>（2）芜湖市城南污水处理厂接管可行性分析结论</w:t>
            </w:r>
          </w:p>
          <w:p w14:paraId="2FB4C9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b/>
                <w:bCs/>
                <w:caps w:val="0"/>
                <w:color w:val="000000" w:themeColor="text1"/>
                <w:kern w:val="0"/>
                <w:sz w:val="24"/>
                <w:highlight w:val="none"/>
                <w14:textFill>
                  <w14:solidFill>
                    <w14:schemeClr w14:val="tx1"/>
                  </w14:solidFill>
                </w14:textFill>
              </w:rPr>
            </w:pPr>
            <w:r>
              <w:rPr>
                <w:sz w:val="24"/>
              </w:rPr>
              <w:t>本项目排入芜湖市城南污水处理厂的废水总量约</w:t>
            </w:r>
            <w:r>
              <w:rPr>
                <w:rFonts w:hint="eastAsia"/>
                <w:sz w:val="24"/>
                <w:lang w:val="en-US" w:eastAsia="zh-CN"/>
              </w:rPr>
              <w:t>13.55</w:t>
            </w:r>
            <w:r>
              <w:rPr>
                <w:sz w:val="24"/>
              </w:rPr>
              <w:t>m</w:t>
            </w:r>
            <w:r>
              <w:rPr>
                <w:sz w:val="24"/>
                <w:vertAlign w:val="superscript"/>
              </w:rPr>
              <w:t>3</w:t>
            </w:r>
            <w:r>
              <w:rPr>
                <w:sz w:val="24"/>
              </w:rPr>
              <w:t>/d，芜湖市城南污水处理厂一期工程目前已满负荷运行，二期污水处理规模为10万m</w:t>
            </w:r>
            <w:r>
              <w:rPr>
                <w:sz w:val="24"/>
                <w:vertAlign w:val="superscript"/>
              </w:rPr>
              <w:t>3</w:t>
            </w:r>
            <w:r>
              <w:rPr>
                <w:sz w:val="24"/>
              </w:rPr>
              <w:t>/d，本项目占污水处理厂二期污水处理量的0.0</w:t>
            </w:r>
            <w:r>
              <w:rPr>
                <w:rFonts w:hint="eastAsia"/>
                <w:sz w:val="24"/>
                <w:lang w:val="en-US" w:eastAsia="zh-CN"/>
              </w:rPr>
              <w:t>135</w:t>
            </w:r>
            <w:r>
              <w:rPr>
                <w:sz w:val="24"/>
              </w:rPr>
              <w:t>%，占有份额较小，芜湖市城南污水处理厂在处理规模、处理能力、建设进度上可以满足本项目的需要</w:t>
            </w:r>
            <w:r>
              <w:rPr>
                <w:rFonts w:hint="eastAsia"/>
                <w:sz w:val="24"/>
                <w:lang w:eastAsia="zh-CN"/>
              </w:rPr>
              <w:t>。</w:t>
            </w:r>
            <w:r>
              <w:rPr>
                <w:sz w:val="24"/>
              </w:rPr>
              <w:t>综上所述，项目废水经处理后能够达到《污水综合排放标准》（GB8978-1996）表4中三级标准，不会对芜湖市城南污水处理厂产生冲击。项目所在地在污水处理厂接管范围内，且污水管网已敷设到位。因此，建设项目废水排入芜湖市城南污水处理厂是可行的。</w:t>
            </w:r>
          </w:p>
          <w:p w14:paraId="45FA3A40">
            <w:pPr>
              <w:keepNext/>
              <w:keepLines/>
              <w:spacing w:line="360" w:lineRule="auto"/>
              <w:ind w:firstLine="354" w:firstLineChars="147"/>
              <w:outlineLvl w:val="2"/>
              <w:rPr>
                <w:rFonts w:hint="eastAsia"/>
                <w:caps w:val="0"/>
                <w:color w:val="000000" w:themeColor="text1"/>
                <w:sz w:val="24"/>
                <w:highlight w:val="none"/>
                <w:lang w:eastAsia="zh-CN"/>
                <w14:textFill>
                  <w14:solidFill>
                    <w14:schemeClr w14:val="tx1"/>
                  </w14:solidFill>
                </w14:textFill>
              </w:rPr>
            </w:pPr>
            <w:r>
              <w:rPr>
                <w:rFonts w:hint="eastAsia"/>
                <w:b/>
                <w:bCs/>
                <w:caps w:val="0"/>
                <w:color w:val="000000" w:themeColor="text1"/>
                <w:kern w:val="0"/>
                <w:sz w:val="24"/>
                <w:highlight w:val="none"/>
                <w:lang w:val="en-US" w:eastAsia="zh-CN"/>
                <w14:textFill>
                  <w14:solidFill>
                    <w14:schemeClr w14:val="tx1"/>
                  </w14:solidFill>
                </w14:textFill>
              </w:rPr>
              <w:t>3</w:t>
            </w:r>
            <w:r>
              <w:rPr>
                <w:rFonts w:hint="eastAsia" w:ascii="Times New Roman" w:hAnsi="Times New Roman" w:eastAsia="宋体"/>
                <w:b/>
                <w:bCs/>
                <w:caps w:val="0"/>
                <w:color w:val="000000" w:themeColor="text1"/>
                <w:kern w:val="0"/>
                <w:sz w:val="24"/>
                <w:highlight w:val="none"/>
                <w14:textFill>
                  <w14:solidFill>
                    <w14:schemeClr w14:val="tx1"/>
                  </w14:solidFill>
                </w14:textFill>
              </w:rPr>
              <w:t>、</w:t>
            </w:r>
            <w:r>
              <w:rPr>
                <w:rFonts w:ascii="Times New Roman" w:hAnsi="Times New Roman" w:eastAsia="宋体"/>
                <w:b/>
                <w:bCs/>
                <w:caps w:val="0"/>
                <w:color w:val="000000" w:themeColor="text1"/>
                <w:kern w:val="0"/>
                <w:sz w:val="24"/>
                <w:highlight w:val="none"/>
                <w14:textFill>
                  <w14:solidFill>
                    <w14:schemeClr w14:val="tx1"/>
                  </w14:solidFill>
                </w14:textFill>
              </w:rPr>
              <w:t>水污染源监测计划</w:t>
            </w:r>
          </w:p>
          <w:p w14:paraId="5F0A0B95">
            <w:pPr>
              <w:keepNext/>
              <w:keepLines/>
              <w:spacing w:line="360" w:lineRule="auto"/>
              <w:ind w:firstLine="352" w:firstLineChars="147"/>
              <w:outlineLvl w:val="2"/>
              <w:rPr>
                <w:rFonts w:ascii="Times New Roman" w:hAnsi="Times New Roman"/>
                <w:sz w:val="24"/>
                <w:szCs w:val="32"/>
              </w:rPr>
            </w:pPr>
            <w:r>
              <w:rPr>
                <w:rFonts w:hint="eastAsia"/>
                <w:sz w:val="24"/>
                <w:lang w:val="en-US" w:eastAsia="zh-CN"/>
              </w:rPr>
              <w:t>项目</w:t>
            </w:r>
            <w:r>
              <w:rPr>
                <w:rFonts w:ascii="Times New Roman" w:hAnsi="Times New Roman"/>
                <w:sz w:val="24"/>
              </w:rPr>
              <w:t>属于[C2929]塑料零件及其他塑料制品制造，</w:t>
            </w:r>
            <w:r>
              <w:rPr>
                <w:rFonts w:ascii="Times New Roman" w:hAnsi="Times New Roman"/>
                <w:bCs/>
                <w:sz w:val="24"/>
              </w:rPr>
              <w:t>本项目属于“二十四、橡胶和塑料制品</w:t>
            </w:r>
            <w:r>
              <w:rPr>
                <w:rFonts w:ascii="Times New Roman" w:hAnsi="Times New Roman"/>
                <w:sz w:val="24"/>
              </w:rPr>
              <w:t>业</w:t>
            </w:r>
            <w:r>
              <w:rPr>
                <w:rFonts w:ascii="Times New Roman" w:hAnsi="Times New Roman"/>
                <w:bCs/>
                <w:sz w:val="24"/>
              </w:rPr>
              <w:t xml:space="preserve"> 29”中“62. 塑料制品业 292”中的“其他”，属于登记管理</w:t>
            </w:r>
            <w:r>
              <w:rPr>
                <w:rFonts w:ascii="Times New Roman" w:hAnsi="Times New Roman"/>
                <w:sz w:val="24"/>
              </w:rPr>
              <w:t>，根据《排污许可证申请与核发技术规范 橡胶和塑料制品工业》（HJ1122—2020）中要求，单独排入公共污水处理系统的生活污水无需开展自行监测，但需要说明排放去向。因此本项目无废水监测计划</w:t>
            </w:r>
            <w:r>
              <w:rPr>
                <w:rFonts w:ascii="Times New Roman" w:hAnsi="Times New Roman"/>
                <w:sz w:val="24"/>
                <w:szCs w:val="32"/>
              </w:rPr>
              <w:t>。</w:t>
            </w:r>
          </w:p>
          <w:p w14:paraId="6F227B0F">
            <w:pPr>
              <w:keepNext/>
              <w:keepLines/>
              <w:spacing w:line="360" w:lineRule="auto"/>
              <w:ind w:firstLine="354" w:firstLineChars="147"/>
              <w:outlineLvl w:val="2"/>
              <w:rPr>
                <w:rFonts w:ascii="Times New Roman" w:hAnsi="Times New Roman" w:eastAsia="宋体"/>
                <w:b/>
                <w:bCs/>
                <w:caps w:val="0"/>
                <w:color w:val="000000" w:themeColor="text1"/>
                <w:sz w:val="24"/>
                <w:szCs w:val="32"/>
                <w:highlight w:val="none"/>
                <w14:textFill>
                  <w14:solidFill>
                    <w14:schemeClr w14:val="tx1"/>
                  </w14:solidFill>
                </w14:textFill>
              </w:rPr>
            </w:pPr>
            <w:r>
              <w:rPr>
                <w:rFonts w:hint="eastAsia" w:ascii="Times New Roman" w:hAnsi="Times New Roman" w:eastAsia="宋体"/>
                <w:b/>
                <w:bCs/>
                <w:caps w:val="0"/>
                <w:color w:val="000000" w:themeColor="text1"/>
                <w:sz w:val="24"/>
                <w:szCs w:val="32"/>
                <w:highlight w:val="none"/>
                <w14:textFill>
                  <w14:solidFill>
                    <w14:schemeClr w14:val="tx1"/>
                  </w14:solidFill>
                </w14:textFill>
              </w:rPr>
              <w:t>三、噪声环境影响和保护措施</w:t>
            </w:r>
          </w:p>
          <w:p w14:paraId="748C2010">
            <w:pPr>
              <w:keepNext/>
              <w:keepLines/>
              <w:spacing w:line="360" w:lineRule="auto"/>
              <w:ind w:firstLine="472" w:firstLineChars="196"/>
              <w:outlineLvl w:val="2"/>
              <w:rPr>
                <w:rFonts w:ascii="Times New Roman" w:hAnsi="Times New Roman" w:eastAsia="宋体"/>
                <w:b/>
                <w:bCs/>
                <w:caps w:val="0"/>
                <w:color w:val="000000" w:themeColor="text1"/>
                <w:sz w:val="24"/>
                <w:szCs w:val="32"/>
                <w:highlight w:val="none"/>
                <w14:textFill>
                  <w14:solidFill>
                    <w14:schemeClr w14:val="tx1"/>
                  </w14:solidFill>
                </w14:textFill>
              </w:rPr>
            </w:pPr>
            <w:r>
              <w:rPr>
                <w:rFonts w:hint="eastAsia" w:ascii="Times New Roman" w:hAnsi="Times New Roman" w:eastAsia="宋体"/>
                <w:b/>
                <w:bCs/>
                <w:caps w:val="0"/>
                <w:color w:val="000000" w:themeColor="text1"/>
                <w:sz w:val="24"/>
                <w:szCs w:val="32"/>
                <w:highlight w:val="none"/>
                <w14:textFill>
                  <w14:solidFill>
                    <w14:schemeClr w14:val="tx1"/>
                  </w14:solidFill>
                </w14:textFill>
              </w:rPr>
              <w:t>1、噪声源强</w:t>
            </w:r>
          </w:p>
          <w:p w14:paraId="7160F007">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建设项目噪声设备主要为生产设备、风机等机械噪声，单台噪声级7</w:t>
            </w:r>
            <w:r>
              <w:rPr>
                <w:rFonts w:ascii="Times New Roman" w:hAnsi="Times New Roman" w:eastAsia="宋体"/>
                <w:caps w:val="0"/>
                <w:color w:val="000000" w:themeColor="text1"/>
                <w:sz w:val="24"/>
                <w:szCs w:val="24"/>
                <w:highlight w:val="none"/>
                <w:lang w:val="de-DE"/>
                <w14:textFill>
                  <w14:solidFill>
                    <w14:schemeClr w14:val="tx1"/>
                  </w14:solidFill>
                </w14:textFill>
              </w:rPr>
              <w:t>5</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w:t>
            </w:r>
            <w:r>
              <w:rPr>
                <w:rFonts w:ascii="Times New Roman" w:hAnsi="Times New Roman" w:eastAsia="宋体"/>
                <w:caps w:val="0"/>
                <w:color w:val="000000" w:themeColor="text1"/>
                <w:sz w:val="24"/>
                <w:szCs w:val="24"/>
                <w:highlight w:val="none"/>
                <w:lang w:val="de-DE"/>
                <w14:textFill>
                  <w14:solidFill>
                    <w14:schemeClr w14:val="tx1"/>
                  </w14:solidFill>
                </w14:textFill>
              </w:rPr>
              <w:t>85</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dB</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A</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，主要高噪声设备均安装在厂房内，通过设备减振、厂房隔声等处理，降噪量可达</w:t>
            </w:r>
            <w:r>
              <w:rPr>
                <w:rFonts w:hint="eastAsia" w:ascii="Times New Roman" w:hAnsi="Times New Roman" w:eastAsia="宋体"/>
                <w:caps w:val="0"/>
                <w:color w:val="000000" w:themeColor="text1"/>
                <w:sz w:val="24"/>
                <w:szCs w:val="24"/>
                <w:highlight w:val="none"/>
                <w14:textFill>
                  <w14:solidFill>
                    <w14:schemeClr w14:val="tx1"/>
                  </w14:solidFill>
                </w14:textFill>
              </w:rPr>
              <w:t>20</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dB（A）。</w:t>
            </w:r>
          </w:p>
          <w:p w14:paraId="5884F33E">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建设单位拟采取以下降噪措施：</w:t>
            </w:r>
          </w:p>
          <w:p w14:paraId="1A710796">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1）控制设备噪声</w:t>
            </w:r>
          </w:p>
          <w:p w14:paraId="4FE65084">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在设备选型时选用先进的低噪声设备，在满足工艺设计的前提下，尽量选用满足国际标准的低噪声、低振动型号的设备，降低噪声源强。</w:t>
            </w:r>
          </w:p>
          <w:p w14:paraId="17498E9B">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2）设备减振、隔声</w:t>
            </w:r>
          </w:p>
          <w:p w14:paraId="532D10E8">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在风机的进、出口处安装阻性消声器，并在机组与地基之间安置减震器，在风机与排气筒之间设置软连接，对风机采取配套的通风散热装置设置消声器，可降噪约10dB</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A</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左右；</w:t>
            </w:r>
          </w:p>
          <w:p w14:paraId="4CE36AD3">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3）加强建筑物隔声措施</w:t>
            </w:r>
          </w:p>
          <w:p w14:paraId="494FCA56">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项目设备均安置在室内，有效利用了建筑隔声，并采取隔声材料制作门窗、墙体等，防止噪声的扩散和传播，采取隔声措施，降噪量约</w:t>
            </w:r>
            <w:r>
              <w:rPr>
                <w:rFonts w:hint="eastAsia" w:ascii="Times New Roman" w:hAnsi="Times New Roman" w:eastAsia="宋体"/>
                <w:caps w:val="0"/>
                <w:color w:val="000000" w:themeColor="text1"/>
                <w:sz w:val="24"/>
                <w:szCs w:val="24"/>
                <w:highlight w:val="none"/>
                <w14:textFill>
                  <w14:solidFill>
                    <w14:schemeClr w14:val="tx1"/>
                  </w14:solidFill>
                </w14:textFill>
              </w:rPr>
              <w:t>10</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dB</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A</w:t>
            </w:r>
            <w:r>
              <w:rPr>
                <w:rFonts w:hint="eastAsia"/>
                <w:caps w:val="0"/>
                <w:color w:val="000000" w:themeColor="text1"/>
                <w:sz w:val="24"/>
                <w:szCs w:val="24"/>
                <w:highlight w:val="none"/>
                <w:lang w:val="de-DE" w:eastAsia="zh-CN"/>
                <w14:textFill>
                  <w14:solidFill>
                    <w14:schemeClr w14:val="tx1"/>
                  </w14:solidFill>
                </w14:textFill>
              </w:rPr>
              <w:t>）</w:t>
            </w:r>
            <w:r>
              <w:rPr>
                <w:rFonts w:hint="eastAsia" w:ascii="Times New Roman" w:hAnsi="Times New Roman" w:eastAsia="宋体"/>
                <w:caps w:val="0"/>
                <w:color w:val="000000" w:themeColor="text1"/>
                <w:sz w:val="24"/>
                <w:szCs w:val="24"/>
                <w:highlight w:val="none"/>
                <w:lang w:val="de-DE"/>
                <w14:textFill>
                  <w14:solidFill>
                    <w14:schemeClr w14:val="tx1"/>
                  </w14:solidFill>
                </w14:textFill>
              </w:rPr>
              <w:t>左右。</w:t>
            </w:r>
          </w:p>
          <w:p w14:paraId="768FF2E3">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4）强化生产管理</w:t>
            </w:r>
          </w:p>
          <w:p w14:paraId="5C9BEFBF">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确保降噪设施的有效运行，并加强对生产设备的保养、检修与润滑，保证设备处于良好的运转状态。</w:t>
            </w:r>
          </w:p>
          <w:p w14:paraId="0E245A85">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5）合理布局</w:t>
            </w:r>
          </w:p>
          <w:p w14:paraId="6B5EC124">
            <w:pPr>
              <w:pStyle w:val="60"/>
              <w:spacing w:line="360" w:lineRule="auto"/>
              <w:ind w:firstLine="480"/>
              <w:rPr>
                <w:rFonts w:ascii="Times New Roman" w:hAnsi="Times New Roman" w:eastAsia="宋体"/>
                <w:caps w:val="0"/>
                <w:color w:val="000000" w:themeColor="text1"/>
                <w:sz w:val="24"/>
                <w:szCs w:val="24"/>
                <w:highlight w:val="none"/>
                <w:lang w:val="de-DE"/>
                <w14:textFill>
                  <w14:solidFill>
                    <w14:schemeClr w14:val="tx1"/>
                  </w14:solidFill>
                </w14:textFill>
              </w:rPr>
            </w:pPr>
            <w:r>
              <w:rPr>
                <w:rFonts w:hint="eastAsia" w:ascii="Times New Roman" w:hAnsi="Times New Roman" w:eastAsia="宋体"/>
                <w:caps w:val="0"/>
                <w:color w:val="000000" w:themeColor="text1"/>
                <w:sz w:val="24"/>
                <w:szCs w:val="24"/>
                <w:highlight w:val="none"/>
                <w:lang w:val="de-DE"/>
                <w14:textFill>
                  <w14:solidFill>
                    <w14:schemeClr w14:val="tx1"/>
                  </w14:solidFill>
                </w14:textFill>
              </w:rPr>
              <w:t>项目将高噪声设备尽量布置在厂区中部，通过距离衰减减轻噪声对外环境的影响。</w:t>
            </w:r>
          </w:p>
          <w:p w14:paraId="42715EF6">
            <w:pPr>
              <w:autoSpaceDE w:val="0"/>
              <w:autoSpaceDN w:val="0"/>
              <w:adjustRightInd w:val="0"/>
              <w:spacing w:line="360" w:lineRule="auto"/>
              <w:ind w:firstLine="480" w:firstLineChars="200"/>
              <w:rPr>
                <w:rFonts w:ascii="Times New Roman" w:hAnsi="Times New Roman" w:eastAsia="宋体"/>
                <w:caps w:val="0"/>
                <w:color w:val="000000" w:themeColor="text1"/>
                <w:sz w:val="24"/>
                <w:highlight w:val="none"/>
                <w:lang w:val="de-DE"/>
                <w14:textFill>
                  <w14:solidFill>
                    <w14:schemeClr w14:val="tx1"/>
                  </w14:solidFill>
                </w14:textFill>
              </w:rPr>
            </w:pPr>
            <w:r>
              <w:rPr>
                <w:rFonts w:ascii="Times New Roman" w:hAnsi="Times New Roman" w:eastAsia="宋体"/>
                <w:caps w:val="0"/>
                <w:color w:val="000000" w:themeColor="text1"/>
                <w:sz w:val="24"/>
                <w:highlight w:val="none"/>
                <w:lang w:val="de-DE"/>
                <w14:textFill>
                  <w14:solidFill>
                    <w14:schemeClr w14:val="tx1"/>
                  </w14:solidFill>
                </w14:textFill>
              </w:rPr>
              <w:t>经过以上措施处理，降噪量达</w:t>
            </w:r>
            <w:r>
              <w:rPr>
                <w:rFonts w:hint="eastAsia" w:ascii="Times New Roman" w:hAnsi="Times New Roman" w:eastAsia="宋体"/>
                <w:caps w:val="0"/>
                <w:color w:val="000000" w:themeColor="text1"/>
                <w:sz w:val="24"/>
                <w:highlight w:val="none"/>
                <w14:textFill>
                  <w14:solidFill>
                    <w14:schemeClr w14:val="tx1"/>
                  </w14:solidFill>
                </w14:textFill>
              </w:rPr>
              <w:t>20</w:t>
            </w:r>
            <w:r>
              <w:rPr>
                <w:rFonts w:ascii="Times New Roman" w:hAnsi="Times New Roman" w:eastAsia="宋体"/>
                <w:caps w:val="0"/>
                <w:color w:val="000000" w:themeColor="text1"/>
                <w:sz w:val="24"/>
                <w:highlight w:val="none"/>
                <w:lang w:val="de-DE"/>
                <w14:textFill>
                  <w14:solidFill>
                    <w14:schemeClr w14:val="tx1"/>
                  </w14:solidFill>
                </w14:textFill>
              </w:rPr>
              <w:t>dB（A）。</w:t>
            </w:r>
          </w:p>
          <w:p w14:paraId="2AEF34E7">
            <w:pPr>
              <w:pStyle w:val="60"/>
              <w:spacing w:line="360" w:lineRule="auto"/>
              <w:ind w:firstLine="480"/>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w:t>
            </w:r>
            <w:r>
              <w:rPr>
                <w:rFonts w:hint="eastAsia" w:ascii="Times New Roman" w:hAnsi="Times New Roman" w:eastAsia="宋体"/>
                <w:caps w:val="0"/>
                <w:color w:val="000000" w:themeColor="text1"/>
                <w:sz w:val="24"/>
                <w:highlight w:val="none"/>
                <w14:textFill>
                  <w14:solidFill>
                    <w14:schemeClr w14:val="tx1"/>
                  </w14:solidFill>
                </w14:textFill>
              </w:rPr>
              <w:t>项目</w:t>
            </w:r>
            <w:r>
              <w:rPr>
                <w:rFonts w:ascii="Times New Roman" w:hAnsi="Times New Roman" w:eastAsia="宋体"/>
                <w:caps w:val="0"/>
                <w:color w:val="000000" w:themeColor="text1"/>
                <w:sz w:val="24"/>
                <w:highlight w:val="none"/>
                <w14:textFill>
                  <w14:solidFill>
                    <w14:schemeClr w14:val="tx1"/>
                  </w14:solidFill>
                </w14:textFill>
              </w:rPr>
              <w:t>的主要设备噪声情况见</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下表</w:t>
            </w:r>
            <w:r>
              <w:rPr>
                <w:rFonts w:ascii="Times New Roman" w:hAnsi="Times New Roman" w:eastAsia="宋体"/>
                <w:caps w:val="0"/>
                <w:color w:val="000000" w:themeColor="text1"/>
                <w:sz w:val="24"/>
                <w:highlight w:val="none"/>
                <w14:textFill>
                  <w14:solidFill>
                    <w14:schemeClr w14:val="tx1"/>
                  </w14:solidFill>
                </w14:textFill>
              </w:rPr>
              <w:t>。</w:t>
            </w:r>
          </w:p>
        </w:tc>
      </w:tr>
    </w:tbl>
    <w:p w14:paraId="4C70299A">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2948"/>
      </w:tblGrid>
      <w:tr w14:paraId="01D5EF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29" w:hRule="atLeast"/>
          <w:jc w:val="center"/>
        </w:trPr>
        <w:tc>
          <w:tcPr>
            <w:tcW w:w="160" w:type="pct"/>
            <w:tcMar>
              <w:left w:w="28" w:type="dxa"/>
              <w:right w:w="28" w:type="dxa"/>
            </w:tcMar>
            <w:vAlign w:val="center"/>
          </w:tcPr>
          <w:p w14:paraId="4BAC7F0F">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运营</w:t>
            </w:r>
          </w:p>
          <w:p w14:paraId="4131E088">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期环</w:t>
            </w:r>
          </w:p>
          <w:p w14:paraId="60EDA5A7">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境影</w:t>
            </w:r>
          </w:p>
          <w:p w14:paraId="463DBBFE">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响和</w:t>
            </w:r>
          </w:p>
          <w:p w14:paraId="02C55E77">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保护</w:t>
            </w:r>
          </w:p>
          <w:p w14:paraId="6C4EBD16">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措施</w:t>
            </w:r>
          </w:p>
        </w:tc>
        <w:tc>
          <w:tcPr>
            <w:tcW w:w="4840" w:type="pct"/>
            <w:vAlign w:val="center"/>
          </w:tcPr>
          <w:p w14:paraId="5BECE150">
            <w:pPr>
              <w:pStyle w:val="89"/>
              <w:keepNext w:val="0"/>
              <w:keepLines w:val="0"/>
              <w:pageBreakBefore w:val="0"/>
              <w:widowControl w:val="0"/>
              <w:kinsoku/>
              <w:wordWrap/>
              <w:overflowPunct/>
              <w:topLinePunct w:val="0"/>
              <w:bidi w:val="0"/>
              <w:adjustRightInd/>
              <w:snapToGrid/>
              <w:ind w:firstLine="0" w:firstLineChars="0"/>
              <w:jc w:val="center"/>
              <w:textAlignment w:val="auto"/>
              <w:rPr>
                <w:rFonts w:ascii="Times New Roman" w:hAnsi="Times New Roman" w:eastAsia="宋体" w:cs="Times New Roman"/>
                <w:b/>
                <w:bCs/>
                <w:caps w:val="0"/>
                <w:color w:val="000000" w:themeColor="text1"/>
                <w:highlight w:val="none"/>
                <w14:textFill>
                  <w14:solidFill>
                    <w14:schemeClr w14:val="tx1"/>
                  </w14:solidFill>
                </w14:textFill>
              </w:rPr>
            </w:pPr>
            <w:r>
              <w:rPr>
                <w:rFonts w:ascii="Times New Roman" w:hAnsi="Times New Roman" w:eastAsia="宋体" w:cs="Times New Roman"/>
                <w:b/>
                <w:bCs/>
                <w:caps w:val="0"/>
                <w:color w:val="000000" w:themeColor="text1"/>
                <w:highlight w:val="none"/>
                <w14:textFill>
                  <w14:solidFill>
                    <w14:schemeClr w14:val="tx1"/>
                  </w14:solidFill>
                </w14:textFill>
              </w:rPr>
              <w:t>表 4-</w:t>
            </w:r>
            <w:r>
              <w:rPr>
                <w:rFonts w:hint="eastAsia" w:ascii="Times New Roman" w:hAnsi="Times New Roman" w:eastAsia="宋体" w:cs="Times New Roman"/>
                <w:b/>
                <w:bCs/>
                <w:caps w:val="0"/>
                <w:color w:val="000000" w:themeColor="text1"/>
                <w:highlight w:val="none"/>
                <w:lang w:val="en-US" w:eastAsia="zh-CN"/>
                <w14:textFill>
                  <w14:solidFill>
                    <w14:schemeClr w14:val="tx1"/>
                  </w14:solidFill>
                </w14:textFill>
              </w:rPr>
              <w:t>1</w:t>
            </w:r>
            <w:r>
              <w:rPr>
                <w:rFonts w:hint="eastAsia" w:ascii="Times New Roman" w:hAnsi="Times New Roman" w:cs="Times New Roman"/>
                <w:b/>
                <w:bCs/>
                <w:caps w:val="0"/>
                <w:color w:val="000000" w:themeColor="text1"/>
                <w:highlight w:val="none"/>
                <w:lang w:val="en-US" w:eastAsia="zh-CN"/>
                <w14:textFill>
                  <w14:solidFill>
                    <w14:schemeClr w14:val="tx1"/>
                  </w14:solidFill>
                </w14:textFill>
              </w:rPr>
              <w:t>2</w:t>
            </w:r>
            <w:r>
              <w:rPr>
                <w:rFonts w:ascii="Times New Roman" w:hAnsi="Times New Roman" w:eastAsia="宋体" w:cs="Times New Roman"/>
                <w:b/>
                <w:bCs/>
                <w:caps w:val="0"/>
                <w:color w:val="000000" w:themeColor="text1"/>
                <w:highlight w:val="none"/>
                <w14:textFill>
                  <w14:solidFill>
                    <w14:schemeClr w14:val="tx1"/>
                  </w14:solidFill>
                </w14:textFill>
              </w:rPr>
              <w:t xml:space="preserve"> 工业企业噪声源强调查清单（室内声源）</w:t>
            </w:r>
          </w:p>
          <w:tbl>
            <w:tblPr>
              <w:tblStyle w:val="21"/>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5"/>
              <w:gridCol w:w="425"/>
              <w:gridCol w:w="509"/>
              <w:gridCol w:w="566"/>
              <w:gridCol w:w="693"/>
              <w:gridCol w:w="453"/>
              <w:gridCol w:w="448"/>
              <w:gridCol w:w="446"/>
              <w:gridCol w:w="415"/>
              <w:gridCol w:w="359"/>
              <w:gridCol w:w="359"/>
              <w:gridCol w:w="423"/>
              <w:gridCol w:w="377"/>
              <w:gridCol w:w="377"/>
              <w:gridCol w:w="464"/>
              <w:gridCol w:w="567"/>
              <w:gridCol w:w="966"/>
              <w:gridCol w:w="423"/>
              <w:gridCol w:w="627"/>
              <w:gridCol w:w="617"/>
              <w:gridCol w:w="609"/>
              <w:gridCol w:w="397"/>
              <w:gridCol w:w="397"/>
              <w:gridCol w:w="398"/>
              <w:gridCol w:w="398"/>
              <w:gridCol w:w="584"/>
            </w:tblGrid>
            <w:tr w14:paraId="696606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5" w:hRule="exact"/>
              </w:trPr>
              <w:tc>
                <w:tcPr>
                  <w:tcW w:w="167" w:type="pct"/>
                  <w:vMerge w:val="restart"/>
                  <w:noWrap w:val="0"/>
                  <w:vAlign w:val="center"/>
                </w:tcPr>
                <w:p w14:paraId="013E301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序号</w:t>
                  </w:r>
                </w:p>
              </w:tc>
              <w:tc>
                <w:tcPr>
                  <w:tcW w:w="167" w:type="pct"/>
                  <w:vMerge w:val="restart"/>
                  <w:noWrap w:val="0"/>
                  <w:vAlign w:val="center"/>
                </w:tcPr>
                <w:p w14:paraId="1415E33A">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建筑物名称</w:t>
                  </w:r>
                </w:p>
              </w:tc>
              <w:tc>
                <w:tcPr>
                  <w:tcW w:w="200" w:type="pct"/>
                  <w:vMerge w:val="restart"/>
                  <w:noWrap w:val="0"/>
                  <w:vAlign w:val="center"/>
                </w:tcPr>
                <w:p w14:paraId="5348F281">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声源名称</w:t>
                  </w:r>
                </w:p>
              </w:tc>
              <w:tc>
                <w:tcPr>
                  <w:tcW w:w="222" w:type="pct"/>
                  <w:vMerge w:val="restart"/>
                  <w:noWrap w:val="0"/>
                  <w:vAlign w:val="center"/>
                </w:tcPr>
                <w:p w14:paraId="57303A33">
                  <w:pPr>
                    <w:keepNext w:val="0"/>
                    <w:keepLines w:val="0"/>
                    <w:pageBreakBefore w:val="0"/>
                    <w:widowControl w:val="0"/>
                    <w:kinsoku/>
                    <w:wordWrap/>
                    <w:overflowPunct/>
                    <w:topLinePunct w:val="0"/>
                    <w:bidi w:val="0"/>
                    <w:adjustRightInd/>
                    <w:snapToGrid/>
                    <w:jc w:val="center"/>
                    <w:textAlignment w:val="auto"/>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型号</w:t>
                  </w:r>
                </w:p>
              </w:tc>
              <w:tc>
                <w:tcPr>
                  <w:tcW w:w="272" w:type="pct"/>
                  <w:noWrap w:val="0"/>
                  <w:vAlign w:val="center"/>
                </w:tcPr>
                <w:p w14:paraId="77F33A60">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声源源强</w:t>
                  </w:r>
                </w:p>
              </w:tc>
              <w:tc>
                <w:tcPr>
                  <w:tcW w:w="529" w:type="pct"/>
                  <w:gridSpan w:val="3"/>
                  <w:noWrap w:val="0"/>
                  <w:vAlign w:val="center"/>
                </w:tcPr>
                <w:p w14:paraId="11FC1ED8">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空间相对位置/m</w:t>
                  </w:r>
                </w:p>
              </w:tc>
              <w:tc>
                <w:tcPr>
                  <w:tcW w:w="611" w:type="pct"/>
                  <w:gridSpan w:val="4"/>
                  <w:noWrap w:val="0"/>
                  <w:vAlign w:val="center"/>
                </w:tcPr>
                <w:p w14:paraId="20F4E613">
                  <w:pPr>
                    <w:shd w:val="clear" w:color="auto" w:fill="auto"/>
                    <w:jc w:val="center"/>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距室内边界距离/m</w:t>
                  </w:r>
                </w:p>
              </w:tc>
              <w:tc>
                <w:tcPr>
                  <w:tcW w:w="701" w:type="pct"/>
                  <w:gridSpan w:val="4"/>
                  <w:noWrap w:val="0"/>
                  <w:vAlign w:val="center"/>
                </w:tcPr>
                <w:p w14:paraId="77089552">
                  <w:pPr>
                    <w:shd w:val="clear" w:color="auto" w:fill="auto"/>
                    <w:jc w:val="center"/>
                    <w:rPr>
                      <w:rFonts w:hint="eastAsia" w:ascii="Times New Roman" w:hAnsi="Times New Roman" w:eastAsia="宋体"/>
                      <w:b/>
                      <w:caps w:val="0"/>
                      <w:color w:val="000000" w:themeColor="text1"/>
                      <w:szCs w:val="21"/>
                      <w:highlight w:val="none"/>
                      <w:lang w:eastAsia="zh-CN"/>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室内边界声级/dB</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A</w:t>
                  </w:r>
                  <w:r>
                    <w:rPr>
                      <w:rFonts w:hint="eastAsia"/>
                      <w:b/>
                      <w:caps w:val="0"/>
                      <w:color w:val="000000" w:themeColor="text1"/>
                      <w:szCs w:val="21"/>
                      <w:highlight w:val="none"/>
                      <w:lang w:eastAsia="zh-CN"/>
                      <w14:textFill>
                        <w14:solidFill>
                          <w14:schemeClr w14:val="tx1"/>
                        </w14:solidFill>
                      </w14:textFill>
                    </w:rPr>
                    <w:t>）</w:t>
                  </w:r>
                </w:p>
              </w:tc>
              <w:tc>
                <w:tcPr>
                  <w:tcW w:w="379" w:type="pct"/>
                  <w:vMerge w:val="restart"/>
                  <w:noWrap w:val="0"/>
                  <w:vAlign w:val="center"/>
                </w:tcPr>
                <w:p w14:paraId="51801A92">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运行时段</w:t>
                  </w:r>
                </w:p>
              </w:tc>
              <w:tc>
                <w:tcPr>
                  <w:tcW w:w="894" w:type="pct"/>
                  <w:gridSpan w:val="4"/>
                  <w:noWrap w:val="0"/>
                  <w:vAlign w:val="center"/>
                </w:tcPr>
                <w:p w14:paraId="0A5B8869">
                  <w:pPr>
                    <w:shd w:val="clear" w:color="auto" w:fill="auto"/>
                    <w:jc w:val="center"/>
                    <w:rPr>
                      <w:rFonts w:ascii="Times New Roman" w:hAnsi="Times New Roman" w:eastAsia="宋体"/>
                      <w:b/>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建筑物插入损失 / dB</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A</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（门窗面积m2）</w:t>
                  </w:r>
                </w:p>
              </w:tc>
              <w:tc>
                <w:tcPr>
                  <w:tcW w:w="854" w:type="pct"/>
                  <w:gridSpan w:val="5"/>
                  <w:noWrap w:val="0"/>
                  <w:vAlign w:val="center"/>
                </w:tcPr>
                <w:p w14:paraId="67BB413A">
                  <w:pPr>
                    <w:shd w:val="clear" w:color="auto" w:fill="auto"/>
                    <w:jc w:val="center"/>
                    <w:rPr>
                      <w:rFonts w:hint="eastAsia" w:ascii="Times New Roman" w:hAnsi="Times New Roman" w:eastAsia="宋体"/>
                      <w:b/>
                      <w:caps w:val="0"/>
                      <w:color w:val="000000" w:themeColor="text1"/>
                      <w:szCs w:val="21"/>
                      <w:highlight w:val="none"/>
                      <w:lang w:eastAsia="zh-CN"/>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建筑物外噪声声压级/dB</w:t>
                  </w:r>
                  <w:r>
                    <w:rPr>
                      <w:rFonts w:hint="eastAsia"/>
                      <w:b/>
                      <w:caps w:val="0"/>
                      <w:color w:val="000000" w:themeColor="text1"/>
                      <w:szCs w:val="21"/>
                      <w:highlight w:val="none"/>
                      <w:lang w:eastAsia="zh-CN"/>
                      <w14:textFill>
                        <w14:solidFill>
                          <w14:schemeClr w14:val="tx1"/>
                        </w14:solidFill>
                      </w14:textFill>
                    </w:rPr>
                    <w:t>（</w:t>
                  </w:r>
                  <w:r>
                    <w:rPr>
                      <w:rFonts w:ascii="Times New Roman" w:hAnsi="Times New Roman" w:eastAsia="宋体"/>
                      <w:b/>
                      <w:caps w:val="0"/>
                      <w:color w:val="000000" w:themeColor="text1"/>
                      <w:szCs w:val="21"/>
                      <w:highlight w:val="none"/>
                      <w14:textFill>
                        <w14:solidFill>
                          <w14:schemeClr w14:val="tx1"/>
                        </w14:solidFill>
                      </w14:textFill>
                    </w:rPr>
                    <w:t>A</w:t>
                  </w:r>
                  <w:r>
                    <w:rPr>
                      <w:rFonts w:hint="eastAsia"/>
                      <w:b/>
                      <w:caps w:val="0"/>
                      <w:color w:val="000000" w:themeColor="text1"/>
                      <w:szCs w:val="21"/>
                      <w:highlight w:val="none"/>
                      <w:lang w:eastAsia="zh-CN"/>
                      <w14:textFill>
                        <w14:solidFill>
                          <w14:schemeClr w14:val="tx1"/>
                        </w14:solidFill>
                      </w14:textFill>
                    </w:rPr>
                    <w:t>）</w:t>
                  </w:r>
                </w:p>
              </w:tc>
            </w:tr>
            <w:tr w14:paraId="65E035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820" w:hRule="atLeast"/>
              </w:trPr>
              <w:tc>
                <w:tcPr>
                  <w:tcW w:w="167" w:type="pct"/>
                  <w:vMerge w:val="continue"/>
                  <w:shd w:val="clear" w:color="auto" w:fill="FFFFFF"/>
                  <w:noWrap w:val="0"/>
                  <w:tcMar>
                    <w:top w:w="0" w:type="dxa"/>
                    <w:left w:w="0" w:type="dxa"/>
                    <w:bottom w:w="0" w:type="dxa"/>
                    <w:right w:w="0" w:type="dxa"/>
                  </w:tcMar>
                  <w:vAlign w:val="center"/>
                </w:tcPr>
                <w:p w14:paraId="40D6E77A">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67" w:type="pct"/>
                  <w:vMerge w:val="continue"/>
                  <w:shd w:val="clear" w:color="auto" w:fill="FFFFFF"/>
                  <w:noWrap w:val="0"/>
                  <w:tcMar>
                    <w:top w:w="0" w:type="dxa"/>
                    <w:left w:w="0" w:type="dxa"/>
                    <w:bottom w:w="0" w:type="dxa"/>
                    <w:right w:w="0" w:type="dxa"/>
                  </w:tcMar>
                  <w:vAlign w:val="center"/>
                </w:tcPr>
                <w:p w14:paraId="7635D2EC">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200" w:type="pct"/>
                  <w:vMerge w:val="continue"/>
                  <w:shd w:val="clear" w:color="auto" w:fill="FFFFFF"/>
                  <w:noWrap w:val="0"/>
                  <w:tcMar>
                    <w:top w:w="0" w:type="dxa"/>
                    <w:left w:w="0" w:type="dxa"/>
                    <w:bottom w:w="0" w:type="dxa"/>
                    <w:right w:w="0" w:type="dxa"/>
                  </w:tcMar>
                  <w:vAlign w:val="center"/>
                </w:tcPr>
                <w:p w14:paraId="671C3D77">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222" w:type="pct"/>
                  <w:vMerge w:val="continue"/>
                  <w:shd w:val="clear" w:color="auto" w:fill="FFFFFF"/>
                  <w:noWrap w:val="0"/>
                  <w:tcMar>
                    <w:top w:w="0" w:type="dxa"/>
                    <w:left w:w="0" w:type="dxa"/>
                    <w:bottom w:w="0" w:type="dxa"/>
                    <w:right w:w="0" w:type="dxa"/>
                  </w:tcMar>
                  <w:vAlign w:val="center"/>
                </w:tcPr>
                <w:p w14:paraId="1EA8F13C">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272" w:type="pct"/>
                  <w:shd w:val="clear" w:color="auto" w:fill="FFFFFF"/>
                  <w:noWrap w:val="0"/>
                  <w:tcMar>
                    <w:top w:w="0" w:type="dxa"/>
                    <w:left w:w="0" w:type="dxa"/>
                    <w:bottom w:w="0" w:type="dxa"/>
                    <w:right w:w="0" w:type="dxa"/>
                  </w:tcMar>
                  <w:vAlign w:val="center"/>
                </w:tcPr>
                <w:p w14:paraId="6645A9BF">
                  <w:pPr>
                    <w:shd w:val="clear" w:color="auto" w:fill="auto"/>
                    <w:jc w:val="center"/>
                    <w:rPr>
                      <w:rFonts w:hint="eastAsia" w:ascii="Times New Roman" w:hAnsi="Times New Roman" w:eastAsia="宋体"/>
                      <w:caps w:val="0"/>
                      <w:color w:val="000000" w:themeColor="text1"/>
                      <w:szCs w:val="21"/>
                      <w:highlight w:val="none"/>
                      <w:lang w:eastAsia="zh-CN"/>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声功率级/dB</w:t>
                  </w:r>
                  <w:r>
                    <w:rPr>
                      <w:rFonts w:hint="eastAsia"/>
                      <w:caps w:val="0"/>
                      <w:color w:val="000000" w:themeColor="text1"/>
                      <w:szCs w:val="21"/>
                      <w:highlight w:val="none"/>
                      <w:lang w:eastAsia="zh-CN"/>
                      <w14:textFill>
                        <w14:solidFill>
                          <w14:schemeClr w14:val="tx1"/>
                        </w14:solidFill>
                      </w14:textFill>
                    </w:rPr>
                    <w:t>（</w:t>
                  </w:r>
                  <w:r>
                    <w:rPr>
                      <w:rFonts w:ascii="Times New Roman" w:hAnsi="Times New Roman" w:eastAsia="宋体"/>
                      <w:caps w:val="0"/>
                      <w:color w:val="000000" w:themeColor="text1"/>
                      <w:szCs w:val="21"/>
                      <w:highlight w:val="none"/>
                      <w14:textFill>
                        <w14:solidFill>
                          <w14:schemeClr w14:val="tx1"/>
                        </w14:solidFill>
                      </w14:textFill>
                    </w:rPr>
                    <w:t>A</w:t>
                  </w:r>
                  <w:r>
                    <w:rPr>
                      <w:rFonts w:hint="eastAsia"/>
                      <w:caps w:val="0"/>
                      <w:color w:val="000000" w:themeColor="text1"/>
                      <w:szCs w:val="21"/>
                      <w:highlight w:val="none"/>
                      <w:lang w:eastAsia="zh-CN"/>
                      <w14:textFill>
                        <w14:solidFill>
                          <w14:schemeClr w14:val="tx1"/>
                        </w14:solidFill>
                      </w14:textFill>
                    </w:rPr>
                    <w:t>）</w:t>
                  </w:r>
                </w:p>
              </w:tc>
              <w:tc>
                <w:tcPr>
                  <w:tcW w:w="178" w:type="pct"/>
                  <w:shd w:val="clear" w:color="auto" w:fill="FFFFFF"/>
                  <w:noWrap w:val="0"/>
                  <w:tcMar>
                    <w:top w:w="0" w:type="dxa"/>
                    <w:left w:w="0" w:type="dxa"/>
                    <w:bottom w:w="0" w:type="dxa"/>
                    <w:right w:w="0" w:type="dxa"/>
                  </w:tcMar>
                  <w:vAlign w:val="center"/>
                </w:tcPr>
                <w:p w14:paraId="260C03FC">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X</w:t>
                  </w:r>
                </w:p>
              </w:tc>
              <w:tc>
                <w:tcPr>
                  <w:tcW w:w="176" w:type="pct"/>
                  <w:shd w:val="clear" w:color="auto" w:fill="FFFFFF"/>
                  <w:noWrap w:val="0"/>
                  <w:tcMar>
                    <w:top w:w="0" w:type="dxa"/>
                    <w:left w:w="0" w:type="dxa"/>
                    <w:bottom w:w="0" w:type="dxa"/>
                    <w:right w:w="0" w:type="dxa"/>
                  </w:tcMar>
                  <w:vAlign w:val="center"/>
                </w:tcPr>
                <w:p w14:paraId="3A8CFCD2">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Y</w:t>
                  </w:r>
                </w:p>
              </w:tc>
              <w:tc>
                <w:tcPr>
                  <w:tcW w:w="175" w:type="pct"/>
                  <w:shd w:val="clear" w:color="auto" w:fill="FFFFFF"/>
                  <w:noWrap w:val="0"/>
                  <w:tcMar>
                    <w:top w:w="0" w:type="dxa"/>
                    <w:left w:w="0" w:type="dxa"/>
                    <w:bottom w:w="0" w:type="dxa"/>
                    <w:right w:w="0" w:type="dxa"/>
                  </w:tcMar>
                  <w:vAlign w:val="center"/>
                </w:tcPr>
                <w:p w14:paraId="253A24A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Z</w:t>
                  </w:r>
                </w:p>
              </w:tc>
              <w:tc>
                <w:tcPr>
                  <w:tcW w:w="163" w:type="pct"/>
                  <w:shd w:val="clear" w:color="auto" w:fill="FFFFFF"/>
                  <w:noWrap w:val="0"/>
                  <w:tcMar>
                    <w:top w:w="0" w:type="dxa"/>
                    <w:left w:w="0" w:type="dxa"/>
                    <w:bottom w:w="0" w:type="dxa"/>
                    <w:right w:w="0" w:type="dxa"/>
                  </w:tcMar>
                  <w:vAlign w:val="center"/>
                </w:tcPr>
                <w:p w14:paraId="7FF3EC5C">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141" w:type="pct"/>
                  <w:shd w:val="clear" w:color="auto" w:fill="FFFFFF"/>
                  <w:noWrap w:val="0"/>
                  <w:tcMar>
                    <w:top w:w="0" w:type="dxa"/>
                    <w:left w:w="0" w:type="dxa"/>
                    <w:bottom w:w="0" w:type="dxa"/>
                    <w:right w:w="0" w:type="dxa"/>
                  </w:tcMar>
                  <w:vAlign w:val="center"/>
                </w:tcPr>
                <w:p w14:paraId="7D050BD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41" w:type="pct"/>
                  <w:shd w:val="clear" w:color="auto" w:fill="FFFFFF"/>
                  <w:noWrap w:val="0"/>
                  <w:tcMar>
                    <w:top w:w="0" w:type="dxa"/>
                    <w:left w:w="0" w:type="dxa"/>
                    <w:bottom w:w="0" w:type="dxa"/>
                    <w:right w:w="0" w:type="dxa"/>
                  </w:tcMar>
                  <w:vAlign w:val="center"/>
                </w:tcPr>
                <w:p w14:paraId="1D13010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166" w:type="pct"/>
                  <w:shd w:val="clear" w:color="auto" w:fill="FFFFFF"/>
                  <w:noWrap w:val="0"/>
                  <w:tcMar>
                    <w:top w:w="0" w:type="dxa"/>
                    <w:left w:w="0" w:type="dxa"/>
                    <w:bottom w:w="0" w:type="dxa"/>
                    <w:right w:w="0" w:type="dxa"/>
                  </w:tcMar>
                  <w:vAlign w:val="center"/>
                </w:tcPr>
                <w:p w14:paraId="0DE18FC1">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148" w:type="pct"/>
                  <w:shd w:val="clear" w:color="auto" w:fill="FFFFFF"/>
                  <w:noWrap w:val="0"/>
                  <w:tcMar>
                    <w:top w:w="0" w:type="dxa"/>
                    <w:left w:w="0" w:type="dxa"/>
                    <w:bottom w:w="0" w:type="dxa"/>
                    <w:right w:w="0" w:type="dxa"/>
                  </w:tcMar>
                  <w:vAlign w:val="center"/>
                </w:tcPr>
                <w:p w14:paraId="172958C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148" w:type="pct"/>
                  <w:shd w:val="clear" w:color="auto" w:fill="FFFFFF"/>
                  <w:noWrap w:val="0"/>
                  <w:tcMar>
                    <w:top w:w="0" w:type="dxa"/>
                    <w:left w:w="0" w:type="dxa"/>
                    <w:bottom w:w="0" w:type="dxa"/>
                    <w:right w:w="0" w:type="dxa"/>
                  </w:tcMar>
                  <w:vAlign w:val="center"/>
                </w:tcPr>
                <w:p w14:paraId="09850C9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82" w:type="pct"/>
                  <w:shd w:val="clear" w:color="auto" w:fill="FFFFFF"/>
                  <w:noWrap w:val="0"/>
                  <w:tcMar>
                    <w:top w:w="0" w:type="dxa"/>
                    <w:left w:w="0" w:type="dxa"/>
                    <w:bottom w:w="0" w:type="dxa"/>
                    <w:right w:w="0" w:type="dxa"/>
                  </w:tcMar>
                  <w:vAlign w:val="center"/>
                </w:tcPr>
                <w:p w14:paraId="5B382667">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222" w:type="pct"/>
                  <w:shd w:val="clear" w:color="auto" w:fill="FFFFFF"/>
                  <w:noWrap w:val="0"/>
                  <w:tcMar>
                    <w:top w:w="0" w:type="dxa"/>
                    <w:left w:w="0" w:type="dxa"/>
                    <w:bottom w:w="0" w:type="dxa"/>
                    <w:right w:w="0" w:type="dxa"/>
                  </w:tcMar>
                  <w:vAlign w:val="center"/>
                </w:tcPr>
                <w:p w14:paraId="2220309C">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379" w:type="pct"/>
                  <w:vMerge w:val="continue"/>
                  <w:shd w:val="clear" w:color="auto" w:fill="FFFFFF"/>
                  <w:noWrap w:val="0"/>
                  <w:tcMar>
                    <w:top w:w="0" w:type="dxa"/>
                    <w:left w:w="0" w:type="dxa"/>
                    <w:bottom w:w="0" w:type="dxa"/>
                    <w:right w:w="0" w:type="dxa"/>
                  </w:tcMar>
                  <w:vAlign w:val="center"/>
                </w:tcPr>
                <w:p w14:paraId="10C96BCA">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66" w:type="pct"/>
                  <w:shd w:val="clear" w:color="auto" w:fill="FFFFFF"/>
                  <w:noWrap w:val="0"/>
                  <w:tcMar>
                    <w:top w:w="0" w:type="dxa"/>
                    <w:left w:w="0" w:type="dxa"/>
                    <w:bottom w:w="0" w:type="dxa"/>
                    <w:right w:w="0" w:type="dxa"/>
                  </w:tcMar>
                  <w:vAlign w:val="center"/>
                </w:tcPr>
                <w:p w14:paraId="400E46B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246" w:type="pct"/>
                  <w:shd w:val="clear" w:color="auto" w:fill="FFFFFF"/>
                  <w:noWrap w:val="0"/>
                  <w:tcMar>
                    <w:top w:w="0" w:type="dxa"/>
                    <w:left w:w="0" w:type="dxa"/>
                    <w:bottom w:w="0" w:type="dxa"/>
                    <w:right w:w="0" w:type="dxa"/>
                  </w:tcMar>
                  <w:vAlign w:val="center"/>
                </w:tcPr>
                <w:p w14:paraId="2BA7630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242" w:type="pct"/>
                  <w:shd w:val="clear" w:color="auto" w:fill="FFFFFF"/>
                  <w:noWrap w:val="0"/>
                  <w:tcMar>
                    <w:top w:w="0" w:type="dxa"/>
                    <w:left w:w="0" w:type="dxa"/>
                    <w:bottom w:w="0" w:type="dxa"/>
                    <w:right w:w="0" w:type="dxa"/>
                  </w:tcMar>
                  <w:vAlign w:val="center"/>
                </w:tcPr>
                <w:p w14:paraId="4A0A4A19">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239" w:type="pct"/>
                  <w:shd w:val="clear" w:color="auto" w:fill="FFFFFF"/>
                  <w:noWrap w:val="0"/>
                  <w:tcMar>
                    <w:top w:w="0" w:type="dxa"/>
                    <w:left w:w="0" w:type="dxa"/>
                    <w:bottom w:w="0" w:type="dxa"/>
                    <w:right w:w="0" w:type="dxa"/>
                  </w:tcMar>
                  <w:vAlign w:val="center"/>
                </w:tcPr>
                <w:p w14:paraId="646B78AC">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156" w:type="pct"/>
                  <w:shd w:val="clear" w:color="auto" w:fill="FFFFFF"/>
                  <w:noWrap w:val="0"/>
                  <w:tcMar>
                    <w:top w:w="0" w:type="dxa"/>
                    <w:left w:w="0" w:type="dxa"/>
                    <w:bottom w:w="0" w:type="dxa"/>
                    <w:right w:w="0" w:type="dxa"/>
                  </w:tcMar>
                  <w:vAlign w:val="center"/>
                </w:tcPr>
                <w:p w14:paraId="27A7832F">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东</w:t>
                  </w:r>
                </w:p>
              </w:tc>
              <w:tc>
                <w:tcPr>
                  <w:tcW w:w="156" w:type="pct"/>
                  <w:shd w:val="clear" w:color="auto" w:fill="FFFFFF"/>
                  <w:noWrap w:val="0"/>
                  <w:tcMar>
                    <w:top w:w="0" w:type="dxa"/>
                    <w:left w:w="0" w:type="dxa"/>
                    <w:bottom w:w="0" w:type="dxa"/>
                    <w:right w:w="0" w:type="dxa"/>
                  </w:tcMar>
                  <w:vAlign w:val="center"/>
                </w:tcPr>
                <w:p w14:paraId="475C01C6">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南</w:t>
                  </w:r>
                </w:p>
              </w:tc>
              <w:tc>
                <w:tcPr>
                  <w:tcW w:w="156" w:type="pct"/>
                  <w:shd w:val="clear" w:color="auto" w:fill="FFFFFF"/>
                  <w:noWrap w:val="0"/>
                  <w:tcMar>
                    <w:top w:w="0" w:type="dxa"/>
                    <w:left w:w="0" w:type="dxa"/>
                    <w:bottom w:w="0" w:type="dxa"/>
                    <w:right w:w="0" w:type="dxa"/>
                  </w:tcMar>
                  <w:vAlign w:val="center"/>
                </w:tcPr>
                <w:p w14:paraId="1FCC50F2">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西</w:t>
                  </w:r>
                </w:p>
              </w:tc>
              <w:tc>
                <w:tcPr>
                  <w:tcW w:w="156" w:type="pct"/>
                  <w:shd w:val="clear" w:color="auto" w:fill="FFFFFF"/>
                  <w:noWrap w:val="0"/>
                  <w:tcMar>
                    <w:top w:w="0" w:type="dxa"/>
                    <w:left w:w="0" w:type="dxa"/>
                    <w:bottom w:w="0" w:type="dxa"/>
                    <w:right w:w="0" w:type="dxa"/>
                  </w:tcMar>
                  <w:vAlign w:val="center"/>
                </w:tcPr>
                <w:p w14:paraId="0B1BA594">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北</w:t>
                  </w:r>
                </w:p>
              </w:tc>
              <w:tc>
                <w:tcPr>
                  <w:tcW w:w="229" w:type="pct"/>
                  <w:shd w:val="clear" w:color="auto" w:fill="FFFFFF"/>
                  <w:noWrap w:val="0"/>
                  <w:tcMar>
                    <w:top w:w="0" w:type="dxa"/>
                    <w:left w:w="0" w:type="dxa"/>
                    <w:bottom w:w="0" w:type="dxa"/>
                    <w:right w:w="0" w:type="dxa"/>
                  </w:tcMar>
                  <w:vAlign w:val="center"/>
                </w:tcPr>
                <w:p w14:paraId="45ACCD90">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建筑物外距离</w:t>
                  </w:r>
                </w:p>
              </w:tc>
            </w:tr>
            <w:tr w14:paraId="41C88C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630" w:hRule="atLeast"/>
              </w:trPr>
              <w:tc>
                <w:tcPr>
                  <w:tcW w:w="167" w:type="pct"/>
                  <w:shd w:val="clear" w:color="auto" w:fill="FFFFFF"/>
                  <w:noWrap w:val="0"/>
                  <w:tcMar>
                    <w:top w:w="0" w:type="dxa"/>
                    <w:left w:w="0" w:type="dxa"/>
                    <w:bottom w:w="0" w:type="dxa"/>
                    <w:right w:w="0" w:type="dxa"/>
                  </w:tcMar>
                  <w:vAlign w:val="center"/>
                </w:tcPr>
                <w:p w14:paraId="33109572">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c>
                <w:tcPr>
                  <w:tcW w:w="167" w:type="pct"/>
                  <w:shd w:val="clear" w:color="auto" w:fill="FFFFFF"/>
                  <w:noWrap w:val="0"/>
                  <w:tcMar>
                    <w:top w:w="0" w:type="dxa"/>
                    <w:left w:w="0" w:type="dxa"/>
                    <w:bottom w:w="0" w:type="dxa"/>
                    <w:right w:w="0" w:type="dxa"/>
                  </w:tcMar>
                  <w:vAlign w:val="center"/>
                </w:tcPr>
                <w:p w14:paraId="5969734B">
                  <w:pPr>
                    <w:shd w:val="clear" w:color="auto" w:fill="auto"/>
                    <w:jc w:val="center"/>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10#厂房</w:t>
                  </w:r>
                </w:p>
              </w:tc>
              <w:tc>
                <w:tcPr>
                  <w:tcW w:w="200" w:type="pct"/>
                  <w:shd w:val="clear" w:color="auto" w:fill="FFFFFF"/>
                  <w:noWrap w:val="0"/>
                  <w:tcMar>
                    <w:top w:w="0" w:type="dxa"/>
                    <w:left w:w="0" w:type="dxa"/>
                    <w:bottom w:w="0" w:type="dxa"/>
                    <w:right w:w="0" w:type="dxa"/>
                  </w:tcMar>
                  <w:vAlign w:val="center"/>
                </w:tcPr>
                <w:p w14:paraId="3E78340E">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注塑机35台</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（按点声源组预测）</w:t>
                  </w:r>
                </w:p>
              </w:tc>
              <w:tc>
                <w:tcPr>
                  <w:tcW w:w="222" w:type="pct"/>
                  <w:shd w:val="clear" w:color="auto" w:fill="FFFFFF"/>
                  <w:noWrap w:val="0"/>
                  <w:tcMar>
                    <w:top w:w="0" w:type="dxa"/>
                    <w:left w:w="0" w:type="dxa"/>
                    <w:bottom w:w="0" w:type="dxa"/>
                    <w:right w:w="0" w:type="dxa"/>
                  </w:tcMar>
                  <w:vAlign w:val="center"/>
                </w:tcPr>
                <w:p w14:paraId="3EA240D2">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272" w:type="pct"/>
                  <w:shd w:val="clear" w:color="auto" w:fill="FFFFFF"/>
                  <w:noWrap w:val="0"/>
                  <w:tcMar>
                    <w:top w:w="0" w:type="dxa"/>
                    <w:left w:w="0" w:type="dxa"/>
                    <w:bottom w:w="0" w:type="dxa"/>
                    <w:right w:w="0" w:type="dxa"/>
                  </w:tcMar>
                  <w:vAlign w:val="center"/>
                </w:tcPr>
                <w:p w14:paraId="7D2DEA91">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80</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95.4</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78" w:type="pct"/>
                  <w:shd w:val="clear" w:color="auto" w:fill="FFFFFF"/>
                  <w:noWrap w:val="0"/>
                  <w:tcMar>
                    <w:top w:w="0" w:type="dxa"/>
                    <w:left w:w="0" w:type="dxa"/>
                    <w:bottom w:w="0" w:type="dxa"/>
                    <w:right w:w="0" w:type="dxa"/>
                  </w:tcMar>
                  <w:vAlign w:val="center"/>
                </w:tcPr>
                <w:p w14:paraId="510013FD">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76" w:type="pct"/>
                  <w:shd w:val="clear" w:color="auto" w:fill="FFFFFF"/>
                  <w:noWrap w:val="0"/>
                  <w:tcMar>
                    <w:top w:w="0" w:type="dxa"/>
                    <w:left w:w="0" w:type="dxa"/>
                    <w:bottom w:w="0" w:type="dxa"/>
                    <w:right w:w="0" w:type="dxa"/>
                  </w:tcMar>
                  <w:vAlign w:val="center"/>
                </w:tcPr>
                <w:p w14:paraId="4C252C2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10</w:t>
                  </w:r>
                </w:p>
              </w:tc>
              <w:tc>
                <w:tcPr>
                  <w:tcW w:w="175" w:type="pct"/>
                  <w:shd w:val="clear" w:color="auto" w:fill="FFFFFF"/>
                  <w:noWrap w:val="0"/>
                  <w:tcMar>
                    <w:top w:w="0" w:type="dxa"/>
                    <w:left w:w="0" w:type="dxa"/>
                    <w:bottom w:w="0" w:type="dxa"/>
                    <w:right w:w="0" w:type="dxa"/>
                  </w:tcMar>
                  <w:vAlign w:val="center"/>
                </w:tcPr>
                <w:p w14:paraId="1CB2B1E2">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3" w:type="pct"/>
                  <w:shd w:val="clear" w:color="auto" w:fill="FFFFFF"/>
                  <w:noWrap w:val="0"/>
                  <w:tcMar>
                    <w:top w:w="0" w:type="dxa"/>
                    <w:left w:w="0" w:type="dxa"/>
                    <w:bottom w:w="0" w:type="dxa"/>
                    <w:right w:w="0" w:type="dxa"/>
                  </w:tcMar>
                  <w:vAlign w:val="center"/>
                </w:tcPr>
                <w:p w14:paraId="6611C365">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 xml:space="preserve"> 24</w:t>
                  </w:r>
                </w:p>
              </w:tc>
              <w:tc>
                <w:tcPr>
                  <w:tcW w:w="141" w:type="pct"/>
                  <w:shd w:val="clear" w:color="auto" w:fill="FFFFFF"/>
                  <w:noWrap w:val="0"/>
                  <w:tcMar>
                    <w:top w:w="0" w:type="dxa"/>
                    <w:left w:w="0" w:type="dxa"/>
                    <w:bottom w:w="0" w:type="dxa"/>
                    <w:right w:w="0" w:type="dxa"/>
                  </w:tcMar>
                  <w:vAlign w:val="center"/>
                </w:tcPr>
                <w:p w14:paraId="44984FC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15</w:t>
                  </w:r>
                </w:p>
              </w:tc>
              <w:tc>
                <w:tcPr>
                  <w:tcW w:w="141" w:type="pct"/>
                  <w:shd w:val="clear" w:color="auto" w:fill="FFFFFF"/>
                  <w:noWrap w:val="0"/>
                  <w:tcMar>
                    <w:top w:w="0" w:type="dxa"/>
                    <w:left w:w="0" w:type="dxa"/>
                    <w:bottom w:w="0" w:type="dxa"/>
                    <w:right w:w="0" w:type="dxa"/>
                  </w:tcMar>
                  <w:vAlign w:val="center"/>
                </w:tcPr>
                <w:p w14:paraId="413FAA6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6" w:type="pct"/>
                  <w:shd w:val="clear" w:color="auto" w:fill="FFFFFF"/>
                  <w:noWrap w:val="0"/>
                  <w:tcMar>
                    <w:top w:w="0" w:type="dxa"/>
                    <w:left w:w="0" w:type="dxa"/>
                    <w:bottom w:w="0" w:type="dxa"/>
                    <w:right w:w="0" w:type="dxa"/>
                  </w:tcMar>
                  <w:vAlign w:val="center"/>
                </w:tcPr>
                <w:p w14:paraId="0CF69B08">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14</w:t>
                  </w:r>
                </w:p>
              </w:tc>
              <w:tc>
                <w:tcPr>
                  <w:tcW w:w="148" w:type="pct"/>
                  <w:shd w:val="clear" w:color="auto" w:fill="FFFFFF"/>
                  <w:noWrap w:val="0"/>
                  <w:tcMar>
                    <w:top w:w="0" w:type="dxa"/>
                    <w:left w:w="0" w:type="dxa"/>
                    <w:bottom w:w="0" w:type="dxa"/>
                    <w:right w:w="0" w:type="dxa"/>
                  </w:tcMar>
                  <w:vAlign w:val="center"/>
                </w:tcPr>
                <w:p w14:paraId="7AC43AFF">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67.8</w:t>
                  </w:r>
                </w:p>
              </w:tc>
              <w:tc>
                <w:tcPr>
                  <w:tcW w:w="148" w:type="pct"/>
                  <w:shd w:val="clear" w:color="auto" w:fill="FFFFFF"/>
                  <w:noWrap w:val="0"/>
                  <w:tcMar>
                    <w:top w:w="0" w:type="dxa"/>
                    <w:left w:w="0" w:type="dxa"/>
                    <w:bottom w:w="0" w:type="dxa"/>
                    <w:right w:w="0" w:type="dxa"/>
                  </w:tcMar>
                  <w:vAlign w:val="center"/>
                </w:tcPr>
                <w:p w14:paraId="22085D29">
                  <w:pPr>
                    <w:keepNext w:val="0"/>
                    <w:keepLines w:val="0"/>
                    <w:widowControl/>
                    <w:suppressLineNumbers w:val="0"/>
                    <w:jc w:val="center"/>
                    <w:textAlignment w:val="cente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71.9</w:t>
                  </w:r>
                </w:p>
              </w:tc>
              <w:tc>
                <w:tcPr>
                  <w:tcW w:w="182" w:type="pct"/>
                  <w:shd w:val="clear" w:color="auto" w:fill="FFFFFF"/>
                  <w:noWrap w:val="0"/>
                  <w:tcMar>
                    <w:top w:w="0" w:type="dxa"/>
                    <w:left w:w="0" w:type="dxa"/>
                    <w:bottom w:w="0" w:type="dxa"/>
                    <w:right w:w="0" w:type="dxa"/>
                  </w:tcMar>
                  <w:vAlign w:val="center"/>
                </w:tcPr>
                <w:p w14:paraId="6A344B11">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73.9</w:t>
                  </w:r>
                </w:p>
              </w:tc>
              <w:tc>
                <w:tcPr>
                  <w:tcW w:w="222" w:type="pct"/>
                  <w:shd w:val="clear" w:color="auto" w:fill="FFFFFF"/>
                  <w:noWrap w:val="0"/>
                  <w:tcMar>
                    <w:top w:w="0" w:type="dxa"/>
                    <w:left w:w="0" w:type="dxa"/>
                    <w:bottom w:w="0" w:type="dxa"/>
                    <w:right w:w="0" w:type="dxa"/>
                  </w:tcMar>
                  <w:vAlign w:val="center"/>
                </w:tcPr>
                <w:p w14:paraId="4D694B9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72.5</w:t>
                  </w:r>
                </w:p>
              </w:tc>
              <w:tc>
                <w:tcPr>
                  <w:tcW w:w="379" w:type="pct"/>
                  <w:vMerge w:val="restart"/>
                  <w:shd w:val="clear" w:color="auto" w:fill="FFFFFF"/>
                  <w:noWrap w:val="0"/>
                  <w:tcMar>
                    <w:top w:w="0" w:type="dxa"/>
                    <w:left w:w="0" w:type="dxa"/>
                    <w:bottom w:w="0" w:type="dxa"/>
                    <w:right w:w="0" w:type="dxa"/>
                  </w:tcMar>
                  <w:vAlign w:val="center"/>
                </w:tcPr>
                <w:p w14:paraId="22260E73">
                  <w:pPr>
                    <w:keepNext w:val="0"/>
                    <w:keepLines w:val="0"/>
                    <w:pageBreakBefore w:val="0"/>
                    <w:widowControl w:val="0"/>
                    <w:shd w:val="clear" w:color="auto" w:fill="auto"/>
                    <w:kinsoku/>
                    <w:wordWrap/>
                    <w:overflowPunct/>
                    <w:topLinePunct w:val="0"/>
                    <w:autoSpaceDE/>
                    <w:autoSpaceDN/>
                    <w:bidi/>
                    <w:adjustRightInd/>
                    <w:snapToGrid/>
                    <w:jc w:val="center"/>
                    <w:textAlignment w:val="auto"/>
                    <w:rPr>
                      <w:rFonts w:ascii="Times New Roman" w:hAnsi="Times New Roman" w:eastAsia="宋体"/>
                      <w:caps w:val="0"/>
                      <w:color w:val="000000" w:themeColor="text1"/>
                      <w:szCs w:val="21"/>
                      <w:highlight w:val="none"/>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08</w:t>
                  </w:r>
                  <w:r>
                    <w:rPr>
                      <w:rFonts w:ascii="Times New Roman" w:hAnsi="Times New Roman" w:eastAsia="宋体"/>
                      <w:caps w:val="0"/>
                      <w:color w:val="000000" w:themeColor="text1"/>
                      <w:szCs w:val="21"/>
                      <w:highlight w:val="none"/>
                      <w14:textFill>
                        <w14:solidFill>
                          <w14:schemeClr w14:val="tx1"/>
                        </w14:solidFill>
                      </w14:textFill>
                    </w:rPr>
                    <w:t>:00-</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2</w:t>
                  </w:r>
                  <w:r>
                    <w:rPr>
                      <w:rFonts w:hint="eastAsia"/>
                      <w:caps w:val="0"/>
                      <w:color w:val="000000" w:themeColor="text1"/>
                      <w:szCs w:val="21"/>
                      <w:highlight w:val="none"/>
                      <w:lang w:val="en-US" w:eastAsia="zh-CN"/>
                      <w14:textFill>
                        <w14:solidFill>
                          <w14:schemeClr w14:val="tx1"/>
                        </w14:solidFill>
                      </w14:textFill>
                    </w:rPr>
                    <w:t>4</w:t>
                  </w:r>
                  <w:r>
                    <w:rPr>
                      <w:rFonts w:ascii="Times New Roman" w:hAnsi="Times New Roman" w:eastAsia="宋体"/>
                      <w:caps w:val="0"/>
                      <w:color w:val="000000" w:themeColor="text1"/>
                      <w:szCs w:val="21"/>
                      <w:highlight w:val="none"/>
                      <w14:textFill>
                        <w14:solidFill>
                          <w14:schemeClr w14:val="tx1"/>
                        </w14:solidFill>
                      </w14:textFill>
                    </w:rPr>
                    <w:t>:00</w:t>
                  </w:r>
                </w:p>
              </w:tc>
              <w:tc>
                <w:tcPr>
                  <w:tcW w:w="166" w:type="pct"/>
                  <w:shd w:val="clear" w:color="auto" w:fill="FFFFFF"/>
                  <w:noWrap w:val="0"/>
                  <w:tcMar>
                    <w:top w:w="0" w:type="dxa"/>
                    <w:left w:w="0" w:type="dxa"/>
                    <w:bottom w:w="0" w:type="dxa"/>
                    <w:right w:w="0" w:type="dxa"/>
                  </w:tcMar>
                  <w:vAlign w:val="center"/>
                </w:tcPr>
                <w:p w14:paraId="2AA13F66">
                  <w:pPr>
                    <w:widowControl/>
                    <w:shd w:val="clear" w:color="auto" w:fill="auto"/>
                    <w:jc w:val="center"/>
                    <w:textAlignment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46" w:type="pct"/>
                  <w:shd w:val="clear" w:color="auto" w:fill="FFFFFF"/>
                  <w:noWrap w:val="0"/>
                  <w:tcMar>
                    <w:top w:w="0" w:type="dxa"/>
                    <w:left w:w="0" w:type="dxa"/>
                    <w:bottom w:w="0" w:type="dxa"/>
                    <w:right w:w="0" w:type="dxa"/>
                  </w:tcMar>
                  <w:vAlign w:val="center"/>
                </w:tcPr>
                <w:p w14:paraId="5237B299">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42" w:type="pct"/>
                  <w:shd w:val="clear" w:color="auto" w:fill="FFFFFF"/>
                  <w:noWrap w:val="0"/>
                  <w:tcMar>
                    <w:top w:w="0" w:type="dxa"/>
                    <w:left w:w="0" w:type="dxa"/>
                    <w:bottom w:w="0" w:type="dxa"/>
                    <w:right w:w="0" w:type="dxa"/>
                  </w:tcMar>
                  <w:vAlign w:val="center"/>
                </w:tcPr>
                <w:p w14:paraId="1815B809">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39" w:type="pct"/>
                  <w:shd w:val="clear" w:color="auto" w:fill="FFFFFF"/>
                  <w:noWrap w:val="0"/>
                  <w:tcMar>
                    <w:top w:w="0" w:type="dxa"/>
                    <w:left w:w="0" w:type="dxa"/>
                    <w:bottom w:w="0" w:type="dxa"/>
                    <w:right w:w="0" w:type="dxa"/>
                  </w:tcMar>
                  <w:vAlign w:val="center"/>
                </w:tcPr>
                <w:p w14:paraId="012AB172">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397" w:type="dxa"/>
                  <w:shd w:val="clear" w:color="auto" w:fill="FFFFFF"/>
                  <w:noWrap w:val="0"/>
                  <w:tcMar>
                    <w:top w:w="0" w:type="dxa"/>
                    <w:left w:w="0" w:type="dxa"/>
                    <w:bottom w:w="0" w:type="dxa"/>
                    <w:right w:w="0" w:type="dxa"/>
                  </w:tcMar>
                  <w:vAlign w:val="center"/>
                </w:tcPr>
                <w:p w14:paraId="7F73DD4C">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47.8</w:t>
                  </w:r>
                </w:p>
              </w:tc>
              <w:tc>
                <w:tcPr>
                  <w:tcW w:w="397" w:type="dxa"/>
                  <w:shd w:val="clear" w:color="auto" w:fill="FFFFFF"/>
                  <w:noWrap w:val="0"/>
                  <w:tcMar>
                    <w:top w:w="0" w:type="dxa"/>
                    <w:left w:w="0" w:type="dxa"/>
                    <w:bottom w:w="0" w:type="dxa"/>
                    <w:right w:w="0" w:type="dxa"/>
                  </w:tcMar>
                  <w:vAlign w:val="center"/>
                </w:tcPr>
                <w:p w14:paraId="12CAD8E5">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51.9</w:t>
                  </w:r>
                </w:p>
              </w:tc>
              <w:tc>
                <w:tcPr>
                  <w:tcW w:w="398" w:type="dxa"/>
                  <w:shd w:val="clear" w:color="auto" w:fill="FFFFFF"/>
                  <w:noWrap w:val="0"/>
                  <w:tcMar>
                    <w:top w:w="0" w:type="dxa"/>
                    <w:left w:w="0" w:type="dxa"/>
                    <w:bottom w:w="0" w:type="dxa"/>
                    <w:right w:w="0" w:type="dxa"/>
                  </w:tcMar>
                  <w:vAlign w:val="center"/>
                </w:tcPr>
                <w:p w14:paraId="24EBD98C">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53.9</w:t>
                  </w:r>
                </w:p>
              </w:tc>
              <w:tc>
                <w:tcPr>
                  <w:tcW w:w="398" w:type="dxa"/>
                  <w:shd w:val="clear" w:color="auto" w:fill="FFFFFF"/>
                  <w:noWrap w:val="0"/>
                  <w:tcMar>
                    <w:top w:w="0" w:type="dxa"/>
                    <w:left w:w="0" w:type="dxa"/>
                    <w:bottom w:w="0" w:type="dxa"/>
                    <w:right w:w="0" w:type="dxa"/>
                  </w:tcMar>
                  <w:vAlign w:val="center"/>
                </w:tcPr>
                <w:p w14:paraId="434A88BC">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52.5</w:t>
                  </w:r>
                </w:p>
              </w:tc>
              <w:tc>
                <w:tcPr>
                  <w:tcW w:w="229" w:type="pct"/>
                  <w:shd w:val="clear" w:color="auto" w:fill="FFFFFF"/>
                  <w:noWrap w:val="0"/>
                  <w:tcMar>
                    <w:top w:w="0" w:type="dxa"/>
                    <w:left w:w="0" w:type="dxa"/>
                    <w:bottom w:w="0" w:type="dxa"/>
                    <w:right w:w="0" w:type="dxa"/>
                  </w:tcMar>
                  <w:vAlign w:val="center"/>
                </w:tcPr>
                <w:p w14:paraId="710A3FA6">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r>
            <w:tr w14:paraId="412CFE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630" w:hRule="atLeast"/>
              </w:trPr>
              <w:tc>
                <w:tcPr>
                  <w:tcW w:w="167" w:type="pct"/>
                  <w:shd w:val="clear" w:color="auto" w:fill="FFFFFF"/>
                  <w:noWrap w:val="0"/>
                  <w:tcMar>
                    <w:top w:w="0" w:type="dxa"/>
                    <w:left w:w="0" w:type="dxa"/>
                    <w:bottom w:w="0" w:type="dxa"/>
                    <w:right w:w="0" w:type="dxa"/>
                  </w:tcMar>
                  <w:vAlign w:val="center"/>
                </w:tcPr>
                <w:p w14:paraId="44A13EA7">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2</w:t>
                  </w:r>
                </w:p>
              </w:tc>
              <w:tc>
                <w:tcPr>
                  <w:tcW w:w="167" w:type="pct"/>
                  <w:shd w:val="clear" w:color="auto" w:fill="FFFFFF"/>
                  <w:noWrap w:val="0"/>
                  <w:tcMar>
                    <w:top w:w="0" w:type="dxa"/>
                    <w:left w:w="0" w:type="dxa"/>
                    <w:bottom w:w="0" w:type="dxa"/>
                    <w:right w:w="0" w:type="dxa"/>
                  </w:tcMar>
                  <w:vAlign w:val="center"/>
                </w:tcPr>
                <w:p w14:paraId="4C6EE41D">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2#厂房</w:t>
                  </w:r>
                </w:p>
              </w:tc>
              <w:tc>
                <w:tcPr>
                  <w:tcW w:w="200" w:type="pct"/>
                  <w:shd w:val="clear" w:color="auto" w:fill="FFFFFF"/>
                  <w:noWrap w:val="0"/>
                  <w:tcMar>
                    <w:top w:w="0" w:type="dxa"/>
                    <w:left w:w="0" w:type="dxa"/>
                    <w:bottom w:w="0" w:type="dxa"/>
                    <w:right w:w="0" w:type="dxa"/>
                  </w:tcMar>
                  <w:vAlign w:val="center"/>
                </w:tcPr>
                <w:p w14:paraId="6E74C422">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超高速冲床3台</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（按点声源组预测）</w:t>
                  </w:r>
                </w:p>
              </w:tc>
              <w:tc>
                <w:tcPr>
                  <w:tcW w:w="222" w:type="pct"/>
                  <w:shd w:val="clear" w:color="auto" w:fill="FFFFFF"/>
                  <w:noWrap w:val="0"/>
                  <w:tcMar>
                    <w:top w:w="0" w:type="dxa"/>
                    <w:left w:w="0" w:type="dxa"/>
                    <w:bottom w:w="0" w:type="dxa"/>
                    <w:right w:w="0" w:type="dxa"/>
                  </w:tcMar>
                  <w:vAlign w:val="center"/>
                </w:tcPr>
                <w:p w14:paraId="009DEE8F">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272" w:type="pct"/>
                  <w:shd w:val="clear" w:color="auto" w:fill="FFFFFF"/>
                  <w:noWrap w:val="0"/>
                  <w:tcMar>
                    <w:top w:w="0" w:type="dxa"/>
                    <w:left w:w="0" w:type="dxa"/>
                    <w:bottom w:w="0" w:type="dxa"/>
                    <w:right w:w="0" w:type="dxa"/>
                  </w:tcMar>
                  <w:vAlign w:val="center"/>
                </w:tcPr>
                <w:p w14:paraId="7150C504">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8</w:t>
                  </w:r>
                  <w:r>
                    <w:rPr>
                      <w:rFonts w:ascii="Times New Roman" w:hAnsi="Times New Roman" w:eastAsia="宋体"/>
                      <w:caps w:val="0"/>
                      <w:color w:val="000000" w:themeColor="text1"/>
                      <w:szCs w:val="21"/>
                      <w:highlight w:val="none"/>
                      <w14:textFill>
                        <w14:solidFill>
                          <w14:schemeClr w14:val="tx1"/>
                        </w14:solidFill>
                      </w14:textFill>
                    </w:rPr>
                    <w:t>5</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89.8</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78" w:type="pct"/>
                  <w:shd w:val="clear" w:color="auto" w:fill="FFFFFF"/>
                  <w:noWrap w:val="0"/>
                  <w:tcMar>
                    <w:top w:w="0" w:type="dxa"/>
                    <w:left w:w="0" w:type="dxa"/>
                    <w:bottom w:w="0" w:type="dxa"/>
                    <w:right w:w="0" w:type="dxa"/>
                  </w:tcMar>
                  <w:vAlign w:val="center"/>
                </w:tcPr>
                <w:p w14:paraId="4435908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22</w:t>
                  </w:r>
                </w:p>
              </w:tc>
              <w:tc>
                <w:tcPr>
                  <w:tcW w:w="176" w:type="pct"/>
                  <w:shd w:val="clear" w:color="auto" w:fill="FFFFFF"/>
                  <w:noWrap w:val="0"/>
                  <w:tcMar>
                    <w:top w:w="0" w:type="dxa"/>
                    <w:left w:w="0" w:type="dxa"/>
                    <w:bottom w:w="0" w:type="dxa"/>
                    <w:right w:w="0" w:type="dxa"/>
                  </w:tcMar>
                  <w:vAlign w:val="center"/>
                </w:tcPr>
                <w:p w14:paraId="60FC1160">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75" w:type="pct"/>
                  <w:shd w:val="clear" w:color="auto" w:fill="FFFFFF"/>
                  <w:noWrap w:val="0"/>
                  <w:tcMar>
                    <w:top w:w="0" w:type="dxa"/>
                    <w:left w:w="0" w:type="dxa"/>
                    <w:bottom w:w="0" w:type="dxa"/>
                    <w:right w:w="0" w:type="dxa"/>
                  </w:tcMar>
                  <w:vAlign w:val="center"/>
                </w:tcPr>
                <w:p w14:paraId="653302B4">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3" w:type="pct"/>
                  <w:shd w:val="clear" w:color="auto" w:fill="FFFFFF"/>
                  <w:noWrap w:val="0"/>
                  <w:tcMar>
                    <w:top w:w="0" w:type="dxa"/>
                    <w:left w:w="0" w:type="dxa"/>
                    <w:bottom w:w="0" w:type="dxa"/>
                    <w:right w:w="0" w:type="dxa"/>
                  </w:tcMar>
                  <w:vAlign w:val="center"/>
                </w:tcPr>
                <w:p w14:paraId="31FD7D8A">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22</w:t>
                  </w:r>
                </w:p>
              </w:tc>
              <w:tc>
                <w:tcPr>
                  <w:tcW w:w="141" w:type="pct"/>
                  <w:shd w:val="clear" w:color="auto" w:fill="FFFFFF"/>
                  <w:noWrap w:val="0"/>
                  <w:tcMar>
                    <w:top w:w="0" w:type="dxa"/>
                    <w:left w:w="0" w:type="dxa"/>
                    <w:bottom w:w="0" w:type="dxa"/>
                    <w:right w:w="0" w:type="dxa"/>
                  </w:tcMar>
                  <w:vAlign w:val="center"/>
                </w:tcPr>
                <w:p w14:paraId="3C0EC172">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28</w:t>
                  </w:r>
                </w:p>
              </w:tc>
              <w:tc>
                <w:tcPr>
                  <w:tcW w:w="141" w:type="pct"/>
                  <w:shd w:val="clear" w:color="auto" w:fill="FFFFFF"/>
                  <w:noWrap w:val="0"/>
                  <w:tcMar>
                    <w:top w:w="0" w:type="dxa"/>
                    <w:left w:w="0" w:type="dxa"/>
                    <w:bottom w:w="0" w:type="dxa"/>
                    <w:right w:w="0" w:type="dxa"/>
                  </w:tcMar>
                  <w:vAlign w:val="center"/>
                </w:tcPr>
                <w:p w14:paraId="5F961286">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81</w:t>
                  </w:r>
                </w:p>
              </w:tc>
              <w:tc>
                <w:tcPr>
                  <w:tcW w:w="166" w:type="pct"/>
                  <w:shd w:val="clear" w:color="auto" w:fill="FFFFFF"/>
                  <w:noWrap w:val="0"/>
                  <w:tcMar>
                    <w:top w:w="0" w:type="dxa"/>
                    <w:left w:w="0" w:type="dxa"/>
                    <w:bottom w:w="0" w:type="dxa"/>
                    <w:right w:w="0" w:type="dxa"/>
                  </w:tcMar>
                  <w:vAlign w:val="center"/>
                </w:tcPr>
                <w:p w14:paraId="6EA366B2">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11</w:t>
                  </w:r>
                </w:p>
              </w:tc>
              <w:tc>
                <w:tcPr>
                  <w:tcW w:w="148" w:type="pct"/>
                  <w:shd w:val="clear" w:color="auto" w:fill="FFFFFF"/>
                  <w:noWrap w:val="0"/>
                  <w:tcMar>
                    <w:top w:w="0" w:type="dxa"/>
                    <w:left w:w="0" w:type="dxa"/>
                    <w:bottom w:w="0" w:type="dxa"/>
                    <w:right w:w="0" w:type="dxa"/>
                  </w:tcMar>
                  <w:vAlign w:val="center"/>
                </w:tcPr>
                <w:p w14:paraId="31377AC9">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62.9</w:t>
                  </w:r>
                </w:p>
              </w:tc>
              <w:tc>
                <w:tcPr>
                  <w:tcW w:w="148" w:type="pct"/>
                  <w:shd w:val="clear" w:color="auto" w:fill="FFFFFF"/>
                  <w:noWrap w:val="0"/>
                  <w:tcMar>
                    <w:top w:w="0" w:type="dxa"/>
                    <w:left w:w="0" w:type="dxa"/>
                    <w:bottom w:w="0" w:type="dxa"/>
                    <w:right w:w="0" w:type="dxa"/>
                  </w:tcMar>
                  <w:vAlign w:val="center"/>
                </w:tcPr>
                <w:p w14:paraId="6AD21236">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60.8</w:t>
                  </w:r>
                </w:p>
              </w:tc>
              <w:tc>
                <w:tcPr>
                  <w:tcW w:w="182" w:type="pct"/>
                  <w:shd w:val="clear" w:color="auto" w:fill="FFFFFF"/>
                  <w:noWrap w:val="0"/>
                  <w:tcMar>
                    <w:top w:w="0" w:type="dxa"/>
                    <w:left w:w="0" w:type="dxa"/>
                    <w:bottom w:w="0" w:type="dxa"/>
                    <w:right w:w="0" w:type="dxa"/>
                  </w:tcMar>
                  <w:vAlign w:val="center"/>
                </w:tcPr>
                <w:p w14:paraId="15FBF3D2">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51.6</w:t>
                  </w:r>
                </w:p>
              </w:tc>
              <w:tc>
                <w:tcPr>
                  <w:tcW w:w="222" w:type="pct"/>
                  <w:shd w:val="clear" w:color="auto" w:fill="FFFFFF"/>
                  <w:noWrap w:val="0"/>
                  <w:tcMar>
                    <w:top w:w="0" w:type="dxa"/>
                    <w:left w:w="0" w:type="dxa"/>
                    <w:bottom w:w="0" w:type="dxa"/>
                    <w:right w:w="0" w:type="dxa"/>
                  </w:tcMar>
                  <w:vAlign w:val="center"/>
                </w:tcPr>
                <w:p w14:paraId="242DBFCA">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68.9</w:t>
                  </w:r>
                </w:p>
              </w:tc>
              <w:tc>
                <w:tcPr>
                  <w:tcW w:w="379" w:type="pct"/>
                  <w:vMerge w:val="continue"/>
                  <w:shd w:val="clear" w:color="auto" w:fill="FFFFFF"/>
                  <w:noWrap w:val="0"/>
                  <w:tcMar>
                    <w:top w:w="0" w:type="dxa"/>
                    <w:left w:w="0" w:type="dxa"/>
                    <w:bottom w:w="0" w:type="dxa"/>
                    <w:right w:w="0" w:type="dxa"/>
                  </w:tcMar>
                  <w:vAlign w:val="center"/>
                </w:tcPr>
                <w:p w14:paraId="65AE3ABB">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66" w:type="pct"/>
                  <w:shd w:val="clear" w:color="auto" w:fill="FFFFFF"/>
                  <w:noWrap w:val="0"/>
                  <w:tcMar>
                    <w:top w:w="0" w:type="dxa"/>
                    <w:left w:w="0" w:type="dxa"/>
                    <w:bottom w:w="0" w:type="dxa"/>
                    <w:right w:w="0" w:type="dxa"/>
                  </w:tcMar>
                  <w:vAlign w:val="center"/>
                </w:tcPr>
                <w:p w14:paraId="2197C5CE">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46" w:type="pct"/>
                  <w:shd w:val="clear" w:color="auto" w:fill="FFFFFF"/>
                  <w:noWrap w:val="0"/>
                  <w:tcMar>
                    <w:top w:w="0" w:type="dxa"/>
                    <w:left w:w="0" w:type="dxa"/>
                    <w:bottom w:w="0" w:type="dxa"/>
                    <w:right w:w="0" w:type="dxa"/>
                  </w:tcMar>
                  <w:vAlign w:val="center"/>
                </w:tcPr>
                <w:p w14:paraId="1E19E1FD">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42" w:type="pct"/>
                  <w:shd w:val="clear" w:color="auto" w:fill="FFFFFF"/>
                  <w:noWrap w:val="0"/>
                  <w:tcMar>
                    <w:top w:w="0" w:type="dxa"/>
                    <w:left w:w="0" w:type="dxa"/>
                    <w:bottom w:w="0" w:type="dxa"/>
                    <w:right w:w="0" w:type="dxa"/>
                  </w:tcMar>
                  <w:vAlign w:val="center"/>
                </w:tcPr>
                <w:p w14:paraId="117C5848">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39" w:type="pct"/>
                  <w:shd w:val="clear" w:color="auto" w:fill="FFFFFF"/>
                  <w:noWrap w:val="0"/>
                  <w:tcMar>
                    <w:top w:w="0" w:type="dxa"/>
                    <w:left w:w="0" w:type="dxa"/>
                    <w:bottom w:w="0" w:type="dxa"/>
                    <w:right w:w="0" w:type="dxa"/>
                  </w:tcMar>
                  <w:vAlign w:val="center"/>
                </w:tcPr>
                <w:p w14:paraId="4CE9C316">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397" w:type="dxa"/>
                  <w:shd w:val="clear" w:color="auto" w:fill="FFFFFF"/>
                  <w:noWrap w:val="0"/>
                  <w:tcMar>
                    <w:top w:w="0" w:type="dxa"/>
                    <w:left w:w="0" w:type="dxa"/>
                    <w:bottom w:w="0" w:type="dxa"/>
                    <w:right w:w="0" w:type="dxa"/>
                  </w:tcMar>
                  <w:vAlign w:val="center"/>
                </w:tcPr>
                <w:p w14:paraId="6ABD1123">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42.9</w:t>
                  </w:r>
                </w:p>
              </w:tc>
              <w:tc>
                <w:tcPr>
                  <w:tcW w:w="397" w:type="dxa"/>
                  <w:shd w:val="clear" w:color="auto" w:fill="FFFFFF"/>
                  <w:noWrap w:val="0"/>
                  <w:tcMar>
                    <w:top w:w="0" w:type="dxa"/>
                    <w:left w:w="0" w:type="dxa"/>
                    <w:bottom w:w="0" w:type="dxa"/>
                    <w:right w:w="0" w:type="dxa"/>
                  </w:tcMar>
                  <w:vAlign w:val="center"/>
                </w:tcPr>
                <w:p w14:paraId="734481CB">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40.8</w:t>
                  </w:r>
                </w:p>
              </w:tc>
              <w:tc>
                <w:tcPr>
                  <w:tcW w:w="398" w:type="dxa"/>
                  <w:shd w:val="clear" w:color="auto" w:fill="FFFFFF"/>
                  <w:noWrap w:val="0"/>
                  <w:tcMar>
                    <w:top w:w="0" w:type="dxa"/>
                    <w:left w:w="0" w:type="dxa"/>
                    <w:bottom w:w="0" w:type="dxa"/>
                    <w:right w:w="0" w:type="dxa"/>
                  </w:tcMar>
                  <w:vAlign w:val="center"/>
                </w:tcPr>
                <w:p w14:paraId="60F69E4F">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31.6</w:t>
                  </w:r>
                </w:p>
              </w:tc>
              <w:tc>
                <w:tcPr>
                  <w:tcW w:w="398" w:type="dxa"/>
                  <w:shd w:val="clear" w:color="auto" w:fill="FFFFFF"/>
                  <w:noWrap w:val="0"/>
                  <w:tcMar>
                    <w:top w:w="0" w:type="dxa"/>
                    <w:left w:w="0" w:type="dxa"/>
                    <w:bottom w:w="0" w:type="dxa"/>
                    <w:right w:w="0" w:type="dxa"/>
                  </w:tcMar>
                  <w:vAlign w:val="center"/>
                </w:tcPr>
                <w:p w14:paraId="6DA4BD89">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48.9</w:t>
                  </w:r>
                </w:p>
              </w:tc>
              <w:tc>
                <w:tcPr>
                  <w:tcW w:w="229" w:type="pct"/>
                  <w:shd w:val="clear" w:color="auto" w:fill="FFFFFF"/>
                  <w:noWrap w:val="0"/>
                  <w:tcMar>
                    <w:top w:w="0" w:type="dxa"/>
                    <w:left w:w="0" w:type="dxa"/>
                    <w:bottom w:w="0" w:type="dxa"/>
                    <w:right w:w="0" w:type="dxa"/>
                  </w:tcMar>
                  <w:vAlign w:val="center"/>
                </w:tcPr>
                <w:p w14:paraId="6C1684DF">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r>
            <w:tr w14:paraId="025CE9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50" w:hRule="atLeast"/>
              </w:trPr>
              <w:tc>
                <w:tcPr>
                  <w:tcW w:w="167" w:type="pct"/>
                  <w:shd w:val="clear" w:color="auto" w:fill="FFFFFF"/>
                  <w:noWrap w:val="0"/>
                  <w:tcMar>
                    <w:top w:w="0" w:type="dxa"/>
                    <w:left w:w="0" w:type="dxa"/>
                    <w:bottom w:w="0" w:type="dxa"/>
                    <w:right w:w="0" w:type="dxa"/>
                  </w:tcMar>
                  <w:vAlign w:val="center"/>
                </w:tcPr>
                <w:p w14:paraId="59519F19">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3</w:t>
                  </w:r>
                </w:p>
              </w:tc>
              <w:tc>
                <w:tcPr>
                  <w:tcW w:w="167" w:type="pct"/>
                  <w:shd w:val="clear" w:color="auto" w:fill="FFFFFF"/>
                  <w:noWrap w:val="0"/>
                  <w:tcMar>
                    <w:top w:w="0" w:type="dxa"/>
                    <w:left w:w="0" w:type="dxa"/>
                    <w:bottom w:w="0" w:type="dxa"/>
                    <w:right w:w="0" w:type="dxa"/>
                  </w:tcMar>
                  <w:vAlign w:val="center"/>
                </w:tcPr>
                <w:p w14:paraId="634F61C6">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2#厂房</w:t>
                  </w:r>
                </w:p>
              </w:tc>
              <w:tc>
                <w:tcPr>
                  <w:tcW w:w="200" w:type="pct"/>
                  <w:shd w:val="clear" w:color="auto" w:fill="FFFFFF"/>
                  <w:noWrap w:val="0"/>
                  <w:tcMar>
                    <w:top w:w="0" w:type="dxa"/>
                    <w:left w:w="0" w:type="dxa"/>
                    <w:bottom w:w="0" w:type="dxa"/>
                    <w:right w:w="0" w:type="dxa"/>
                  </w:tcMar>
                  <w:vAlign w:val="center"/>
                </w:tcPr>
                <w:p w14:paraId="4434F758">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高速冲床8台</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（按点声源组预测）</w:t>
                  </w:r>
                </w:p>
              </w:tc>
              <w:tc>
                <w:tcPr>
                  <w:tcW w:w="222" w:type="pct"/>
                  <w:shd w:val="clear" w:color="auto" w:fill="FFFFFF"/>
                  <w:noWrap w:val="0"/>
                  <w:tcMar>
                    <w:top w:w="0" w:type="dxa"/>
                    <w:left w:w="0" w:type="dxa"/>
                    <w:bottom w:w="0" w:type="dxa"/>
                    <w:right w:w="0" w:type="dxa"/>
                  </w:tcMar>
                  <w:vAlign w:val="center"/>
                </w:tcPr>
                <w:p w14:paraId="02839DD4">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272" w:type="pct"/>
                  <w:shd w:val="clear" w:color="auto" w:fill="FFFFFF"/>
                  <w:noWrap w:val="0"/>
                  <w:tcMar>
                    <w:top w:w="0" w:type="dxa"/>
                    <w:left w:w="0" w:type="dxa"/>
                    <w:bottom w:w="0" w:type="dxa"/>
                    <w:right w:w="0" w:type="dxa"/>
                  </w:tcMar>
                  <w:vAlign w:val="center"/>
                </w:tcPr>
                <w:p w14:paraId="43F1FF97">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85</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94</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78" w:type="pct"/>
                  <w:shd w:val="clear" w:color="auto" w:fill="FFFFFF"/>
                  <w:noWrap w:val="0"/>
                  <w:tcMar>
                    <w:top w:w="0" w:type="dxa"/>
                    <w:left w:w="0" w:type="dxa"/>
                    <w:bottom w:w="0" w:type="dxa"/>
                    <w:right w:w="0" w:type="dxa"/>
                  </w:tcMar>
                  <w:vAlign w:val="center"/>
                </w:tcPr>
                <w:p w14:paraId="557480F2">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32</w:t>
                  </w:r>
                </w:p>
              </w:tc>
              <w:tc>
                <w:tcPr>
                  <w:tcW w:w="176" w:type="pct"/>
                  <w:shd w:val="clear" w:color="auto" w:fill="FFFFFF"/>
                  <w:noWrap w:val="0"/>
                  <w:tcMar>
                    <w:top w:w="0" w:type="dxa"/>
                    <w:left w:w="0" w:type="dxa"/>
                    <w:bottom w:w="0" w:type="dxa"/>
                    <w:right w:w="0" w:type="dxa"/>
                  </w:tcMar>
                  <w:vAlign w:val="center"/>
                </w:tcPr>
                <w:p w14:paraId="6BCDD3CB">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11</w:t>
                  </w:r>
                </w:p>
              </w:tc>
              <w:tc>
                <w:tcPr>
                  <w:tcW w:w="175" w:type="pct"/>
                  <w:shd w:val="clear" w:color="auto" w:fill="FFFFFF"/>
                  <w:noWrap w:val="0"/>
                  <w:tcMar>
                    <w:top w:w="0" w:type="dxa"/>
                    <w:left w:w="0" w:type="dxa"/>
                    <w:bottom w:w="0" w:type="dxa"/>
                    <w:right w:w="0" w:type="dxa"/>
                  </w:tcMar>
                  <w:vAlign w:val="center"/>
                </w:tcPr>
                <w:p w14:paraId="611E5AD3">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3" w:type="pct"/>
                  <w:shd w:val="clear" w:color="auto" w:fill="FFFFFF"/>
                  <w:noWrap w:val="0"/>
                  <w:tcMar>
                    <w:top w:w="0" w:type="dxa"/>
                    <w:left w:w="0" w:type="dxa"/>
                    <w:bottom w:w="0" w:type="dxa"/>
                    <w:right w:w="0" w:type="dxa"/>
                  </w:tcMar>
                  <w:vAlign w:val="center"/>
                </w:tcPr>
                <w:p w14:paraId="20FE3651">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32</w:t>
                  </w:r>
                </w:p>
              </w:tc>
              <w:tc>
                <w:tcPr>
                  <w:tcW w:w="141" w:type="pct"/>
                  <w:shd w:val="clear" w:color="auto" w:fill="FFFFFF"/>
                  <w:noWrap w:val="0"/>
                  <w:tcMar>
                    <w:top w:w="0" w:type="dxa"/>
                    <w:left w:w="0" w:type="dxa"/>
                    <w:bottom w:w="0" w:type="dxa"/>
                    <w:right w:w="0" w:type="dxa"/>
                  </w:tcMar>
                  <w:vAlign w:val="center"/>
                </w:tcPr>
                <w:p w14:paraId="750F5762">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11</w:t>
                  </w:r>
                </w:p>
              </w:tc>
              <w:tc>
                <w:tcPr>
                  <w:tcW w:w="141" w:type="pct"/>
                  <w:shd w:val="clear" w:color="auto" w:fill="FFFFFF"/>
                  <w:noWrap w:val="0"/>
                  <w:tcMar>
                    <w:top w:w="0" w:type="dxa"/>
                    <w:left w:w="0" w:type="dxa"/>
                    <w:bottom w:w="0" w:type="dxa"/>
                    <w:right w:w="0" w:type="dxa"/>
                  </w:tcMar>
                  <w:vAlign w:val="center"/>
                </w:tcPr>
                <w:p w14:paraId="0A543759">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71</w:t>
                  </w:r>
                </w:p>
              </w:tc>
              <w:tc>
                <w:tcPr>
                  <w:tcW w:w="166" w:type="pct"/>
                  <w:shd w:val="clear" w:color="auto" w:fill="FFFFFF"/>
                  <w:noWrap w:val="0"/>
                  <w:tcMar>
                    <w:top w:w="0" w:type="dxa"/>
                    <w:left w:w="0" w:type="dxa"/>
                    <w:bottom w:w="0" w:type="dxa"/>
                    <w:right w:w="0" w:type="dxa"/>
                  </w:tcMar>
                  <w:vAlign w:val="center"/>
                </w:tcPr>
                <w:p w14:paraId="629CD5C8">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48" w:type="pct"/>
                  <w:shd w:val="clear" w:color="auto" w:fill="FFFFFF"/>
                  <w:noWrap w:val="0"/>
                  <w:tcMar>
                    <w:top w:w="0" w:type="dxa"/>
                    <w:left w:w="0" w:type="dxa"/>
                    <w:bottom w:w="0" w:type="dxa"/>
                    <w:right w:w="0" w:type="dxa"/>
                  </w:tcMar>
                  <w:vAlign w:val="center"/>
                </w:tcPr>
                <w:p w14:paraId="4D07DA29">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63.9</w:t>
                  </w:r>
                </w:p>
              </w:tc>
              <w:tc>
                <w:tcPr>
                  <w:tcW w:w="148" w:type="pct"/>
                  <w:shd w:val="clear" w:color="auto" w:fill="FFFFFF"/>
                  <w:noWrap w:val="0"/>
                  <w:tcMar>
                    <w:top w:w="0" w:type="dxa"/>
                    <w:left w:w="0" w:type="dxa"/>
                    <w:bottom w:w="0" w:type="dxa"/>
                    <w:right w:w="0" w:type="dxa"/>
                  </w:tcMar>
                  <w:vAlign w:val="center"/>
                </w:tcPr>
                <w:p w14:paraId="6C0C7098">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73.2</w:t>
                  </w:r>
                </w:p>
              </w:tc>
              <w:tc>
                <w:tcPr>
                  <w:tcW w:w="182" w:type="pct"/>
                  <w:shd w:val="clear" w:color="auto" w:fill="FFFFFF"/>
                  <w:noWrap w:val="0"/>
                  <w:tcMar>
                    <w:top w:w="0" w:type="dxa"/>
                    <w:left w:w="0" w:type="dxa"/>
                    <w:bottom w:w="0" w:type="dxa"/>
                    <w:right w:w="0" w:type="dxa"/>
                  </w:tcMar>
                  <w:vAlign w:val="center"/>
                </w:tcPr>
                <w:p w14:paraId="2A1C9755">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57.0</w:t>
                  </w:r>
                </w:p>
              </w:tc>
              <w:tc>
                <w:tcPr>
                  <w:tcW w:w="222" w:type="pct"/>
                  <w:shd w:val="clear" w:color="auto" w:fill="FFFFFF"/>
                  <w:noWrap w:val="0"/>
                  <w:tcMar>
                    <w:top w:w="0" w:type="dxa"/>
                    <w:left w:w="0" w:type="dxa"/>
                    <w:bottom w:w="0" w:type="dxa"/>
                    <w:right w:w="0" w:type="dxa"/>
                  </w:tcMar>
                  <w:vAlign w:val="center"/>
                </w:tcPr>
                <w:p w14:paraId="7650F17E">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72.4</w:t>
                  </w:r>
                </w:p>
              </w:tc>
              <w:tc>
                <w:tcPr>
                  <w:tcW w:w="379" w:type="pct"/>
                  <w:vMerge w:val="continue"/>
                  <w:shd w:val="clear" w:color="auto" w:fill="FFFFFF"/>
                  <w:noWrap w:val="0"/>
                  <w:tcMar>
                    <w:top w:w="0" w:type="dxa"/>
                    <w:left w:w="0" w:type="dxa"/>
                    <w:bottom w:w="0" w:type="dxa"/>
                    <w:right w:w="0" w:type="dxa"/>
                  </w:tcMar>
                  <w:vAlign w:val="center"/>
                </w:tcPr>
                <w:p w14:paraId="1E7DD4FC">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66" w:type="pct"/>
                  <w:shd w:val="clear" w:color="auto" w:fill="FFFFFF"/>
                  <w:noWrap w:val="0"/>
                  <w:tcMar>
                    <w:top w:w="0" w:type="dxa"/>
                    <w:left w:w="0" w:type="dxa"/>
                    <w:bottom w:w="0" w:type="dxa"/>
                    <w:right w:w="0" w:type="dxa"/>
                  </w:tcMar>
                  <w:vAlign w:val="center"/>
                </w:tcPr>
                <w:p w14:paraId="4AB091FE">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46" w:type="pct"/>
                  <w:shd w:val="clear" w:color="auto" w:fill="FFFFFF"/>
                  <w:noWrap w:val="0"/>
                  <w:tcMar>
                    <w:top w:w="0" w:type="dxa"/>
                    <w:left w:w="0" w:type="dxa"/>
                    <w:bottom w:w="0" w:type="dxa"/>
                    <w:right w:w="0" w:type="dxa"/>
                  </w:tcMar>
                  <w:vAlign w:val="center"/>
                </w:tcPr>
                <w:p w14:paraId="1450DA8C">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42" w:type="pct"/>
                  <w:shd w:val="clear" w:color="auto" w:fill="FFFFFF"/>
                  <w:noWrap w:val="0"/>
                  <w:tcMar>
                    <w:top w:w="0" w:type="dxa"/>
                    <w:left w:w="0" w:type="dxa"/>
                    <w:bottom w:w="0" w:type="dxa"/>
                    <w:right w:w="0" w:type="dxa"/>
                  </w:tcMar>
                  <w:vAlign w:val="center"/>
                </w:tcPr>
                <w:p w14:paraId="7B2AB955">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39" w:type="pct"/>
                  <w:shd w:val="clear" w:color="auto" w:fill="FFFFFF"/>
                  <w:noWrap w:val="0"/>
                  <w:tcMar>
                    <w:top w:w="0" w:type="dxa"/>
                    <w:left w:w="0" w:type="dxa"/>
                    <w:bottom w:w="0" w:type="dxa"/>
                    <w:right w:w="0" w:type="dxa"/>
                  </w:tcMar>
                  <w:vAlign w:val="center"/>
                </w:tcPr>
                <w:p w14:paraId="4A104298">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397" w:type="dxa"/>
                  <w:shd w:val="clear" w:color="auto" w:fill="FFFFFF"/>
                  <w:noWrap w:val="0"/>
                  <w:tcMar>
                    <w:top w:w="0" w:type="dxa"/>
                    <w:left w:w="0" w:type="dxa"/>
                    <w:bottom w:w="0" w:type="dxa"/>
                    <w:right w:w="0" w:type="dxa"/>
                  </w:tcMar>
                  <w:vAlign w:val="center"/>
                </w:tcPr>
                <w:p w14:paraId="79BB7DF7">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43.9</w:t>
                  </w:r>
                </w:p>
              </w:tc>
              <w:tc>
                <w:tcPr>
                  <w:tcW w:w="397" w:type="dxa"/>
                  <w:shd w:val="clear" w:color="auto" w:fill="FFFFFF"/>
                  <w:noWrap w:val="0"/>
                  <w:tcMar>
                    <w:top w:w="0" w:type="dxa"/>
                    <w:left w:w="0" w:type="dxa"/>
                    <w:bottom w:w="0" w:type="dxa"/>
                    <w:right w:w="0" w:type="dxa"/>
                  </w:tcMar>
                  <w:vAlign w:val="center"/>
                </w:tcPr>
                <w:p w14:paraId="56127C5D">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53.2</w:t>
                  </w:r>
                </w:p>
              </w:tc>
              <w:tc>
                <w:tcPr>
                  <w:tcW w:w="398" w:type="dxa"/>
                  <w:shd w:val="clear" w:color="auto" w:fill="FFFFFF"/>
                  <w:noWrap w:val="0"/>
                  <w:tcMar>
                    <w:top w:w="0" w:type="dxa"/>
                    <w:left w:w="0" w:type="dxa"/>
                    <w:bottom w:w="0" w:type="dxa"/>
                    <w:right w:w="0" w:type="dxa"/>
                  </w:tcMar>
                  <w:vAlign w:val="center"/>
                </w:tcPr>
                <w:p w14:paraId="77899E1C">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37.0</w:t>
                  </w:r>
                </w:p>
              </w:tc>
              <w:tc>
                <w:tcPr>
                  <w:tcW w:w="398" w:type="dxa"/>
                  <w:shd w:val="clear" w:color="auto" w:fill="FFFFFF"/>
                  <w:noWrap w:val="0"/>
                  <w:tcMar>
                    <w:top w:w="0" w:type="dxa"/>
                    <w:left w:w="0" w:type="dxa"/>
                    <w:bottom w:w="0" w:type="dxa"/>
                    <w:right w:w="0" w:type="dxa"/>
                  </w:tcMar>
                  <w:vAlign w:val="center"/>
                </w:tcPr>
                <w:p w14:paraId="7286FE84">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52.4</w:t>
                  </w:r>
                </w:p>
              </w:tc>
              <w:tc>
                <w:tcPr>
                  <w:tcW w:w="229" w:type="pct"/>
                  <w:shd w:val="clear" w:color="auto" w:fill="FFFFFF"/>
                  <w:noWrap w:val="0"/>
                  <w:tcMar>
                    <w:top w:w="0" w:type="dxa"/>
                    <w:left w:w="0" w:type="dxa"/>
                    <w:bottom w:w="0" w:type="dxa"/>
                    <w:right w:w="0" w:type="dxa"/>
                  </w:tcMar>
                  <w:vAlign w:val="center"/>
                </w:tcPr>
                <w:p w14:paraId="164031C0">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r>
            <w:tr w14:paraId="72CA6E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630" w:hRule="atLeast"/>
              </w:trPr>
              <w:tc>
                <w:tcPr>
                  <w:tcW w:w="167" w:type="pct"/>
                  <w:shd w:val="clear" w:color="auto" w:fill="FFFFFF"/>
                  <w:noWrap w:val="0"/>
                  <w:tcMar>
                    <w:top w:w="0" w:type="dxa"/>
                    <w:left w:w="0" w:type="dxa"/>
                    <w:bottom w:w="0" w:type="dxa"/>
                    <w:right w:w="0" w:type="dxa"/>
                  </w:tcMar>
                  <w:vAlign w:val="center"/>
                </w:tcPr>
                <w:p w14:paraId="216E6969">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4</w:t>
                  </w:r>
                </w:p>
              </w:tc>
              <w:tc>
                <w:tcPr>
                  <w:tcW w:w="167" w:type="pct"/>
                  <w:shd w:val="clear" w:color="auto" w:fill="FFFFFF"/>
                  <w:noWrap w:val="0"/>
                  <w:tcMar>
                    <w:top w:w="0" w:type="dxa"/>
                    <w:left w:w="0" w:type="dxa"/>
                    <w:bottom w:w="0" w:type="dxa"/>
                    <w:right w:w="0" w:type="dxa"/>
                  </w:tcMar>
                  <w:vAlign w:val="center"/>
                </w:tcPr>
                <w:p w14:paraId="63E1DF46">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4#厂房</w:t>
                  </w:r>
                </w:p>
              </w:tc>
              <w:tc>
                <w:tcPr>
                  <w:tcW w:w="200" w:type="pct"/>
                  <w:shd w:val="clear" w:color="auto" w:fill="FFFFFF"/>
                  <w:noWrap w:val="0"/>
                  <w:tcMar>
                    <w:top w:w="0" w:type="dxa"/>
                    <w:left w:w="0" w:type="dxa"/>
                    <w:bottom w:w="0" w:type="dxa"/>
                    <w:right w:w="0" w:type="dxa"/>
                  </w:tcMar>
                  <w:vAlign w:val="center"/>
                </w:tcPr>
                <w:p w14:paraId="633C475D">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自动装配水线</w:t>
                  </w:r>
                </w:p>
              </w:tc>
              <w:tc>
                <w:tcPr>
                  <w:tcW w:w="222" w:type="pct"/>
                  <w:shd w:val="clear" w:color="auto" w:fill="FFFFFF"/>
                  <w:noWrap w:val="0"/>
                  <w:tcMar>
                    <w:top w:w="0" w:type="dxa"/>
                    <w:left w:w="0" w:type="dxa"/>
                    <w:bottom w:w="0" w:type="dxa"/>
                    <w:right w:w="0" w:type="dxa"/>
                  </w:tcMar>
                  <w:vAlign w:val="center"/>
                </w:tcPr>
                <w:p w14:paraId="782D8180">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272" w:type="pct"/>
                  <w:shd w:val="clear" w:color="auto" w:fill="FFFFFF"/>
                  <w:noWrap w:val="0"/>
                  <w:tcMar>
                    <w:top w:w="0" w:type="dxa"/>
                    <w:left w:w="0" w:type="dxa"/>
                    <w:bottom w:w="0" w:type="dxa"/>
                    <w:right w:w="0" w:type="dxa"/>
                  </w:tcMar>
                  <w:vAlign w:val="center"/>
                </w:tcPr>
                <w:p w14:paraId="48BDBC4D">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75</w:t>
                  </w:r>
                </w:p>
              </w:tc>
              <w:tc>
                <w:tcPr>
                  <w:tcW w:w="178" w:type="pct"/>
                  <w:shd w:val="clear" w:color="auto" w:fill="FFFFFF"/>
                  <w:noWrap w:val="0"/>
                  <w:tcMar>
                    <w:top w:w="0" w:type="dxa"/>
                    <w:left w:w="0" w:type="dxa"/>
                    <w:bottom w:w="0" w:type="dxa"/>
                    <w:right w:w="0" w:type="dxa"/>
                  </w:tcMar>
                  <w:vAlign w:val="center"/>
                </w:tcPr>
                <w:p w14:paraId="0579EAF1">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45</w:t>
                  </w:r>
                </w:p>
              </w:tc>
              <w:tc>
                <w:tcPr>
                  <w:tcW w:w="176" w:type="pct"/>
                  <w:shd w:val="clear" w:color="auto" w:fill="FFFFFF"/>
                  <w:noWrap w:val="0"/>
                  <w:tcMar>
                    <w:top w:w="0" w:type="dxa"/>
                    <w:left w:w="0" w:type="dxa"/>
                    <w:bottom w:w="0" w:type="dxa"/>
                    <w:right w:w="0" w:type="dxa"/>
                  </w:tcMar>
                  <w:vAlign w:val="center"/>
                </w:tcPr>
                <w:p w14:paraId="42BF9E66">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16</w:t>
                  </w:r>
                </w:p>
              </w:tc>
              <w:tc>
                <w:tcPr>
                  <w:tcW w:w="175" w:type="pct"/>
                  <w:shd w:val="clear" w:color="auto" w:fill="FFFFFF"/>
                  <w:noWrap w:val="0"/>
                  <w:tcMar>
                    <w:top w:w="0" w:type="dxa"/>
                    <w:left w:w="0" w:type="dxa"/>
                    <w:bottom w:w="0" w:type="dxa"/>
                    <w:right w:w="0" w:type="dxa"/>
                  </w:tcMar>
                  <w:vAlign w:val="center"/>
                </w:tcPr>
                <w:p w14:paraId="778261CF">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3" w:type="pct"/>
                  <w:shd w:val="clear" w:color="auto" w:fill="FFFFFF"/>
                  <w:noWrap w:val="0"/>
                  <w:tcMar>
                    <w:top w:w="0" w:type="dxa"/>
                    <w:left w:w="0" w:type="dxa"/>
                    <w:bottom w:w="0" w:type="dxa"/>
                    <w:right w:w="0" w:type="dxa"/>
                  </w:tcMar>
                  <w:vAlign w:val="center"/>
                </w:tcPr>
                <w:p w14:paraId="1AC617ED">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45</w:t>
                  </w:r>
                </w:p>
              </w:tc>
              <w:tc>
                <w:tcPr>
                  <w:tcW w:w="141" w:type="pct"/>
                  <w:shd w:val="clear" w:color="auto" w:fill="FFFFFF"/>
                  <w:noWrap w:val="0"/>
                  <w:tcMar>
                    <w:top w:w="0" w:type="dxa"/>
                    <w:left w:w="0" w:type="dxa"/>
                    <w:bottom w:w="0" w:type="dxa"/>
                    <w:right w:w="0" w:type="dxa"/>
                  </w:tcMar>
                  <w:vAlign w:val="center"/>
                </w:tcPr>
                <w:p w14:paraId="3B66A2C4">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16</w:t>
                  </w:r>
                </w:p>
              </w:tc>
              <w:tc>
                <w:tcPr>
                  <w:tcW w:w="141" w:type="pct"/>
                  <w:shd w:val="clear" w:color="auto" w:fill="FFFFFF"/>
                  <w:noWrap w:val="0"/>
                  <w:tcMar>
                    <w:top w:w="0" w:type="dxa"/>
                    <w:left w:w="0" w:type="dxa"/>
                    <w:bottom w:w="0" w:type="dxa"/>
                    <w:right w:w="0" w:type="dxa"/>
                  </w:tcMar>
                  <w:vAlign w:val="center"/>
                </w:tcPr>
                <w:p w14:paraId="46B508CF">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69</w:t>
                  </w:r>
                </w:p>
              </w:tc>
              <w:tc>
                <w:tcPr>
                  <w:tcW w:w="166" w:type="pct"/>
                  <w:shd w:val="clear" w:color="auto" w:fill="FFFFFF"/>
                  <w:noWrap w:val="0"/>
                  <w:tcMar>
                    <w:top w:w="0" w:type="dxa"/>
                    <w:left w:w="0" w:type="dxa"/>
                    <w:bottom w:w="0" w:type="dxa"/>
                    <w:right w:w="0" w:type="dxa"/>
                  </w:tcMar>
                  <w:vAlign w:val="center"/>
                </w:tcPr>
                <w:p w14:paraId="5A36B7A1">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22</w:t>
                  </w:r>
                </w:p>
              </w:tc>
              <w:tc>
                <w:tcPr>
                  <w:tcW w:w="148" w:type="pct"/>
                  <w:shd w:val="clear" w:color="auto" w:fill="FFFFFF"/>
                  <w:noWrap w:val="0"/>
                  <w:tcMar>
                    <w:top w:w="0" w:type="dxa"/>
                    <w:left w:w="0" w:type="dxa"/>
                    <w:bottom w:w="0" w:type="dxa"/>
                    <w:right w:w="0" w:type="dxa"/>
                  </w:tcMar>
                  <w:vAlign w:val="center"/>
                </w:tcPr>
                <w:p w14:paraId="10CF28E5">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41.9</w:t>
                  </w:r>
                </w:p>
              </w:tc>
              <w:tc>
                <w:tcPr>
                  <w:tcW w:w="148" w:type="pct"/>
                  <w:shd w:val="clear" w:color="auto" w:fill="FFFFFF"/>
                  <w:noWrap w:val="0"/>
                  <w:tcMar>
                    <w:top w:w="0" w:type="dxa"/>
                    <w:left w:w="0" w:type="dxa"/>
                    <w:bottom w:w="0" w:type="dxa"/>
                    <w:right w:w="0" w:type="dxa"/>
                  </w:tcMar>
                  <w:vAlign w:val="center"/>
                </w:tcPr>
                <w:p w14:paraId="43AA8F8A">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50.9</w:t>
                  </w:r>
                </w:p>
              </w:tc>
              <w:tc>
                <w:tcPr>
                  <w:tcW w:w="182" w:type="pct"/>
                  <w:shd w:val="clear" w:color="auto" w:fill="FFFFFF"/>
                  <w:noWrap w:val="0"/>
                  <w:tcMar>
                    <w:top w:w="0" w:type="dxa"/>
                    <w:left w:w="0" w:type="dxa"/>
                    <w:bottom w:w="0" w:type="dxa"/>
                    <w:right w:w="0" w:type="dxa"/>
                  </w:tcMar>
                  <w:vAlign w:val="center"/>
                </w:tcPr>
                <w:p w14:paraId="104AE4B7">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38.2</w:t>
                  </w:r>
                </w:p>
              </w:tc>
              <w:tc>
                <w:tcPr>
                  <w:tcW w:w="222" w:type="pct"/>
                  <w:shd w:val="clear" w:color="auto" w:fill="FFFFFF"/>
                  <w:noWrap w:val="0"/>
                  <w:tcMar>
                    <w:top w:w="0" w:type="dxa"/>
                    <w:left w:w="0" w:type="dxa"/>
                    <w:bottom w:w="0" w:type="dxa"/>
                    <w:right w:w="0" w:type="dxa"/>
                  </w:tcMar>
                  <w:vAlign w:val="center"/>
                </w:tcPr>
                <w:p w14:paraId="0BD7CE89">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48.2</w:t>
                  </w:r>
                </w:p>
              </w:tc>
              <w:tc>
                <w:tcPr>
                  <w:tcW w:w="379" w:type="pct"/>
                  <w:vMerge w:val="continue"/>
                  <w:shd w:val="clear" w:color="auto" w:fill="FFFFFF"/>
                  <w:noWrap w:val="0"/>
                  <w:tcMar>
                    <w:top w:w="0" w:type="dxa"/>
                    <w:left w:w="0" w:type="dxa"/>
                    <w:bottom w:w="0" w:type="dxa"/>
                    <w:right w:w="0" w:type="dxa"/>
                  </w:tcMar>
                  <w:vAlign w:val="center"/>
                </w:tcPr>
                <w:p w14:paraId="71818F03">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66" w:type="pct"/>
                  <w:shd w:val="clear" w:color="auto" w:fill="FFFFFF"/>
                  <w:noWrap w:val="0"/>
                  <w:tcMar>
                    <w:top w:w="0" w:type="dxa"/>
                    <w:left w:w="0" w:type="dxa"/>
                    <w:bottom w:w="0" w:type="dxa"/>
                    <w:right w:w="0" w:type="dxa"/>
                  </w:tcMar>
                  <w:vAlign w:val="center"/>
                </w:tcPr>
                <w:p w14:paraId="6570B5C3">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46" w:type="pct"/>
                  <w:shd w:val="clear" w:color="auto" w:fill="FFFFFF"/>
                  <w:noWrap w:val="0"/>
                  <w:tcMar>
                    <w:top w:w="0" w:type="dxa"/>
                    <w:left w:w="0" w:type="dxa"/>
                    <w:bottom w:w="0" w:type="dxa"/>
                    <w:right w:w="0" w:type="dxa"/>
                  </w:tcMar>
                  <w:vAlign w:val="center"/>
                </w:tcPr>
                <w:p w14:paraId="72DD0CA7">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42" w:type="pct"/>
                  <w:shd w:val="clear" w:color="auto" w:fill="FFFFFF"/>
                  <w:noWrap w:val="0"/>
                  <w:tcMar>
                    <w:top w:w="0" w:type="dxa"/>
                    <w:left w:w="0" w:type="dxa"/>
                    <w:bottom w:w="0" w:type="dxa"/>
                    <w:right w:w="0" w:type="dxa"/>
                  </w:tcMar>
                  <w:vAlign w:val="center"/>
                </w:tcPr>
                <w:p w14:paraId="030F2317">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39" w:type="pct"/>
                  <w:shd w:val="clear" w:color="auto" w:fill="FFFFFF"/>
                  <w:noWrap w:val="0"/>
                  <w:tcMar>
                    <w:top w:w="0" w:type="dxa"/>
                    <w:left w:w="0" w:type="dxa"/>
                    <w:bottom w:w="0" w:type="dxa"/>
                    <w:right w:w="0" w:type="dxa"/>
                  </w:tcMar>
                  <w:vAlign w:val="center"/>
                </w:tcPr>
                <w:p w14:paraId="792D3416">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397" w:type="dxa"/>
                  <w:shd w:val="clear" w:color="auto" w:fill="FFFFFF"/>
                  <w:noWrap w:val="0"/>
                  <w:tcMar>
                    <w:top w:w="0" w:type="dxa"/>
                    <w:left w:w="0" w:type="dxa"/>
                    <w:bottom w:w="0" w:type="dxa"/>
                    <w:right w:w="0" w:type="dxa"/>
                  </w:tcMar>
                  <w:vAlign w:val="center"/>
                </w:tcPr>
                <w:p w14:paraId="432389E4">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21.9</w:t>
                  </w:r>
                </w:p>
              </w:tc>
              <w:tc>
                <w:tcPr>
                  <w:tcW w:w="397" w:type="dxa"/>
                  <w:shd w:val="clear" w:color="auto" w:fill="FFFFFF"/>
                  <w:noWrap w:val="0"/>
                  <w:tcMar>
                    <w:top w:w="0" w:type="dxa"/>
                    <w:left w:w="0" w:type="dxa"/>
                    <w:bottom w:w="0" w:type="dxa"/>
                    <w:right w:w="0" w:type="dxa"/>
                  </w:tcMar>
                  <w:vAlign w:val="center"/>
                </w:tcPr>
                <w:p w14:paraId="51086235">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30.9</w:t>
                  </w:r>
                </w:p>
              </w:tc>
              <w:tc>
                <w:tcPr>
                  <w:tcW w:w="398" w:type="dxa"/>
                  <w:shd w:val="clear" w:color="auto" w:fill="FFFFFF"/>
                  <w:noWrap w:val="0"/>
                  <w:tcMar>
                    <w:top w:w="0" w:type="dxa"/>
                    <w:left w:w="0" w:type="dxa"/>
                    <w:bottom w:w="0" w:type="dxa"/>
                    <w:right w:w="0" w:type="dxa"/>
                  </w:tcMar>
                  <w:vAlign w:val="center"/>
                </w:tcPr>
                <w:p w14:paraId="7D3912C3">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18.2</w:t>
                  </w:r>
                </w:p>
              </w:tc>
              <w:tc>
                <w:tcPr>
                  <w:tcW w:w="398" w:type="dxa"/>
                  <w:shd w:val="clear" w:color="auto" w:fill="FFFFFF"/>
                  <w:noWrap w:val="0"/>
                  <w:tcMar>
                    <w:top w:w="0" w:type="dxa"/>
                    <w:left w:w="0" w:type="dxa"/>
                    <w:bottom w:w="0" w:type="dxa"/>
                    <w:right w:w="0" w:type="dxa"/>
                  </w:tcMar>
                  <w:vAlign w:val="center"/>
                </w:tcPr>
                <w:p w14:paraId="25B36FD7">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28.2</w:t>
                  </w:r>
                </w:p>
              </w:tc>
              <w:tc>
                <w:tcPr>
                  <w:tcW w:w="229" w:type="pct"/>
                  <w:shd w:val="clear" w:color="auto" w:fill="FFFFFF"/>
                  <w:noWrap w:val="0"/>
                  <w:tcMar>
                    <w:top w:w="0" w:type="dxa"/>
                    <w:left w:w="0" w:type="dxa"/>
                    <w:bottom w:w="0" w:type="dxa"/>
                    <w:right w:w="0" w:type="dxa"/>
                  </w:tcMar>
                  <w:vAlign w:val="center"/>
                </w:tcPr>
                <w:p w14:paraId="3AB3349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r>
            <w:tr w14:paraId="047E2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820" w:hRule="atLeast"/>
              </w:trPr>
              <w:tc>
                <w:tcPr>
                  <w:tcW w:w="167" w:type="pct"/>
                  <w:shd w:val="clear" w:color="auto" w:fill="FFFFFF"/>
                  <w:noWrap w:val="0"/>
                  <w:tcMar>
                    <w:top w:w="0" w:type="dxa"/>
                    <w:left w:w="0" w:type="dxa"/>
                    <w:bottom w:w="0" w:type="dxa"/>
                    <w:right w:w="0" w:type="dxa"/>
                  </w:tcMar>
                  <w:vAlign w:val="center"/>
                </w:tcPr>
                <w:p w14:paraId="712D567E">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5</w:t>
                  </w:r>
                </w:p>
              </w:tc>
              <w:tc>
                <w:tcPr>
                  <w:tcW w:w="167" w:type="pct"/>
                  <w:shd w:val="clear" w:color="auto" w:fill="FFFFFF"/>
                  <w:noWrap w:val="0"/>
                  <w:tcMar>
                    <w:top w:w="0" w:type="dxa"/>
                    <w:left w:w="0" w:type="dxa"/>
                    <w:bottom w:w="0" w:type="dxa"/>
                    <w:right w:w="0" w:type="dxa"/>
                  </w:tcMar>
                  <w:vAlign w:val="center"/>
                </w:tcPr>
                <w:p w14:paraId="4317EAF3">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10#厂房</w:t>
                  </w:r>
                </w:p>
              </w:tc>
              <w:tc>
                <w:tcPr>
                  <w:tcW w:w="200" w:type="pct"/>
                  <w:shd w:val="clear" w:color="auto" w:fill="FFFFFF"/>
                  <w:noWrap w:val="0"/>
                  <w:tcMar>
                    <w:top w:w="0" w:type="dxa"/>
                    <w:left w:w="0" w:type="dxa"/>
                    <w:bottom w:w="0" w:type="dxa"/>
                    <w:right w:w="0" w:type="dxa"/>
                  </w:tcMar>
                  <w:vAlign w:val="center"/>
                </w:tcPr>
                <w:p w14:paraId="48972866">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螺旋空压机2台（按点声源组预测）</w:t>
                  </w:r>
                </w:p>
              </w:tc>
              <w:tc>
                <w:tcPr>
                  <w:tcW w:w="222" w:type="pct"/>
                  <w:shd w:val="clear" w:color="auto" w:fill="FFFFFF"/>
                  <w:noWrap w:val="0"/>
                  <w:tcMar>
                    <w:top w:w="0" w:type="dxa"/>
                    <w:left w:w="0" w:type="dxa"/>
                    <w:bottom w:w="0" w:type="dxa"/>
                    <w:right w:w="0" w:type="dxa"/>
                  </w:tcMar>
                  <w:vAlign w:val="center"/>
                </w:tcPr>
                <w:p w14:paraId="20EBAD4F">
                  <w:pPr>
                    <w:keepNext w:val="0"/>
                    <w:keepLines w:val="0"/>
                    <w:pageBreakBefore w:val="0"/>
                    <w:widowControl w:val="0"/>
                    <w:kinsoku/>
                    <w:wordWrap/>
                    <w:overflowPunct/>
                    <w:topLinePunct w:val="0"/>
                    <w:bidi w:val="0"/>
                    <w:adjustRightInd/>
                    <w:snapToGrid/>
                    <w:jc w:val="center"/>
                    <w:textAlignment w:val="auto"/>
                    <w:rPr>
                      <w:rFonts w:hint="eastAsia" w:ascii="Times New Roman" w:hAnsi="Times New Roman" w:eastAsia="宋体" w:cs="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w:t>
                  </w:r>
                </w:p>
              </w:tc>
              <w:tc>
                <w:tcPr>
                  <w:tcW w:w="272" w:type="pct"/>
                  <w:shd w:val="clear" w:color="auto" w:fill="FFFFFF"/>
                  <w:noWrap w:val="0"/>
                  <w:tcMar>
                    <w:top w:w="0" w:type="dxa"/>
                    <w:left w:w="0" w:type="dxa"/>
                    <w:bottom w:w="0" w:type="dxa"/>
                    <w:right w:w="0" w:type="dxa"/>
                  </w:tcMar>
                  <w:vAlign w:val="center"/>
                </w:tcPr>
                <w:p w14:paraId="70A748C5">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80</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等效后：</w:t>
                  </w:r>
                  <w:r>
                    <w:rPr>
                      <w:rFonts w:hint="eastAsia"/>
                      <w:caps w:val="0"/>
                      <w:color w:val="000000" w:themeColor="text1"/>
                      <w:szCs w:val="21"/>
                      <w:highlight w:val="none"/>
                      <w:lang w:val="en-US" w:eastAsia="zh-CN"/>
                      <w14:textFill>
                        <w14:solidFill>
                          <w14:schemeClr w14:val="tx1"/>
                        </w14:solidFill>
                      </w14:textFill>
                    </w:rPr>
                    <w:t>83</w:t>
                  </w:r>
                  <w:r>
                    <w:rPr>
                      <w:rFonts w:hint="eastAsia" w:ascii="Times New Roman" w:hAnsi="Times New Roman" w:eastAsia="宋体"/>
                      <w:caps w:val="0"/>
                      <w:color w:val="000000" w:themeColor="text1"/>
                      <w:szCs w:val="21"/>
                      <w:highlight w:val="none"/>
                      <w:lang w:eastAsia="zh-CN"/>
                      <w14:textFill>
                        <w14:solidFill>
                          <w14:schemeClr w14:val="tx1"/>
                        </w14:solidFill>
                      </w14:textFill>
                    </w:rPr>
                    <w:t>）</w:t>
                  </w:r>
                </w:p>
              </w:tc>
              <w:tc>
                <w:tcPr>
                  <w:tcW w:w="178" w:type="pct"/>
                  <w:shd w:val="clear" w:color="auto" w:fill="FFFFFF"/>
                  <w:noWrap w:val="0"/>
                  <w:tcMar>
                    <w:top w:w="0" w:type="dxa"/>
                    <w:left w:w="0" w:type="dxa"/>
                    <w:bottom w:w="0" w:type="dxa"/>
                    <w:right w:w="0" w:type="dxa"/>
                  </w:tcMar>
                  <w:vAlign w:val="center"/>
                </w:tcPr>
                <w:p w14:paraId="57935CCA">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11</w:t>
                  </w:r>
                </w:p>
              </w:tc>
              <w:tc>
                <w:tcPr>
                  <w:tcW w:w="176" w:type="pct"/>
                  <w:shd w:val="clear" w:color="auto" w:fill="FFFFFF"/>
                  <w:noWrap w:val="0"/>
                  <w:tcMar>
                    <w:top w:w="0" w:type="dxa"/>
                    <w:left w:w="0" w:type="dxa"/>
                    <w:bottom w:w="0" w:type="dxa"/>
                    <w:right w:w="0" w:type="dxa"/>
                  </w:tcMar>
                  <w:vAlign w:val="center"/>
                </w:tcPr>
                <w:p w14:paraId="66C371DF">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14</w:t>
                  </w:r>
                </w:p>
              </w:tc>
              <w:tc>
                <w:tcPr>
                  <w:tcW w:w="175" w:type="pct"/>
                  <w:shd w:val="clear" w:color="auto" w:fill="FFFFFF"/>
                  <w:noWrap w:val="0"/>
                  <w:tcMar>
                    <w:top w:w="0" w:type="dxa"/>
                    <w:left w:w="0" w:type="dxa"/>
                    <w:bottom w:w="0" w:type="dxa"/>
                    <w:right w:w="0" w:type="dxa"/>
                  </w:tcMar>
                  <w:vAlign w:val="center"/>
                </w:tcPr>
                <w:p w14:paraId="051043C9">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1.2</w:t>
                  </w:r>
                </w:p>
              </w:tc>
              <w:tc>
                <w:tcPr>
                  <w:tcW w:w="163" w:type="pct"/>
                  <w:shd w:val="clear" w:color="auto" w:fill="FFFFFF"/>
                  <w:noWrap w:val="0"/>
                  <w:tcMar>
                    <w:top w:w="0" w:type="dxa"/>
                    <w:left w:w="0" w:type="dxa"/>
                    <w:bottom w:w="0" w:type="dxa"/>
                    <w:right w:w="0" w:type="dxa"/>
                  </w:tcMar>
                  <w:vAlign w:val="center"/>
                </w:tcPr>
                <w:p w14:paraId="41C0EFB8">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22</w:t>
                  </w:r>
                </w:p>
              </w:tc>
              <w:tc>
                <w:tcPr>
                  <w:tcW w:w="141" w:type="pct"/>
                  <w:shd w:val="clear" w:color="auto" w:fill="FFFFFF"/>
                  <w:noWrap w:val="0"/>
                  <w:tcMar>
                    <w:top w:w="0" w:type="dxa"/>
                    <w:left w:w="0" w:type="dxa"/>
                    <w:bottom w:w="0" w:type="dxa"/>
                    <w:right w:w="0" w:type="dxa"/>
                  </w:tcMar>
                  <w:vAlign w:val="center"/>
                </w:tcPr>
                <w:p w14:paraId="7CAB11AE">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11</w:t>
                  </w:r>
                </w:p>
              </w:tc>
              <w:tc>
                <w:tcPr>
                  <w:tcW w:w="141" w:type="pct"/>
                  <w:shd w:val="clear" w:color="auto" w:fill="FFFFFF"/>
                  <w:noWrap w:val="0"/>
                  <w:tcMar>
                    <w:top w:w="0" w:type="dxa"/>
                    <w:left w:w="0" w:type="dxa"/>
                    <w:bottom w:w="0" w:type="dxa"/>
                    <w:right w:w="0" w:type="dxa"/>
                  </w:tcMar>
                  <w:vAlign w:val="center"/>
                </w:tcPr>
                <w:p w14:paraId="067BAE89">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14</w:t>
                  </w:r>
                </w:p>
              </w:tc>
              <w:tc>
                <w:tcPr>
                  <w:tcW w:w="166" w:type="pct"/>
                  <w:shd w:val="clear" w:color="auto" w:fill="FFFFFF"/>
                  <w:noWrap w:val="0"/>
                  <w:tcMar>
                    <w:top w:w="0" w:type="dxa"/>
                    <w:left w:w="0" w:type="dxa"/>
                    <w:bottom w:w="0" w:type="dxa"/>
                    <w:right w:w="0" w:type="dxa"/>
                  </w:tcMar>
                  <w:vAlign w:val="center"/>
                </w:tcPr>
                <w:p w14:paraId="3F827586">
                  <w:pPr>
                    <w:keepNext w:val="0"/>
                    <w:keepLines w:val="0"/>
                    <w:widowControl/>
                    <w:suppressLineNumbers w:val="0"/>
                    <w:jc w:val="center"/>
                    <w:textAlignment w:val="center"/>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caps w:val="0"/>
                      <w:color w:val="000000" w:themeColor="text1"/>
                      <w:highlight w:val="none"/>
                      <w:lang w:val="en-US" w:eastAsia="zh-CN"/>
                      <w14:textFill>
                        <w14:solidFill>
                          <w14:schemeClr w14:val="tx1"/>
                        </w14:solidFill>
                      </w14:textFill>
                    </w:rPr>
                    <w:t>13</w:t>
                  </w:r>
                </w:p>
              </w:tc>
              <w:tc>
                <w:tcPr>
                  <w:tcW w:w="148" w:type="pct"/>
                  <w:shd w:val="clear" w:color="auto" w:fill="FFFFFF"/>
                  <w:noWrap w:val="0"/>
                  <w:tcMar>
                    <w:top w:w="0" w:type="dxa"/>
                    <w:left w:w="0" w:type="dxa"/>
                    <w:bottom w:w="0" w:type="dxa"/>
                    <w:right w:w="0" w:type="dxa"/>
                  </w:tcMar>
                  <w:vAlign w:val="center"/>
                </w:tcPr>
                <w:p w14:paraId="18038C08">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56.2</w:t>
                  </w:r>
                </w:p>
              </w:tc>
              <w:tc>
                <w:tcPr>
                  <w:tcW w:w="148" w:type="pct"/>
                  <w:shd w:val="clear" w:color="auto" w:fill="FFFFFF"/>
                  <w:noWrap w:val="0"/>
                  <w:tcMar>
                    <w:top w:w="0" w:type="dxa"/>
                    <w:left w:w="0" w:type="dxa"/>
                    <w:bottom w:w="0" w:type="dxa"/>
                    <w:right w:w="0" w:type="dxa"/>
                  </w:tcMar>
                  <w:vAlign w:val="center"/>
                </w:tcPr>
                <w:p w14:paraId="11C52493">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62.2</w:t>
                  </w:r>
                </w:p>
              </w:tc>
              <w:tc>
                <w:tcPr>
                  <w:tcW w:w="182" w:type="pct"/>
                  <w:shd w:val="clear" w:color="auto" w:fill="FFFFFF"/>
                  <w:noWrap w:val="0"/>
                  <w:tcMar>
                    <w:top w:w="0" w:type="dxa"/>
                    <w:left w:w="0" w:type="dxa"/>
                    <w:bottom w:w="0" w:type="dxa"/>
                    <w:right w:w="0" w:type="dxa"/>
                  </w:tcMar>
                  <w:vAlign w:val="center"/>
                </w:tcPr>
                <w:p w14:paraId="33ED1E76">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60.1</w:t>
                  </w:r>
                </w:p>
              </w:tc>
              <w:tc>
                <w:tcPr>
                  <w:tcW w:w="222" w:type="pct"/>
                  <w:shd w:val="clear" w:color="auto" w:fill="FFFFFF"/>
                  <w:noWrap w:val="0"/>
                  <w:tcMar>
                    <w:top w:w="0" w:type="dxa"/>
                    <w:left w:w="0" w:type="dxa"/>
                    <w:bottom w:w="0" w:type="dxa"/>
                    <w:right w:w="0" w:type="dxa"/>
                  </w:tcMar>
                  <w:vAlign w:val="center"/>
                </w:tcPr>
                <w:p w14:paraId="4128B980">
                  <w:pPr>
                    <w:keepNext w:val="0"/>
                    <w:keepLines w:val="0"/>
                    <w:widowControl/>
                    <w:suppressLineNumbers w:val="0"/>
                    <w:jc w:val="center"/>
                    <w:textAlignment w:val="cente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60.7</w:t>
                  </w:r>
                </w:p>
              </w:tc>
              <w:tc>
                <w:tcPr>
                  <w:tcW w:w="379" w:type="pct"/>
                  <w:vMerge w:val="continue"/>
                  <w:shd w:val="clear" w:color="auto" w:fill="FFFFFF"/>
                  <w:noWrap w:val="0"/>
                  <w:tcMar>
                    <w:top w:w="0" w:type="dxa"/>
                    <w:left w:w="0" w:type="dxa"/>
                    <w:bottom w:w="0" w:type="dxa"/>
                    <w:right w:w="0" w:type="dxa"/>
                  </w:tcMar>
                  <w:vAlign w:val="center"/>
                </w:tcPr>
                <w:p w14:paraId="249CA3A1">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p>
              </w:tc>
              <w:tc>
                <w:tcPr>
                  <w:tcW w:w="166" w:type="pct"/>
                  <w:shd w:val="clear" w:color="auto" w:fill="FFFFFF"/>
                  <w:noWrap w:val="0"/>
                  <w:tcMar>
                    <w:top w:w="0" w:type="dxa"/>
                    <w:left w:w="0" w:type="dxa"/>
                    <w:bottom w:w="0" w:type="dxa"/>
                    <w:right w:w="0" w:type="dxa"/>
                  </w:tcMar>
                  <w:vAlign w:val="center"/>
                </w:tcPr>
                <w:p w14:paraId="195FA4D3">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46" w:type="pct"/>
                  <w:shd w:val="clear" w:color="auto" w:fill="FFFFFF"/>
                  <w:noWrap w:val="0"/>
                  <w:tcMar>
                    <w:top w:w="0" w:type="dxa"/>
                    <w:left w:w="0" w:type="dxa"/>
                    <w:bottom w:w="0" w:type="dxa"/>
                    <w:right w:w="0" w:type="dxa"/>
                  </w:tcMar>
                  <w:vAlign w:val="center"/>
                </w:tcPr>
                <w:p w14:paraId="34907F1D">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42" w:type="pct"/>
                  <w:shd w:val="clear" w:color="auto" w:fill="FFFFFF"/>
                  <w:noWrap w:val="0"/>
                  <w:tcMar>
                    <w:top w:w="0" w:type="dxa"/>
                    <w:left w:w="0" w:type="dxa"/>
                    <w:bottom w:w="0" w:type="dxa"/>
                    <w:right w:w="0" w:type="dxa"/>
                  </w:tcMar>
                  <w:vAlign w:val="center"/>
                </w:tcPr>
                <w:p w14:paraId="34E2E6D8">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239" w:type="pct"/>
                  <w:shd w:val="clear" w:color="auto" w:fill="FFFFFF"/>
                  <w:noWrap w:val="0"/>
                  <w:tcMar>
                    <w:top w:w="0" w:type="dxa"/>
                    <w:left w:w="0" w:type="dxa"/>
                    <w:bottom w:w="0" w:type="dxa"/>
                    <w:right w:w="0" w:type="dxa"/>
                  </w:tcMar>
                  <w:vAlign w:val="center"/>
                </w:tcPr>
                <w:p w14:paraId="42B6D756">
                  <w:pPr>
                    <w:widowControl/>
                    <w:shd w:val="clear" w:color="auto" w:fill="auto"/>
                    <w:jc w:val="center"/>
                    <w:textAlignment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kern w:val="0"/>
                      <w:szCs w:val="21"/>
                      <w:highlight w:val="none"/>
                      <w:lang w:val="en-US" w:eastAsia="zh-CN" w:bidi="ar"/>
                      <w14:textFill>
                        <w14:solidFill>
                          <w14:schemeClr w14:val="tx1"/>
                        </w14:solidFill>
                      </w14:textFill>
                    </w:rPr>
                    <w:t>20</w:t>
                  </w:r>
                </w:p>
              </w:tc>
              <w:tc>
                <w:tcPr>
                  <w:tcW w:w="397" w:type="dxa"/>
                  <w:shd w:val="clear" w:color="auto" w:fill="FFFFFF"/>
                  <w:noWrap w:val="0"/>
                  <w:tcMar>
                    <w:top w:w="0" w:type="dxa"/>
                    <w:left w:w="0" w:type="dxa"/>
                    <w:bottom w:w="0" w:type="dxa"/>
                    <w:right w:w="0" w:type="dxa"/>
                  </w:tcMar>
                  <w:vAlign w:val="center"/>
                </w:tcPr>
                <w:p w14:paraId="768BF7D4">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36.2</w:t>
                  </w:r>
                </w:p>
              </w:tc>
              <w:tc>
                <w:tcPr>
                  <w:tcW w:w="397" w:type="dxa"/>
                  <w:shd w:val="clear" w:color="auto" w:fill="FFFFFF"/>
                  <w:noWrap w:val="0"/>
                  <w:tcMar>
                    <w:top w:w="0" w:type="dxa"/>
                    <w:left w:w="0" w:type="dxa"/>
                    <w:bottom w:w="0" w:type="dxa"/>
                    <w:right w:w="0" w:type="dxa"/>
                  </w:tcMar>
                  <w:vAlign w:val="center"/>
                </w:tcPr>
                <w:p w14:paraId="0F366127">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42.2</w:t>
                  </w:r>
                </w:p>
              </w:tc>
              <w:tc>
                <w:tcPr>
                  <w:tcW w:w="398" w:type="dxa"/>
                  <w:shd w:val="clear" w:color="auto" w:fill="FFFFFF"/>
                  <w:noWrap w:val="0"/>
                  <w:tcMar>
                    <w:top w:w="0" w:type="dxa"/>
                    <w:left w:w="0" w:type="dxa"/>
                    <w:bottom w:w="0" w:type="dxa"/>
                    <w:right w:w="0" w:type="dxa"/>
                  </w:tcMar>
                  <w:vAlign w:val="center"/>
                </w:tcPr>
                <w:p w14:paraId="5819A788">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40.1</w:t>
                  </w:r>
                </w:p>
              </w:tc>
              <w:tc>
                <w:tcPr>
                  <w:tcW w:w="398" w:type="dxa"/>
                  <w:shd w:val="clear" w:color="auto" w:fill="FFFFFF"/>
                  <w:noWrap w:val="0"/>
                  <w:tcMar>
                    <w:top w:w="0" w:type="dxa"/>
                    <w:left w:w="0" w:type="dxa"/>
                    <w:bottom w:w="0" w:type="dxa"/>
                    <w:right w:w="0" w:type="dxa"/>
                  </w:tcMar>
                  <w:vAlign w:val="center"/>
                </w:tcPr>
                <w:p w14:paraId="4BA860EF">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40.7</w:t>
                  </w:r>
                </w:p>
              </w:tc>
              <w:tc>
                <w:tcPr>
                  <w:tcW w:w="229" w:type="pct"/>
                  <w:shd w:val="clear" w:color="auto" w:fill="FFFFFF"/>
                  <w:noWrap w:val="0"/>
                  <w:tcMar>
                    <w:top w:w="0" w:type="dxa"/>
                    <w:left w:w="0" w:type="dxa"/>
                    <w:bottom w:w="0" w:type="dxa"/>
                    <w:right w:w="0" w:type="dxa"/>
                  </w:tcMar>
                  <w:vAlign w:val="center"/>
                </w:tcPr>
                <w:p w14:paraId="71988F1C">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r>
          </w:tbl>
          <w:p w14:paraId="61340493">
            <w:pPr>
              <w:keepNext w:val="0"/>
              <w:keepLines w:val="0"/>
              <w:pageBreakBefore w:val="0"/>
              <w:widowControl w:val="0"/>
              <w:kinsoku/>
              <w:wordWrap/>
              <w:overflowPunct/>
              <w:topLinePunct w:val="0"/>
              <w:bidi w:val="0"/>
              <w:adjustRightInd/>
              <w:snapToGrid/>
              <w:textAlignment w:val="auto"/>
              <w:rPr>
                <w:rFonts w:ascii="Times New Roman" w:hAnsi="Times New Roman" w:eastAsia="宋体"/>
                <w:caps w:val="0"/>
                <w:color w:val="000000" w:themeColor="text1"/>
                <w:sz w:val="22"/>
                <w:szCs w:val="22"/>
                <w:highlight w:val="none"/>
                <w14:textFill>
                  <w14:solidFill>
                    <w14:schemeClr w14:val="tx1"/>
                  </w14:solidFill>
                </w14:textFill>
              </w:rPr>
            </w:pPr>
            <w:r>
              <w:rPr>
                <w:rFonts w:hint="eastAsia" w:ascii="Times New Roman" w:hAnsi="Times New Roman" w:eastAsia="宋体"/>
                <w:bCs/>
                <w:caps w:val="0"/>
                <w:color w:val="000000" w:themeColor="text1"/>
                <w:szCs w:val="21"/>
                <w:highlight w:val="none"/>
                <w14:textFill>
                  <w14:solidFill>
                    <w14:schemeClr w14:val="tx1"/>
                  </w14:solidFill>
                </w14:textFill>
              </w:rPr>
              <w:t>注：</w:t>
            </w:r>
            <w:r>
              <w:rPr>
                <w:rFonts w:ascii="Times New Roman" w:hAnsi="Times New Roman" w:eastAsia="宋体"/>
                <w:bCs/>
                <w:caps w:val="0"/>
                <w:color w:val="000000" w:themeColor="text1"/>
                <w:szCs w:val="21"/>
                <w:highlight w:val="none"/>
                <w14:textFill>
                  <w14:solidFill>
                    <w14:schemeClr w14:val="tx1"/>
                  </w14:solidFill>
                </w14:textFill>
              </w:rPr>
              <w:t>表中坐标以</w:t>
            </w:r>
            <w:r>
              <w:rPr>
                <w:rFonts w:hint="eastAsia"/>
                <w:bCs/>
                <w:caps w:val="0"/>
                <w:color w:val="000000" w:themeColor="text1"/>
                <w:szCs w:val="21"/>
                <w:highlight w:val="none"/>
                <w:lang w:val="en-US" w:eastAsia="zh-CN"/>
                <w14:textFill>
                  <w14:solidFill>
                    <w14:schemeClr w14:val="tx1"/>
                  </w14:solidFill>
                </w14:textFill>
              </w:rPr>
              <w:t>厂房西南角</w:t>
            </w:r>
            <w:r>
              <w:rPr>
                <w:rFonts w:ascii="Times New Roman" w:hAnsi="Times New Roman" w:eastAsia="宋体"/>
                <w:bCs/>
                <w:caps w:val="0"/>
                <w:color w:val="000000" w:themeColor="text1"/>
                <w:szCs w:val="21"/>
                <w:highlight w:val="none"/>
                <w14:textFill>
                  <w14:solidFill>
                    <w14:schemeClr w14:val="tx1"/>
                  </w14:solidFill>
                </w14:textFill>
              </w:rPr>
              <w:t>为坐标原点，正东向为X轴正方向，正北向为Y轴正方向</w:t>
            </w:r>
            <w:r>
              <w:rPr>
                <w:rFonts w:hint="eastAsia" w:ascii="Times New Roman" w:hAnsi="Times New Roman" w:eastAsia="宋体"/>
                <w:bCs/>
                <w:caps w:val="0"/>
                <w:color w:val="000000" w:themeColor="text1"/>
                <w:szCs w:val="21"/>
                <w:highlight w:val="none"/>
                <w14:textFill>
                  <w14:solidFill>
                    <w14:schemeClr w14:val="tx1"/>
                  </w14:solidFill>
                </w14:textFill>
              </w:rPr>
              <w:t>。</w:t>
            </w:r>
          </w:p>
          <w:p w14:paraId="4FE10FCA">
            <w:pPr>
              <w:rPr>
                <w:rFonts w:ascii="Times New Roman" w:hAnsi="Times New Roman" w:eastAsia="宋体"/>
                <w:caps w:val="0"/>
                <w:color w:val="000000" w:themeColor="text1"/>
                <w:highlight w:val="none"/>
                <w14:textFill>
                  <w14:solidFill>
                    <w14:schemeClr w14:val="tx1"/>
                  </w14:solidFill>
                </w14:textFill>
              </w:rPr>
            </w:pPr>
          </w:p>
          <w:p w14:paraId="7B5660ED">
            <w:pPr>
              <w:pStyle w:val="89"/>
              <w:ind w:firstLine="0" w:firstLineChars="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ascii="Times New Roman" w:hAnsi="Times New Roman" w:eastAsia="宋体" w:cs="Times New Roman"/>
                <w:b/>
                <w:bCs/>
                <w:caps w:val="0"/>
                <w:color w:val="000000" w:themeColor="text1"/>
                <w:highlight w:val="none"/>
                <w14:textFill>
                  <w14:solidFill>
                    <w14:schemeClr w14:val="tx1"/>
                  </w14:solidFill>
                </w14:textFill>
              </w:rPr>
              <w:t>表 4-</w:t>
            </w:r>
            <w:r>
              <w:rPr>
                <w:rFonts w:hint="eastAsia" w:ascii="Times New Roman" w:hAnsi="Times New Roman" w:eastAsia="宋体" w:cs="Times New Roman"/>
                <w:b/>
                <w:bCs/>
                <w:caps w:val="0"/>
                <w:color w:val="000000" w:themeColor="text1"/>
                <w:highlight w:val="none"/>
                <w:lang w:val="en-US" w:eastAsia="zh-CN"/>
                <w14:textFill>
                  <w14:solidFill>
                    <w14:schemeClr w14:val="tx1"/>
                  </w14:solidFill>
                </w14:textFill>
              </w:rPr>
              <w:t>1</w:t>
            </w:r>
            <w:r>
              <w:rPr>
                <w:rFonts w:hint="eastAsia" w:ascii="Times New Roman" w:hAnsi="Times New Roman" w:cs="Times New Roman"/>
                <w:b/>
                <w:bCs/>
                <w:caps w:val="0"/>
                <w:color w:val="000000" w:themeColor="text1"/>
                <w:highlight w:val="none"/>
                <w:lang w:val="en-US" w:eastAsia="zh-CN"/>
                <w14:textFill>
                  <w14:solidFill>
                    <w14:schemeClr w14:val="tx1"/>
                  </w14:solidFill>
                </w14:textFill>
              </w:rPr>
              <w:t>3</w:t>
            </w:r>
            <w:r>
              <w:rPr>
                <w:rFonts w:ascii="Times New Roman" w:hAnsi="Times New Roman" w:eastAsia="宋体" w:cs="Times New Roman"/>
                <w:b/>
                <w:bCs/>
                <w:caps w:val="0"/>
                <w:color w:val="000000" w:themeColor="text1"/>
                <w:highlight w:val="none"/>
                <w14:textFill>
                  <w14:solidFill>
                    <w14:schemeClr w14:val="tx1"/>
                  </w14:solidFill>
                </w14:textFill>
              </w:rPr>
              <w:t xml:space="preserve"> 工业企业噪声源强调查清单（室外声源）</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1"/>
              <w:gridCol w:w="1511"/>
              <w:gridCol w:w="912"/>
              <w:gridCol w:w="968"/>
              <w:gridCol w:w="968"/>
              <w:gridCol w:w="744"/>
              <w:gridCol w:w="3093"/>
              <w:gridCol w:w="2114"/>
              <w:gridCol w:w="1511"/>
            </w:tblGrid>
            <w:tr w14:paraId="12FB5B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exact"/>
                <w:jc w:val="center"/>
              </w:trPr>
              <w:tc>
                <w:tcPr>
                  <w:tcW w:w="357" w:type="pct"/>
                  <w:vMerge w:val="restart"/>
                  <w:tcBorders>
                    <w:tl2br w:val="nil"/>
                    <w:tr2bl w:val="nil"/>
                  </w:tcBorders>
                  <w:vAlign w:val="center"/>
                </w:tcPr>
                <w:p w14:paraId="783FE8EE">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序号</w:t>
                  </w:r>
                </w:p>
              </w:tc>
              <w:tc>
                <w:tcPr>
                  <w:tcW w:w="593" w:type="pct"/>
                  <w:vMerge w:val="restart"/>
                  <w:tcBorders>
                    <w:tl2br w:val="nil"/>
                    <w:tr2bl w:val="nil"/>
                  </w:tcBorders>
                  <w:vAlign w:val="center"/>
                </w:tcPr>
                <w:p w14:paraId="60167355">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声源名称</w:t>
                  </w:r>
                </w:p>
              </w:tc>
              <w:tc>
                <w:tcPr>
                  <w:tcW w:w="358" w:type="pct"/>
                  <w:vMerge w:val="restart"/>
                  <w:tcBorders>
                    <w:tl2br w:val="nil"/>
                    <w:tr2bl w:val="nil"/>
                  </w:tcBorders>
                  <w:vAlign w:val="center"/>
                </w:tcPr>
                <w:p w14:paraId="081E7E37">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型号</w:t>
                  </w:r>
                </w:p>
              </w:tc>
              <w:tc>
                <w:tcPr>
                  <w:tcW w:w="1052" w:type="pct"/>
                  <w:gridSpan w:val="3"/>
                  <w:tcBorders>
                    <w:tl2br w:val="nil"/>
                    <w:tr2bl w:val="nil"/>
                  </w:tcBorders>
                  <w:vAlign w:val="center"/>
                </w:tcPr>
                <w:p w14:paraId="6BD63C36">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空间相对位置/m</w:t>
                  </w:r>
                </w:p>
              </w:tc>
              <w:tc>
                <w:tcPr>
                  <w:tcW w:w="1214" w:type="pct"/>
                  <w:tcBorders>
                    <w:tl2br w:val="nil"/>
                    <w:tr2bl w:val="nil"/>
                  </w:tcBorders>
                  <w:vAlign w:val="center"/>
                </w:tcPr>
                <w:p w14:paraId="0537667A">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声源源强（任选一种）</w:t>
                  </w:r>
                </w:p>
              </w:tc>
              <w:tc>
                <w:tcPr>
                  <w:tcW w:w="830" w:type="pct"/>
                  <w:vMerge w:val="restart"/>
                  <w:tcBorders>
                    <w:tl2br w:val="nil"/>
                    <w:tr2bl w:val="nil"/>
                  </w:tcBorders>
                  <w:vAlign w:val="center"/>
                </w:tcPr>
                <w:p w14:paraId="3F608B5B">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声源控制措施</w:t>
                  </w:r>
                </w:p>
              </w:tc>
              <w:tc>
                <w:tcPr>
                  <w:tcW w:w="593" w:type="pct"/>
                  <w:vMerge w:val="restart"/>
                  <w:tcBorders>
                    <w:tl2br w:val="nil"/>
                    <w:tr2bl w:val="nil"/>
                  </w:tcBorders>
                  <w:vAlign w:val="center"/>
                </w:tcPr>
                <w:p w14:paraId="5B1A43DB">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b/>
                      <w:caps w:val="0"/>
                      <w:color w:val="000000" w:themeColor="text1"/>
                      <w:szCs w:val="21"/>
                      <w:highlight w:val="none"/>
                      <w14:textFill>
                        <w14:solidFill>
                          <w14:schemeClr w14:val="tx1"/>
                        </w14:solidFill>
                      </w14:textFill>
                    </w:rPr>
                    <w:t>运行时段</w:t>
                  </w:r>
                </w:p>
              </w:tc>
            </w:tr>
            <w:tr w14:paraId="280949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57" w:type="pct"/>
                  <w:vMerge w:val="continue"/>
                  <w:tcBorders>
                    <w:tl2br w:val="nil"/>
                    <w:tr2bl w:val="nil"/>
                  </w:tcBorders>
                  <w:shd w:val="clear" w:color="auto" w:fill="FFFFFF"/>
                  <w:vAlign w:val="center"/>
                </w:tcPr>
                <w:p w14:paraId="50C1FA9C">
                  <w:pPr>
                    <w:jc w:val="center"/>
                    <w:rPr>
                      <w:rFonts w:ascii="Times New Roman" w:hAnsi="Times New Roman" w:eastAsia="宋体"/>
                      <w:caps w:val="0"/>
                      <w:color w:val="000000" w:themeColor="text1"/>
                      <w:szCs w:val="21"/>
                      <w:highlight w:val="none"/>
                      <w14:textFill>
                        <w14:solidFill>
                          <w14:schemeClr w14:val="tx1"/>
                        </w14:solidFill>
                      </w14:textFill>
                    </w:rPr>
                  </w:pPr>
                </w:p>
              </w:tc>
              <w:tc>
                <w:tcPr>
                  <w:tcW w:w="593" w:type="pct"/>
                  <w:vMerge w:val="continue"/>
                  <w:tcBorders>
                    <w:tl2br w:val="nil"/>
                    <w:tr2bl w:val="nil"/>
                  </w:tcBorders>
                  <w:shd w:val="clear" w:color="auto" w:fill="FFFFFF"/>
                  <w:vAlign w:val="center"/>
                </w:tcPr>
                <w:p w14:paraId="4EC838B8">
                  <w:pPr>
                    <w:jc w:val="center"/>
                    <w:rPr>
                      <w:rFonts w:ascii="Times New Roman" w:hAnsi="Times New Roman" w:eastAsia="宋体"/>
                      <w:caps w:val="0"/>
                      <w:color w:val="000000" w:themeColor="text1"/>
                      <w:szCs w:val="21"/>
                      <w:highlight w:val="none"/>
                      <w14:textFill>
                        <w14:solidFill>
                          <w14:schemeClr w14:val="tx1"/>
                        </w14:solidFill>
                      </w14:textFill>
                    </w:rPr>
                  </w:pPr>
                </w:p>
              </w:tc>
              <w:tc>
                <w:tcPr>
                  <w:tcW w:w="358" w:type="pct"/>
                  <w:vMerge w:val="continue"/>
                  <w:tcBorders>
                    <w:tl2br w:val="nil"/>
                    <w:tr2bl w:val="nil"/>
                  </w:tcBorders>
                  <w:shd w:val="clear" w:color="auto" w:fill="FFFFFF"/>
                  <w:vAlign w:val="center"/>
                </w:tcPr>
                <w:p w14:paraId="1775F090">
                  <w:pPr>
                    <w:rPr>
                      <w:rFonts w:ascii="Times New Roman" w:hAnsi="Times New Roman" w:eastAsia="宋体"/>
                      <w:caps w:val="0"/>
                      <w:color w:val="000000" w:themeColor="text1"/>
                      <w:szCs w:val="21"/>
                      <w:highlight w:val="none"/>
                      <w14:textFill>
                        <w14:solidFill>
                          <w14:schemeClr w14:val="tx1"/>
                        </w14:solidFill>
                      </w14:textFill>
                    </w:rPr>
                  </w:pPr>
                </w:p>
              </w:tc>
              <w:tc>
                <w:tcPr>
                  <w:tcW w:w="380" w:type="pct"/>
                  <w:tcBorders>
                    <w:tl2br w:val="nil"/>
                    <w:tr2bl w:val="nil"/>
                  </w:tcBorders>
                  <w:shd w:val="clear" w:color="auto" w:fill="FFFFFF"/>
                  <w:vAlign w:val="center"/>
                </w:tcPr>
                <w:p w14:paraId="677C1BCB">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X</w:t>
                  </w:r>
                </w:p>
              </w:tc>
              <w:tc>
                <w:tcPr>
                  <w:tcW w:w="380" w:type="pct"/>
                  <w:tcBorders>
                    <w:tl2br w:val="nil"/>
                    <w:tr2bl w:val="nil"/>
                  </w:tcBorders>
                  <w:shd w:val="clear" w:color="auto" w:fill="FFFFFF"/>
                  <w:vAlign w:val="center"/>
                </w:tcPr>
                <w:p w14:paraId="4EF94E0A">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Y</w:t>
                  </w:r>
                </w:p>
              </w:tc>
              <w:tc>
                <w:tcPr>
                  <w:tcW w:w="292" w:type="pct"/>
                  <w:tcBorders>
                    <w:tl2br w:val="nil"/>
                    <w:tr2bl w:val="nil"/>
                  </w:tcBorders>
                  <w:shd w:val="clear" w:color="auto" w:fill="FFFFFF"/>
                  <w:vAlign w:val="center"/>
                </w:tcPr>
                <w:p w14:paraId="3F0B4E48">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Z</w:t>
                  </w:r>
                </w:p>
              </w:tc>
              <w:tc>
                <w:tcPr>
                  <w:tcW w:w="1214" w:type="pct"/>
                  <w:tcBorders>
                    <w:tl2br w:val="nil"/>
                    <w:tr2bl w:val="nil"/>
                  </w:tcBorders>
                  <w:shd w:val="clear" w:color="auto" w:fill="FFFFFF"/>
                  <w:vAlign w:val="center"/>
                </w:tcPr>
                <w:p w14:paraId="1FBB6EF9">
                  <w:pPr>
                    <w:jc w:val="center"/>
                    <w:rPr>
                      <w:rFonts w:hint="eastAsia" w:ascii="Times New Roman" w:hAnsi="Times New Roman" w:eastAsia="宋体"/>
                      <w:caps w:val="0"/>
                      <w:color w:val="000000" w:themeColor="text1"/>
                      <w:szCs w:val="21"/>
                      <w:highlight w:val="none"/>
                      <w:lang w:eastAsia="zh-CN"/>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声功率级/dB</w:t>
                  </w:r>
                  <w:r>
                    <w:rPr>
                      <w:rFonts w:hint="eastAsia"/>
                      <w:caps w:val="0"/>
                      <w:color w:val="000000" w:themeColor="text1"/>
                      <w:szCs w:val="21"/>
                      <w:highlight w:val="none"/>
                      <w:lang w:eastAsia="zh-CN"/>
                      <w14:textFill>
                        <w14:solidFill>
                          <w14:schemeClr w14:val="tx1"/>
                        </w14:solidFill>
                      </w14:textFill>
                    </w:rPr>
                    <w:t>（</w:t>
                  </w:r>
                  <w:r>
                    <w:rPr>
                      <w:rFonts w:ascii="Times New Roman" w:hAnsi="Times New Roman" w:eastAsia="宋体"/>
                      <w:caps w:val="0"/>
                      <w:color w:val="000000" w:themeColor="text1"/>
                      <w:szCs w:val="21"/>
                      <w:highlight w:val="none"/>
                      <w14:textFill>
                        <w14:solidFill>
                          <w14:schemeClr w14:val="tx1"/>
                        </w14:solidFill>
                      </w14:textFill>
                    </w:rPr>
                    <w:t>A</w:t>
                  </w:r>
                  <w:r>
                    <w:rPr>
                      <w:rFonts w:hint="eastAsia"/>
                      <w:caps w:val="0"/>
                      <w:color w:val="000000" w:themeColor="text1"/>
                      <w:szCs w:val="21"/>
                      <w:highlight w:val="none"/>
                      <w:lang w:eastAsia="zh-CN"/>
                      <w14:textFill>
                        <w14:solidFill>
                          <w14:schemeClr w14:val="tx1"/>
                        </w14:solidFill>
                      </w14:textFill>
                    </w:rPr>
                    <w:t>）</w:t>
                  </w:r>
                </w:p>
              </w:tc>
              <w:tc>
                <w:tcPr>
                  <w:tcW w:w="830" w:type="pct"/>
                  <w:vMerge w:val="continue"/>
                  <w:tcBorders>
                    <w:tl2br w:val="nil"/>
                    <w:tr2bl w:val="nil"/>
                  </w:tcBorders>
                  <w:shd w:val="clear" w:color="auto" w:fill="FFFFFF"/>
                  <w:vAlign w:val="center"/>
                </w:tcPr>
                <w:p w14:paraId="2FF5ABAA">
                  <w:pPr>
                    <w:jc w:val="center"/>
                    <w:rPr>
                      <w:rFonts w:ascii="Times New Roman" w:hAnsi="Times New Roman" w:eastAsia="宋体"/>
                      <w:caps w:val="0"/>
                      <w:color w:val="000000" w:themeColor="text1"/>
                      <w:szCs w:val="21"/>
                      <w:highlight w:val="none"/>
                      <w14:textFill>
                        <w14:solidFill>
                          <w14:schemeClr w14:val="tx1"/>
                        </w14:solidFill>
                      </w14:textFill>
                    </w:rPr>
                  </w:pPr>
                </w:p>
              </w:tc>
              <w:tc>
                <w:tcPr>
                  <w:tcW w:w="593" w:type="pct"/>
                  <w:vMerge w:val="continue"/>
                  <w:tcBorders>
                    <w:tl2br w:val="nil"/>
                    <w:tr2bl w:val="nil"/>
                  </w:tcBorders>
                  <w:shd w:val="clear" w:color="auto" w:fill="FFFFFF"/>
                  <w:vAlign w:val="center"/>
                </w:tcPr>
                <w:p w14:paraId="142B8FDA">
                  <w:pPr>
                    <w:jc w:val="center"/>
                    <w:rPr>
                      <w:rFonts w:ascii="Times New Roman" w:hAnsi="Times New Roman" w:eastAsia="宋体"/>
                      <w:caps w:val="0"/>
                      <w:color w:val="000000" w:themeColor="text1"/>
                      <w:szCs w:val="21"/>
                      <w:highlight w:val="none"/>
                      <w14:textFill>
                        <w14:solidFill>
                          <w14:schemeClr w14:val="tx1"/>
                        </w14:solidFill>
                      </w14:textFill>
                    </w:rPr>
                  </w:pPr>
                </w:p>
              </w:tc>
            </w:tr>
            <w:tr w14:paraId="4C5A6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jc w:val="center"/>
              </w:trPr>
              <w:tc>
                <w:tcPr>
                  <w:tcW w:w="357" w:type="pct"/>
                  <w:tcBorders>
                    <w:tl2br w:val="nil"/>
                    <w:tr2bl w:val="nil"/>
                  </w:tcBorders>
                  <w:shd w:val="clear" w:color="auto" w:fill="FFFFFF"/>
                  <w:vAlign w:val="center"/>
                </w:tcPr>
                <w:p w14:paraId="3AB6AD09">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1</w:t>
                  </w:r>
                </w:p>
              </w:tc>
              <w:tc>
                <w:tcPr>
                  <w:tcW w:w="593" w:type="pct"/>
                  <w:tcBorders>
                    <w:tl2br w:val="nil"/>
                    <w:tr2bl w:val="nil"/>
                  </w:tcBorders>
                  <w:shd w:val="clear" w:color="auto" w:fill="FFFFFF"/>
                  <w:vAlign w:val="center"/>
                </w:tcPr>
                <w:p w14:paraId="1D10FED1">
                  <w:pPr>
                    <w:jc w:val="center"/>
                    <w:rPr>
                      <w:rFonts w:hint="eastAsia" w:ascii="Times New Roman" w:hAnsi="Times New Roman" w:eastAsia="宋体"/>
                      <w:caps w:val="0"/>
                      <w:color w:val="000000" w:themeColor="text1"/>
                      <w:szCs w:val="21"/>
                      <w:highlight w:val="none"/>
                      <w:lang w:val="en-US" w:eastAsia="zh-CN"/>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风机</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1</w:t>
                  </w:r>
                </w:p>
              </w:tc>
              <w:tc>
                <w:tcPr>
                  <w:tcW w:w="358" w:type="pct"/>
                  <w:tcBorders>
                    <w:tl2br w:val="nil"/>
                    <w:tr2bl w:val="nil"/>
                  </w:tcBorders>
                  <w:shd w:val="clear" w:color="auto" w:fill="FFFFFF"/>
                  <w:vAlign w:val="center"/>
                </w:tcPr>
                <w:p w14:paraId="52E8E2A4">
                  <w:pPr>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14:textFill>
                        <w14:solidFill>
                          <w14:schemeClr w14:val="tx1"/>
                        </w14:solidFill>
                      </w14:textFill>
                    </w:rPr>
                    <w:t>/</w:t>
                  </w:r>
                </w:p>
              </w:tc>
              <w:tc>
                <w:tcPr>
                  <w:tcW w:w="380" w:type="pct"/>
                  <w:tcBorders>
                    <w:tl2br w:val="nil"/>
                    <w:tr2bl w:val="nil"/>
                  </w:tcBorders>
                  <w:shd w:val="clear" w:color="auto" w:fill="FFFFFF"/>
                  <w:vAlign w:val="center"/>
                </w:tcPr>
                <w:p w14:paraId="60695130">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7.7</w:t>
                  </w:r>
                </w:p>
              </w:tc>
              <w:tc>
                <w:tcPr>
                  <w:tcW w:w="380" w:type="pct"/>
                  <w:tcBorders>
                    <w:tl2br w:val="nil"/>
                    <w:tr2bl w:val="nil"/>
                  </w:tcBorders>
                  <w:shd w:val="clear" w:color="auto" w:fill="FFFFFF"/>
                  <w:vAlign w:val="center"/>
                </w:tcPr>
                <w:p w14:paraId="7D6D2403">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-85</w:t>
                  </w:r>
                </w:p>
              </w:tc>
              <w:tc>
                <w:tcPr>
                  <w:tcW w:w="292" w:type="pct"/>
                  <w:tcBorders>
                    <w:tl2br w:val="nil"/>
                    <w:tr2bl w:val="nil"/>
                  </w:tcBorders>
                  <w:shd w:val="clear" w:color="auto" w:fill="FFFFFF"/>
                  <w:vAlign w:val="center"/>
                </w:tcPr>
                <w:p w14:paraId="4912A42C">
                  <w:pPr>
                    <w:keepNext w:val="0"/>
                    <w:keepLines w:val="0"/>
                    <w:widowControl/>
                    <w:suppressLineNumbers w:val="0"/>
                    <w:jc w:val="center"/>
                    <w:textAlignment w:val="cente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aps w:val="0"/>
                      <w:color w:val="000000" w:themeColor="text1"/>
                      <w:kern w:val="0"/>
                      <w:sz w:val="20"/>
                      <w:szCs w:val="20"/>
                      <w:highlight w:val="none"/>
                      <w:u w:val="none"/>
                      <w:lang w:val="en-US" w:eastAsia="zh-CN" w:bidi="ar"/>
                      <w14:textFill>
                        <w14:solidFill>
                          <w14:schemeClr w14:val="tx1"/>
                        </w14:solidFill>
                      </w14:textFill>
                    </w:rPr>
                    <w:t>1.2</w:t>
                  </w:r>
                </w:p>
              </w:tc>
              <w:tc>
                <w:tcPr>
                  <w:tcW w:w="1214" w:type="pct"/>
                  <w:tcBorders>
                    <w:tl2br w:val="nil"/>
                    <w:tr2bl w:val="nil"/>
                  </w:tcBorders>
                  <w:shd w:val="clear" w:color="auto" w:fill="FFFFFF"/>
                  <w:vAlign w:val="center"/>
                </w:tcPr>
                <w:p w14:paraId="265C937D">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85</w:t>
                  </w:r>
                </w:p>
              </w:tc>
              <w:tc>
                <w:tcPr>
                  <w:tcW w:w="830" w:type="pct"/>
                  <w:tcBorders>
                    <w:tl2br w:val="nil"/>
                    <w:tr2bl w:val="nil"/>
                  </w:tcBorders>
                  <w:shd w:val="clear" w:color="auto" w:fill="FFFFFF"/>
                  <w:vAlign w:val="center"/>
                </w:tcPr>
                <w:p w14:paraId="4AD25892">
                  <w:pPr>
                    <w:jc w:val="center"/>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减震、隔声</w:t>
                  </w:r>
                </w:p>
              </w:tc>
              <w:tc>
                <w:tcPr>
                  <w:tcW w:w="593" w:type="pct"/>
                  <w:tcBorders>
                    <w:tl2br w:val="nil"/>
                    <w:tr2bl w:val="nil"/>
                  </w:tcBorders>
                  <w:shd w:val="clear" w:color="auto" w:fill="FFFFFF"/>
                  <w:vAlign w:val="center"/>
                </w:tcPr>
                <w:p w14:paraId="011DC6A5">
                  <w:pPr>
                    <w:shd w:val="clear" w:color="auto" w:fill="auto"/>
                    <w:jc w:val="center"/>
                    <w:rPr>
                      <w:rFonts w:ascii="Times New Roman" w:hAnsi="Times New Roman" w:eastAsia="宋体"/>
                      <w:caps w:val="0"/>
                      <w:color w:val="000000" w:themeColor="text1"/>
                      <w:szCs w:val="21"/>
                      <w:highlight w:val="none"/>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w:t>
                  </w:r>
                  <w:r>
                    <w:rPr>
                      <w:rFonts w:hint="eastAsia"/>
                      <w:caps w:val="0"/>
                      <w:color w:val="000000" w:themeColor="text1"/>
                      <w:szCs w:val="21"/>
                      <w:highlight w:val="none"/>
                      <w:lang w:val="en-US" w:eastAsia="zh-CN"/>
                      <w14:textFill>
                        <w14:solidFill>
                          <w14:schemeClr w14:val="tx1"/>
                        </w14:solidFill>
                      </w14:textFill>
                    </w:rPr>
                    <w:t>8</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:00-2</w:t>
                  </w:r>
                  <w:r>
                    <w:rPr>
                      <w:rFonts w:hint="eastAsia"/>
                      <w:caps w:val="0"/>
                      <w:color w:val="000000" w:themeColor="text1"/>
                      <w:szCs w:val="21"/>
                      <w:highlight w:val="none"/>
                      <w:lang w:val="en-US" w:eastAsia="zh-CN"/>
                      <w14:textFill>
                        <w14:solidFill>
                          <w14:schemeClr w14:val="tx1"/>
                        </w14:solidFill>
                      </w14:textFill>
                    </w:rPr>
                    <w:t>4</w:t>
                  </w: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:00</w:t>
                  </w:r>
                </w:p>
              </w:tc>
            </w:tr>
          </w:tbl>
          <w:p w14:paraId="65ECC517">
            <w:pPr>
              <w:rPr>
                <w:rFonts w:ascii="Times New Roman" w:hAnsi="Times New Roman" w:eastAsia="宋体"/>
                <w:caps w:val="0"/>
                <w:color w:val="000000" w:themeColor="text1"/>
                <w:sz w:val="22"/>
                <w:szCs w:val="22"/>
                <w:highlight w:val="none"/>
                <w14:textFill>
                  <w14:solidFill>
                    <w14:schemeClr w14:val="tx1"/>
                  </w14:solidFill>
                </w14:textFill>
              </w:rPr>
            </w:pPr>
            <w:r>
              <w:rPr>
                <w:rFonts w:hint="eastAsia" w:ascii="Times New Roman" w:hAnsi="Times New Roman" w:eastAsia="宋体"/>
                <w:bCs/>
                <w:caps w:val="0"/>
                <w:color w:val="000000" w:themeColor="text1"/>
                <w:szCs w:val="21"/>
                <w:highlight w:val="none"/>
                <w14:textFill>
                  <w14:solidFill>
                    <w14:schemeClr w14:val="tx1"/>
                  </w14:solidFill>
                </w14:textFill>
              </w:rPr>
              <w:t>注：表中坐标以厂房西南角为坐标原点，正东向为X轴正方向，正北向为Y轴正方向。</w:t>
            </w:r>
          </w:p>
          <w:p w14:paraId="62328E99">
            <w:pPr>
              <w:rPr>
                <w:rFonts w:ascii="Times New Roman" w:hAnsi="Times New Roman" w:eastAsia="宋体"/>
                <w:caps w:val="0"/>
                <w:color w:val="000000" w:themeColor="text1"/>
                <w:highlight w:val="none"/>
                <w14:textFill>
                  <w14:solidFill>
                    <w14:schemeClr w14:val="tx1"/>
                  </w14:solidFill>
                </w14:textFill>
              </w:rPr>
            </w:pPr>
          </w:p>
          <w:p w14:paraId="0E25F0B5">
            <w:pPr>
              <w:pStyle w:val="7"/>
              <w:rPr>
                <w:rFonts w:ascii="Times New Roman" w:hAnsi="Times New Roman" w:eastAsia="宋体"/>
                <w:caps w:val="0"/>
                <w:color w:val="000000" w:themeColor="text1"/>
                <w:highlight w:val="none"/>
                <w14:textFill>
                  <w14:solidFill>
                    <w14:schemeClr w14:val="tx1"/>
                  </w14:solidFill>
                </w14:textFill>
              </w:rPr>
            </w:pPr>
          </w:p>
          <w:p w14:paraId="5448AFF0">
            <w:pPr>
              <w:rPr>
                <w:rFonts w:ascii="Times New Roman" w:hAnsi="Times New Roman" w:eastAsia="宋体"/>
                <w:b/>
                <w:bCs/>
                <w:caps w:val="0"/>
                <w:color w:val="000000" w:themeColor="text1"/>
                <w:sz w:val="24"/>
                <w:szCs w:val="32"/>
                <w:highlight w:val="none"/>
                <w14:textFill>
                  <w14:solidFill>
                    <w14:schemeClr w14:val="tx1"/>
                  </w14:solidFill>
                </w14:textFill>
              </w:rPr>
            </w:pPr>
          </w:p>
        </w:tc>
      </w:tr>
    </w:tbl>
    <w:p w14:paraId="4953077F">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sectPr>
          <w:pgSz w:w="16840" w:h="11907" w:orient="landscape"/>
          <w:pgMar w:top="1247" w:right="1701" w:bottom="1247" w:left="1899" w:header="851" w:footer="851" w:gutter="0"/>
          <w:pgBorders>
            <w:top w:val="none" w:sz="0" w:space="0"/>
            <w:left w:val="none" w:sz="0" w:space="0"/>
            <w:bottom w:val="none" w:sz="0" w:space="0"/>
            <w:right w:val="none" w:sz="0" w:space="0"/>
          </w:pgBorders>
          <w:cols w:space="720" w:num="1"/>
          <w:docGrid w:linePitch="312" w:charSpace="0"/>
        </w:sectPr>
      </w:pPr>
    </w:p>
    <w:tbl>
      <w:tblPr>
        <w:tblStyle w:val="21"/>
        <w:tblW w:w="882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5"/>
        <w:gridCol w:w="8080"/>
      </w:tblGrid>
      <w:tr w14:paraId="2DA2DB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80" w:hRule="atLeast"/>
          <w:jc w:val="center"/>
        </w:trPr>
        <w:tc>
          <w:tcPr>
            <w:tcW w:w="745" w:type="dxa"/>
            <w:tcMar>
              <w:left w:w="28" w:type="dxa"/>
              <w:right w:w="28" w:type="dxa"/>
            </w:tcMar>
            <w:vAlign w:val="center"/>
          </w:tcPr>
          <w:p w14:paraId="1388DDD3">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运营</w:t>
            </w:r>
          </w:p>
          <w:p w14:paraId="28709BDB">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期环</w:t>
            </w:r>
          </w:p>
          <w:p w14:paraId="3086EBF9">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境影</w:t>
            </w:r>
          </w:p>
          <w:p w14:paraId="36DAE6E5">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响和</w:t>
            </w:r>
          </w:p>
          <w:p w14:paraId="13EB01CC">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保护</w:t>
            </w:r>
          </w:p>
          <w:p w14:paraId="7456CBB5">
            <w:pPr>
              <w:adjustRightInd w:val="0"/>
              <w:snapToGrid w:val="0"/>
              <w:jc w:val="center"/>
              <w:rPr>
                <w:rFonts w:ascii="Times New Roman" w:hAnsi="Times New Roman" w:eastAsia="宋体" w:cs="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措施</w:t>
            </w:r>
          </w:p>
        </w:tc>
        <w:tc>
          <w:tcPr>
            <w:tcW w:w="8080" w:type="dxa"/>
            <w:vAlign w:val="center"/>
          </w:tcPr>
          <w:p w14:paraId="00D9D322">
            <w:pPr>
              <w:spacing w:line="360" w:lineRule="auto"/>
              <w:ind w:firstLine="482" w:firstLineChars="200"/>
              <w:rPr>
                <w:rFonts w:hint="default" w:ascii="Times New Roman" w:hAnsi="Times New Roman" w:eastAsia="宋体" w:cs="Times New Roman"/>
                <w:b/>
                <w:bCs/>
                <w:caps w:val="0"/>
                <w:color w:val="000000" w:themeColor="text1"/>
                <w:sz w:val="24"/>
                <w:szCs w:val="32"/>
                <w:highlight w:val="none"/>
                <w14:textFill>
                  <w14:solidFill>
                    <w14:schemeClr w14:val="tx1"/>
                  </w14:solidFill>
                </w14:textFill>
              </w:rPr>
            </w:pPr>
            <w:r>
              <w:rPr>
                <w:rFonts w:hint="default" w:ascii="Times New Roman" w:hAnsi="Times New Roman" w:eastAsia="宋体" w:cs="Times New Roman"/>
                <w:b/>
                <w:bCs/>
                <w:caps w:val="0"/>
                <w:color w:val="000000" w:themeColor="text1"/>
                <w:sz w:val="24"/>
                <w:szCs w:val="32"/>
                <w:highlight w:val="none"/>
                <w14:textFill>
                  <w14:solidFill>
                    <w14:schemeClr w14:val="tx1"/>
                  </w14:solidFill>
                </w14:textFill>
              </w:rPr>
              <w:t>2、预测模式</w:t>
            </w:r>
          </w:p>
          <w:p w14:paraId="08D559FF">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本项目实行</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两</w:t>
            </w:r>
            <w:r>
              <w:rPr>
                <w:rFonts w:hint="default" w:ascii="Times New Roman" w:hAnsi="Times New Roman" w:eastAsia="宋体" w:cs="Times New Roman"/>
                <w:caps w:val="0"/>
                <w:color w:val="000000" w:themeColor="text1"/>
                <w:sz w:val="24"/>
                <w:highlight w:val="none"/>
                <w14:textFill>
                  <w14:solidFill>
                    <w14:schemeClr w14:val="tx1"/>
                  </w14:solidFill>
                </w14:textFill>
              </w:rPr>
              <w:t>班制生产，涉及夜间生产，因此，需对昼</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夜</w:t>
            </w:r>
            <w:r>
              <w:rPr>
                <w:rFonts w:hint="default" w:ascii="Times New Roman" w:hAnsi="Times New Roman" w:eastAsia="宋体" w:cs="Times New Roman"/>
                <w:caps w:val="0"/>
                <w:color w:val="000000" w:themeColor="text1"/>
                <w:sz w:val="24"/>
                <w:highlight w:val="none"/>
                <w14:textFill>
                  <w14:solidFill>
                    <w14:schemeClr w14:val="tx1"/>
                  </w14:solidFill>
                </w14:textFill>
              </w:rPr>
              <w:t>间的声环境影响进行分析。本次噪声环境影响预测采用《环境影响评价技术导则声环境》（HJ2.4-2021）中的工业噪声预测计算模式。</w:t>
            </w:r>
          </w:p>
          <w:p w14:paraId="75468E23">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（1）计算某个室内靠近围护结构处的倍频带声压级</w:t>
            </w:r>
          </w:p>
          <w:p w14:paraId="5F5628D2">
            <w:pPr>
              <w:spacing w:line="360" w:lineRule="auto"/>
              <w:ind w:firstLine="480"/>
              <w:jc w:val="center"/>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drawing>
                <wp:inline distT="0" distB="0" distL="0" distR="0">
                  <wp:extent cx="1885950" cy="409575"/>
                  <wp:effectExtent l="0" t="0" r="0" b="9525"/>
                  <wp:docPr id="7" name="图片 7" descr="wp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wps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885950" cy="409575"/>
                          </a:xfrm>
                          <a:prstGeom prst="rect">
                            <a:avLst/>
                          </a:prstGeom>
                          <a:noFill/>
                          <a:ln>
                            <a:noFill/>
                          </a:ln>
                        </pic:spPr>
                      </pic:pic>
                    </a:graphicData>
                  </a:graphic>
                </wp:inline>
              </w:drawing>
            </w:r>
          </w:p>
          <w:p w14:paraId="6963F405">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式中：Loct,t——某个室内声源在靠近围护结构处产生的倍频声压级，dB；</w:t>
            </w:r>
          </w:p>
          <w:p w14:paraId="67210193">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Lw oct——某个声源的倍频带声功率级，dB；</w:t>
            </w:r>
          </w:p>
          <w:p w14:paraId="19F745FE">
            <w:pPr>
              <w:spacing w:line="360" w:lineRule="auto"/>
              <w:ind w:firstLine="1200" w:firstLineChars="5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r1——室内某个声源与靠近围护结构处的距离，m：</w:t>
            </w:r>
          </w:p>
          <w:p w14:paraId="23B8266F">
            <w:pPr>
              <w:spacing w:line="360" w:lineRule="auto"/>
              <w:ind w:firstLine="1200" w:firstLineChars="5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R——房间常数，m</w:t>
            </w:r>
            <w:r>
              <w:rPr>
                <w:rFonts w:hint="default" w:ascii="Times New Roman" w:hAnsi="Times New Roman" w:eastAsia="宋体" w:cs="Times New Roman"/>
                <w:caps w:val="0"/>
                <w:color w:val="000000" w:themeColor="text1"/>
                <w:sz w:val="24"/>
                <w:highlight w:val="none"/>
                <w:vertAlign w:val="superscript"/>
                <w14:textFill>
                  <w14:solidFill>
                    <w14:schemeClr w14:val="tx1"/>
                  </w14:solidFill>
                </w14:textFill>
              </w:rPr>
              <w:t>2</w:t>
            </w:r>
            <w:r>
              <w:rPr>
                <w:rFonts w:hint="default" w:ascii="Times New Roman" w:hAnsi="Times New Roman" w:eastAsia="宋体" w:cs="Times New Roman"/>
                <w:caps w:val="0"/>
                <w:color w:val="000000" w:themeColor="text1"/>
                <w:sz w:val="24"/>
                <w:highlight w:val="none"/>
                <w14:textFill>
                  <w14:solidFill>
                    <w14:schemeClr w14:val="tx1"/>
                  </w14:solidFill>
                </w14:textFill>
              </w:rPr>
              <w:t>；</w:t>
            </w:r>
          </w:p>
          <w:p w14:paraId="781F2B0E">
            <w:pPr>
              <w:spacing w:line="360" w:lineRule="auto"/>
              <w:ind w:firstLine="1200" w:firstLineChars="5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Q——方向性因子，无量纲。</w:t>
            </w:r>
          </w:p>
          <w:p w14:paraId="6AECCFA5">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（2）计算所有室内声源在靠近围护结构处产生的总倍频声压级</w:t>
            </w:r>
          </w:p>
          <w:p w14:paraId="5516A63C">
            <w:pPr>
              <w:spacing w:line="360" w:lineRule="auto"/>
              <w:ind w:firstLine="480"/>
              <w:jc w:val="center"/>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drawing>
                <wp:inline distT="0" distB="0" distL="0" distR="0">
                  <wp:extent cx="2066925" cy="447675"/>
                  <wp:effectExtent l="0" t="0" r="9525" b="9525"/>
                  <wp:docPr id="6" name="图片 6" descr="wp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wps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2066925" cy="447675"/>
                          </a:xfrm>
                          <a:prstGeom prst="rect">
                            <a:avLst/>
                          </a:prstGeom>
                          <a:noFill/>
                          <a:ln>
                            <a:noFill/>
                          </a:ln>
                        </pic:spPr>
                      </pic:pic>
                    </a:graphicData>
                  </a:graphic>
                </wp:inline>
              </w:drawing>
            </w:r>
          </w:p>
          <w:p w14:paraId="235A5648">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（3）计算室外靠近围护结构处的声压级</w:t>
            </w:r>
          </w:p>
          <w:p w14:paraId="0A4A5134">
            <w:pPr>
              <w:spacing w:line="360" w:lineRule="auto"/>
              <w:ind w:firstLine="420" w:firstLineChars="200"/>
              <w:jc w:val="center"/>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drawing>
                <wp:inline distT="0" distB="0" distL="0" distR="0">
                  <wp:extent cx="1933575" cy="238125"/>
                  <wp:effectExtent l="0" t="0" r="9525" b="9525"/>
                  <wp:docPr id="5" name="图片 5" descr="wp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ps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1933575" cy="238125"/>
                          </a:xfrm>
                          <a:prstGeom prst="rect">
                            <a:avLst/>
                          </a:prstGeom>
                          <a:noFill/>
                          <a:ln>
                            <a:noFill/>
                          </a:ln>
                        </pic:spPr>
                      </pic:pic>
                    </a:graphicData>
                  </a:graphic>
                </wp:inline>
              </w:drawing>
            </w:r>
          </w:p>
          <w:p w14:paraId="177404D4">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（4）将室外声级Loct,2</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T</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和透声面积换算成等效的室外声源，计算等效声源第i个倍频带的声功率级Lw,oc：</w:t>
            </w:r>
          </w:p>
          <w:p w14:paraId="7F0270C4">
            <w:pPr>
              <w:spacing w:line="360" w:lineRule="auto"/>
              <w:ind w:firstLine="420" w:firstLineChars="200"/>
              <w:jc w:val="center"/>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drawing>
                <wp:inline distT="0" distB="0" distL="0" distR="0">
                  <wp:extent cx="1571625" cy="247650"/>
                  <wp:effectExtent l="0" t="0" r="9525" b="0"/>
                  <wp:docPr id="4" name="图片 4" descr="wp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ps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571625" cy="247650"/>
                          </a:xfrm>
                          <a:prstGeom prst="rect">
                            <a:avLst/>
                          </a:prstGeom>
                          <a:noFill/>
                          <a:ln>
                            <a:noFill/>
                          </a:ln>
                        </pic:spPr>
                      </pic:pic>
                    </a:graphicData>
                  </a:graphic>
                </wp:inline>
              </w:drawing>
            </w:r>
          </w:p>
          <w:p w14:paraId="4E61353B">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式中：S为透声面积，m</w:t>
            </w:r>
            <w:r>
              <w:rPr>
                <w:rFonts w:hint="default" w:ascii="Times New Roman" w:hAnsi="Times New Roman" w:eastAsia="宋体" w:cs="Times New Roman"/>
                <w:caps w:val="0"/>
                <w:color w:val="000000" w:themeColor="text1"/>
                <w:sz w:val="24"/>
                <w:highlight w:val="none"/>
                <w:vertAlign w:val="superscript"/>
                <w14:textFill>
                  <w14:solidFill>
                    <w14:schemeClr w14:val="tx1"/>
                  </w14:solidFill>
                </w14:textFill>
              </w:rPr>
              <w:t>2</w:t>
            </w:r>
            <w:r>
              <w:rPr>
                <w:rFonts w:hint="default" w:ascii="Times New Roman" w:hAnsi="Times New Roman" w:eastAsia="宋体" w:cs="Times New Roman"/>
                <w:caps w:val="0"/>
                <w:color w:val="000000" w:themeColor="text1"/>
                <w:sz w:val="24"/>
                <w:highlight w:val="none"/>
                <w14:textFill>
                  <w14:solidFill>
                    <w14:schemeClr w14:val="tx1"/>
                  </w14:solidFill>
                </w14:textFill>
              </w:rPr>
              <w:t>。</w:t>
            </w:r>
          </w:p>
          <w:p w14:paraId="4E830BAA">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（5）等效室外声源的位置为围护结构的位置，其倍频带声功率级为Lw,oct，由此按室外声源在预测方法计算等效室外声源在预测点产生的声级。</w:t>
            </w:r>
          </w:p>
          <w:p w14:paraId="4C2F5C18">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（6）计算某个室外声源在预测点产生的倍频带声压级</w:t>
            </w:r>
          </w:p>
          <w:p w14:paraId="5397A412">
            <w:pPr>
              <w:spacing w:line="360" w:lineRule="auto"/>
              <w:ind w:firstLine="420" w:firstLineChars="200"/>
              <w:jc w:val="center"/>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drawing>
                <wp:inline distT="0" distB="0" distL="0" distR="0">
                  <wp:extent cx="2314575" cy="238125"/>
                  <wp:effectExtent l="0" t="0" r="9525" b="9525"/>
                  <wp:docPr id="3" name="图片 3" descr="wp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ps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2314575" cy="238125"/>
                          </a:xfrm>
                          <a:prstGeom prst="rect">
                            <a:avLst/>
                          </a:prstGeom>
                          <a:noFill/>
                          <a:ln>
                            <a:noFill/>
                          </a:ln>
                        </pic:spPr>
                      </pic:pic>
                    </a:graphicData>
                  </a:graphic>
                </wp:inline>
              </w:drawing>
            </w:r>
          </w:p>
          <w:p w14:paraId="66ABAF06">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式中：Loct</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r</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——点声源在预测点产生的倍频带声压级，dB；</w:t>
            </w:r>
          </w:p>
          <w:p w14:paraId="0266D9BA">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Loct</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r0</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——参考位置r0处的倍频声压级，dB；</w:t>
            </w:r>
          </w:p>
          <w:p w14:paraId="713F9FEE">
            <w:pPr>
              <w:spacing w:line="360" w:lineRule="auto"/>
              <w:ind w:firstLine="1680" w:firstLineChars="7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r——预测点距声源的距离，m；</w:t>
            </w:r>
          </w:p>
          <w:p w14:paraId="5D7FC568">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r0——参考位置距声源的距离，m；</w:t>
            </w:r>
          </w:p>
          <w:p w14:paraId="12C41DB2">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△Loct——各种因素引起的衰减量</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包括声屏障、遮挡物、空气吸收、地面效应引起的衰减量</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。如果已知声源的倍频带声功率级Lw,oct，且声源可看作是位于地面上的，则：</w:t>
            </w:r>
            <w:r>
              <w:rPr>
                <w:rFonts w:hint="default" w:ascii="Times New Roman" w:hAnsi="Times New Roman" w:eastAsia="宋体" w:cs="Times New Roman"/>
                <w:caps w:val="0"/>
                <w:color w:val="000000" w:themeColor="text1"/>
                <w:highlight w:val="none"/>
                <w14:textFill>
                  <w14:solidFill>
                    <w14:schemeClr w14:val="tx1"/>
                  </w14:solidFill>
                </w14:textFill>
              </w:rPr>
              <w:drawing>
                <wp:inline distT="0" distB="0" distL="0" distR="0">
                  <wp:extent cx="1714500" cy="247650"/>
                  <wp:effectExtent l="0" t="0" r="0" b="0"/>
                  <wp:docPr id="2" name="图片 2" descr="wps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714500" cy="247650"/>
                          </a:xfrm>
                          <a:prstGeom prst="rect">
                            <a:avLst/>
                          </a:prstGeom>
                          <a:noFill/>
                          <a:ln>
                            <a:noFill/>
                          </a:ln>
                        </pic:spPr>
                      </pic:pic>
                    </a:graphicData>
                  </a:graphic>
                </wp:inline>
              </w:drawing>
            </w:r>
          </w:p>
          <w:p w14:paraId="7EA6F6B5">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（7）等效连续A声级</w:t>
            </w:r>
          </w:p>
          <w:p w14:paraId="61CC169E">
            <w:pPr>
              <w:spacing w:line="360" w:lineRule="auto"/>
              <w:ind w:firstLine="480"/>
              <w:jc w:val="center"/>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drawing>
                <wp:inline distT="0" distB="0" distL="0" distR="0">
                  <wp:extent cx="1714500" cy="447675"/>
                  <wp:effectExtent l="0" t="0" r="0" b="9525"/>
                  <wp:docPr id="1" name="图片 1" descr="wp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1714500" cy="447675"/>
                          </a:xfrm>
                          <a:prstGeom prst="rect">
                            <a:avLst/>
                          </a:prstGeom>
                          <a:noFill/>
                          <a:ln>
                            <a:noFill/>
                          </a:ln>
                        </pic:spPr>
                      </pic:pic>
                    </a:graphicData>
                  </a:graphic>
                </wp:inline>
              </w:drawing>
            </w:r>
          </w:p>
          <w:p w14:paraId="22A4318F">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式中：LAeq：在T段时间内的等效声级dB</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A</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w:t>
            </w:r>
          </w:p>
          <w:p w14:paraId="2929EFE0">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T：计算时间段的时间总数；</w:t>
            </w:r>
          </w:p>
          <w:p w14:paraId="30C04BF3">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t：某时段的时间序号；</w:t>
            </w:r>
          </w:p>
          <w:p w14:paraId="50468A67">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SLA：某时段的A声级dB</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A</w:t>
            </w:r>
            <w:r>
              <w:rPr>
                <w:rFonts w:hint="default" w:ascii="Times New Roman" w:hAnsi="Times New Roman" w:cs="Times New Roman"/>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w:t>
            </w:r>
          </w:p>
          <w:p w14:paraId="06C60EE7">
            <w:pPr>
              <w:tabs>
                <w:tab w:val="left" w:pos="1077"/>
              </w:tabs>
              <w:spacing w:line="360" w:lineRule="auto"/>
              <w:ind w:firstLine="482" w:firstLineChars="200"/>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3、预测结果</w:t>
            </w:r>
          </w:p>
          <w:p w14:paraId="5336D246">
            <w:pPr>
              <w:adjustRightInd w:val="0"/>
              <w:snapToGrid w:val="0"/>
              <w:jc w:val="center"/>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表4-</w:t>
            </w:r>
            <w:r>
              <w:rPr>
                <w:rFonts w:hint="default" w:ascii="Times New Roman" w:hAnsi="Times New Roman" w:eastAsia="宋体" w:cs="Times New Roman"/>
                <w:b/>
                <w:caps w:val="0"/>
                <w:color w:val="000000" w:themeColor="text1"/>
                <w:sz w:val="24"/>
                <w:highlight w:val="none"/>
                <w:lang w:val="en-US" w:eastAsia="zh-CN"/>
                <w14:textFill>
                  <w14:solidFill>
                    <w14:schemeClr w14:val="tx1"/>
                  </w14:solidFill>
                </w14:textFill>
              </w:rPr>
              <w:t>1</w:t>
            </w:r>
            <w:r>
              <w:rPr>
                <w:rFonts w:hint="eastAsia" w:ascii="Times New Roman" w:hAnsi="Times New Roman" w:cs="Times New Roman"/>
                <w:b/>
                <w:caps w:val="0"/>
                <w:color w:val="000000" w:themeColor="text1"/>
                <w:sz w:val="24"/>
                <w:highlight w:val="none"/>
                <w:lang w:val="en-US" w:eastAsia="zh-CN"/>
                <w14:textFill>
                  <w14:solidFill>
                    <w14:schemeClr w14:val="tx1"/>
                  </w14:solidFill>
                </w14:textFill>
              </w:rPr>
              <w:t>4</w:t>
            </w:r>
            <w:r>
              <w:rPr>
                <w:rFonts w:hint="default" w:ascii="Times New Roman" w:hAnsi="Times New Roman" w:eastAsia="宋体" w:cs="Times New Roman"/>
                <w:b/>
                <w:caps w:val="0"/>
                <w:color w:val="000000" w:themeColor="text1"/>
                <w:sz w:val="24"/>
                <w:highlight w:val="none"/>
                <w14:textFill>
                  <w14:solidFill>
                    <w14:schemeClr w14:val="tx1"/>
                  </w14:solidFill>
                </w14:textFill>
              </w:rPr>
              <w:t xml:space="preserve"> 厂界噪声预测结果与达标分析表</w:t>
            </w:r>
            <w:bookmarkStart w:id="12" w:name="PT_7"/>
          </w:p>
          <w:bookmarkEnd w:id="12"/>
          <w:tbl>
            <w:tblPr>
              <w:tblStyle w:val="21"/>
              <w:tblW w:w="777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77"/>
              <w:gridCol w:w="909"/>
              <w:gridCol w:w="1028"/>
              <w:gridCol w:w="795"/>
              <w:gridCol w:w="848"/>
              <w:gridCol w:w="1223"/>
              <w:gridCol w:w="1157"/>
              <w:gridCol w:w="940"/>
            </w:tblGrid>
            <w:tr w14:paraId="5AF669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6" w:hRule="exact"/>
                <w:jc w:val="center"/>
              </w:trPr>
              <w:tc>
                <w:tcPr>
                  <w:tcW w:w="563" w:type="pct"/>
                  <w:vMerge w:val="restart"/>
                  <w:tcBorders>
                    <w:tl2br w:val="nil"/>
                    <w:tr2bl w:val="nil"/>
                  </w:tcBorders>
                  <w:vAlign w:val="center"/>
                </w:tcPr>
                <w:p w14:paraId="154E8131">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14:textFill>
                        <w14:solidFill>
                          <w14:schemeClr w14:val="tx1"/>
                        </w14:solidFill>
                      </w14:textFill>
                    </w:rPr>
                    <w:t>预测方位</w:t>
                  </w:r>
                </w:p>
              </w:tc>
              <w:tc>
                <w:tcPr>
                  <w:tcW w:w="1756" w:type="pct"/>
                  <w:gridSpan w:val="3"/>
                  <w:tcBorders>
                    <w:tl2br w:val="nil"/>
                    <w:tr2bl w:val="nil"/>
                  </w:tcBorders>
                  <w:vAlign w:val="center"/>
                </w:tcPr>
                <w:p w14:paraId="7B04CA51">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14:textFill>
                        <w14:solidFill>
                          <w14:schemeClr w14:val="tx1"/>
                        </w14:solidFill>
                      </w14:textFill>
                    </w:rPr>
                    <w:t>最大值点空间相对位置/m</w:t>
                  </w:r>
                </w:p>
              </w:tc>
              <w:tc>
                <w:tcPr>
                  <w:tcW w:w="545" w:type="pct"/>
                  <w:vMerge w:val="restart"/>
                  <w:tcBorders>
                    <w:tl2br w:val="nil"/>
                    <w:tr2bl w:val="nil"/>
                  </w:tcBorders>
                  <w:vAlign w:val="center"/>
                </w:tcPr>
                <w:p w14:paraId="4FA94683">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14:textFill>
                        <w14:solidFill>
                          <w14:schemeClr w14:val="tx1"/>
                        </w14:solidFill>
                      </w14:textFill>
                    </w:rPr>
                    <w:t>时段</w:t>
                  </w:r>
                </w:p>
              </w:tc>
              <w:tc>
                <w:tcPr>
                  <w:tcW w:w="786" w:type="pct"/>
                  <w:vMerge w:val="restart"/>
                  <w:tcBorders>
                    <w:tl2br w:val="nil"/>
                    <w:tr2bl w:val="nil"/>
                  </w:tcBorders>
                  <w:shd w:val="clear" w:color="auto" w:fill="auto"/>
                  <w:vAlign w:val="center"/>
                </w:tcPr>
                <w:p w14:paraId="0109F5A1">
                  <w:pPr>
                    <w:jc w:val="center"/>
                    <w:rPr>
                      <w:rFonts w:hint="default" w:ascii="Times New Roman" w:hAnsi="Times New Roman" w:eastAsia="宋体" w:cs="Times New Roman"/>
                      <w:b/>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caps w:val="0"/>
                      <w:color w:val="000000" w:themeColor="text1"/>
                      <w:kern w:val="2"/>
                      <w:sz w:val="21"/>
                      <w:szCs w:val="21"/>
                      <w:highlight w:val="none"/>
                      <w:lang w:val="en-US" w:eastAsia="zh-CN" w:bidi="ar-SA"/>
                      <w14:textFill>
                        <w14:solidFill>
                          <w14:schemeClr w14:val="tx1"/>
                        </w14:solidFill>
                      </w14:textFill>
                    </w:rPr>
                    <w:t>贡献值dB</w:t>
                  </w:r>
                  <w:r>
                    <w:rPr>
                      <w:rFonts w:hint="default" w:ascii="Times New Roman" w:hAnsi="Times New Roman" w:cs="Times New Roman"/>
                      <w:b/>
                      <w:caps w:val="0"/>
                      <w:color w:val="000000" w:themeColor="text1"/>
                      <w:kern w:val="2"/>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
                      <w:caps w:val="0"/>
                      <w:color w:val="000000" w:themeColor="text1"/>
                      <w:kern w:val="2"/>
                      <w:sz w:val="21"/>
                      <w:szCs w:val="21"/>
                      <w:highlight w:val="none"/>
                      <w:lang w:val="en-US" w:eastAsia="zh-CN" w:bidi="ar-SA"/>
                      <w14:textFill>
                        <w14:solidFill>
                          <w14:schemeClr w14:val="tx1"/>
                        </w14:solidFill>
                      </w14:textFill>
                    </w:rPr>
                    <w:t>A</w:t>
                  </w:r>
                  <w:r>
                    <w:rPr>
                      <w:rFonts w:hint="default" w:ascii="Times New Roman" w:hAnsi="Times New Roman" w:cs="Times New Roman"/>
                      <w:b/>
                      <w:caps w:val="0"/>
                      <w:color w:val="000000" w:themeColor="text1"/>
                      <w:kern w:val="2"/>
                      <w:sz w:val="21"/>
                      <w:szCs w:val="21"/>
                      <w:highlight w:val="none"/>
                      <w:lang w:val="en-US" w:eastAsia="zh-CN" w:bidi="ar-SA"/>
                      <w14:textFill>
                        <w14:solidFill>
                          <w14:schemeClr w14:val="tx1"/>
                        </w14:solidFill>
                      </w14:textFill>
                    </w:rPr>
                    <w:t>）</w:t>
                  </w:r>
                </w:p>
              </w:tc>
              <w:tc>
                <w:tcPr>
                  <w:tcW w:w="743" w:type="pct"/>
                  <w:vMerge w:val="restart"/>
                  <w:tcBorders>
                    <w:tl2br w:val="nil"/>
                    <w:tr2bl w:val="nil"/>
                  </w:tcBorders>
                  <w:vAlign w:val="center"/>
                </w:tcPr>
                <w:p w14:paraId="57AD043F">
                  <w:pPr>
                    <w:jc w:val="center"/>
                    <w:rPr>
                      <w:rFonts w:hint="default" w:ascii="Times New Roman" w:hAnsi="Times New Roman" w:eastAsia="宋体" w:cs="Times New Roman"/>
                      <w:cap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14:textFill>
                        <w14:solidFill>
                          <w14:schemeClr w14:val="tx1"/>
                        </w14:solidFill>
                      </w14:textFill>
                    </w:rPr>
                    <w:t>标准限值dB</w:t>
                  </w:r>
                  <w:r>
                    <w:rPr>
                      <w:rFonts w:hint="default" w:ascii="Times New Roman" w:hAnsi="Times New Roman" w:cs="Times New Roman"/>
                      <w:b/>
                      <w:caps w:val="0"/>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b/>
                      <w:caps w:val="0"/>
                      <w:color w:val="000000" w:themeColor="text1"/>
                      <w:sz w:val="21"/>
                      <w:szCs w:val="21"/>
                      <w:highlight w:val="none"/>
                      <w14:textFill>
                        <w14:solidFill>
                          <w14:schemeClr w14:val="tx1"/>
                        </w14:solidFill>
                      </w14:textFill>
                    </w:rPr>
                    <w:t>A</w:t>
                  </w:r>
                  <w:r>
                    <w:rPr>
                      <w:rFonts w:hint="default" w:ascii="Times New Roman" w:hAnsi="Times New Roman" w:cs="Times New Roman"/>
                      <w:b/>
                      <w:caps w:val="0"/>
                      <w:color w:val="000000" w:themeColor="text1"/>
                      <w:sz w:val="21"/>
                      <w:szCs w:val="21"/>
                      <w:highlight w:val="none"/>
                      <w:lang w:eastAsia="zh-CN"/>
                      <w14:textFill>
                        <w14:solidFill>
                          <w14:schemeClr w14:val="tx1"/>
                        </w14:solidFill>
                      </w14:textFill>
                    </w:rPr>
                    <w:t>）</w:t>
                  </w:r>
                </w:p>
              </w:tc>
              <w:tc>
                <w:tcPr>
                  <w:tcW w:w="604" w:type="pct"/>
                  <w:vMerge w:val="restart"/>
                  <w:tcBorders>
                    <w:tl2br w:val="nil"/>
                    <w:tr2bl w:val="nil"/>
                  </w:tcBorders>
                  <w:vAlign w:val="center"/>
                </w:tcPr>
                <w:p w14:paraId="2E8A08F8">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aps w:val="0"/>
                      <w:color w:val="000000" w:themeColor="text1"/>
                      <w:sz w:val="21"/>
                      <w:szCs w:val="21"/>
                      <w:highlight w:val="none"/>
                      <w14:textFill>
                        <w14:solidFill>
                          <w14:schemeClr w14:val="tx1"/>
                        </w14:solidFill>
                      </w14:textFill>
                    </w:rPr>
                    <w:t>达标情况</w:t>
                  </w:r>
                </w:p>
              </w:tc>
            </w:tr>
            <w:tr w14:paraId="22CD02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63" w:type="pct"/>
                  <w:vMerge w:val="continue"/>
                  <w:tcBorders>
                    <w:tl2br w:val="nil"/>
                    <w:tr2bl w:val="nil"/>
                  </w:tcBorders>
                  <w:shd w:val="clear" w:color="auto" w:fill="FFFFFF"/>
                  <w:vAlign w:val="center"/>
                </w:tcPr>
                <w:p w14:paraId="649664D7">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584" w:type="pct"/>
                  <w:tcBorders>
                    <w:tl2br w:val="nil"/>
                    <w:tr2bl w:val="nil"/>
                  </w:tcBorders>
                  <w:shd w:val="clear" w:color="auto" w:fill="FFFFFF"/>
                  <w:vAlign w:val="center"/>
                </w:tcPr>
                <w:p w14:paraId="75009D3F">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X</w:t>
                  </w:r>
                </w:p>
              </w:tc>
              <w:tc>
                <w:tcPr>
                  <w:tcW w:w="660" w:type="pct"/>
                  <w:tcBorders>
                    <w:tl2br w:val="nil"/>
                    <w:tr2bl w:val="nil"/>
                  </w:tcBorders>
                  <w:shd w:val="clear" w:color="auto" w:fill="FFFFFF"/>
                  <w:vAlign w:val="center"/>
                </w:tcPr>
                <w:p w14:paraId="11C224B6">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Y</w:t>
                  </w:r>
                </w:p>
              </w:tc>
              <w:tc>
                <w:tcPr>
                  <w:tcW w:w="511" w:type="pct"/>
                  <w:tcBorders>
                    <w:tl2br w:val="nil"/>
                    <w:tr2bl w:val="nil"/>
                  </w:tcBorders>
                  <w:shd w:val="clear" w:color="auto" w:fill="FFFFFF"/>
                  <w:vAlign w:val="center"/>
                </w:tcPr>
                <w:p w14:paraId="1E5EDA25">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Z</w:t>
                  </w:r>
                </w:p>
              </w:tc>
              <w:tc>
                <w:tcPr>
                  <w:tcW w:w="545" w:type="pct"/>
                  <w:vMerge w:val="continue"/>
                  <w:tcBorders>
                    <w:tl2br w:val="nil"/>
                    <w:tr2bl w:val="nil"/>
                  </w:tcBorders>
                  <w:shd w:val="clear" w:color="auto" w:fill="FFFFFF"/>
                  <w:vAlign w:val="center"/>
                </w:tcPr>
                <w:p w14:paraId="710A5E67">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786" w:type="pct"/>
                  <w:vMerge w:val="continue"/>
                  <w:tcBorders>
                    <w:tl2br w:val="nil"/>
                    <w:tr2bl w:val="nil"/>
                  </w:tcBorders>
                  <w:shd w:val="clear" w:color="auto" w:fill="FFFFFF"/>
                  <w:vAlign w:val="center"/>
                </w:tcPr>
                <w:p w14:paraId="138B7A85">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743" w:type="pct"/>
                  <w:vMerge w:val="continue"/>
                  <w:tcBorders>
                    <w:tl2br w:val="nil"/>
                    <w:tr2bl w:val="nil"/>
                  </w:tcBorders>
                  <w:shd w:val="clear" w:color="auto" w:fill="FFFFFF"/>
                  <w:vAlign w:val="center"/>
                </w:tcPr>
                <w:p w14:paraId="4FA20287">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604" w:type="pct"/>
                  <w:vMerge w:val="continue"/>
                  <w:tcBorders>
                    <w:tl2br w:val="nil"/>
                    <w:tr2bl w:val="nil"/>
                  </w:tcBorders>
                  <w:shd w:val="clear" w:color="auto" w:fill="FFFFFF"/>
                  <w:vAlign w:val="center"/>
                </w:tcPr>
                <w:p w14:paraId="15272885">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r>
            <w:tr w14:paraId="254BAE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01" w:hRule="exact"/>
                <w:jc w:val="center"/>
              </w:trPr>
              <w:tc>
                <w:tcPr>
                  <w:tcW w:w="563" w:type="pct"/>
                  <w:vMerge w:val="restart"/>
                  <w:tcBorders>
                    <w:tl2br w:val="nil"/>
                    <w:tr2bl w:val="nil"/>
                  </w:tcBorders>
                  <w:shd w:val="clear" w:color="auto" w:fill="FFFFFF"/>
                  <w:vAlign w:val="center"/>
                </w:tcPr>
                <w:p w14:paraId="0B20F250">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东侧</w:t>
                  </w:r>
                </w:p>
              </w:tc>
              <w:tc>
                <w:tcPr>
                  <w:tcW w:w="584" w:type="pct"/>
                  <w:tcBorders>
                    <w:tl2br w:val="nil"/>
                    <w:tr2bl w:val="nil"/>
                  </w:tcBorders>
                  <w:shd w:val="clear" w:color="auto" w:fill="FFFFFF"/>
                  <w:vAlign w:val="center"/>
                </w:tcPr>
                <w:p w14:paraId="066B3479">
                  <w:pPr>
                    <w:keepNext w:val="0"/>
                    <w:keepLines w:val="0"/>
                    <w:widowControl/>
                    <w:suppressLineNumbers w:val="0"/>
                    <w:jc w:val="center"/>
                    <w:textAlignment w:val="center"/>
                    <w:rPr>
                      <w:rFonts w:hint="default" w:ascii="Times New Roman" w:hAnsi="Times New Roman" w:eastAsia="宋体" w:cs="Times New Roman"/>
                      <w:caps w:val="0"/>
                      <w:color w:val="000000" w:themeColor="text1"/>
                      <w:sz w:val="21"/>
                      <w:szCs w:val="21"/>
                      <w:highlight w:val="none"/>
                      <w:lang w:val="en-US"/>
                      <w14:textFill>
                        <w14:solidFill>
                          <w14:schemeClr w14:val="tx1"/>
                        </w14:solidFill>
                      </w14:textFill>
                    </w:rPr>
                  </w:pPr>
                  <w:r>
                    <w:rPr>
                      <w:rFonts w:hint="default" w:ascii="Times New Roman" w:hAnsi="Times New Roman" w:cs="Times New Roman"/>
                      <w:caps w:val="0"/>
                      <w:color w:val="000000" w:themeColor="text1"/>
                      <w:highlight w:val="none"/>
                      <w:lang w:val="en-US" w:eastAsia="zh-CN"/>
                      <w14:textFill>
                        <w14:solidFill>
                          <w14:schemeClr w14:val="tx1"/>
                        </w14:solidFill>
                      </w14:textFill>
                    </w:rPr>
                    <w:t>320</w:t>
                  </w:r>
                </w:p>
              </w:tc>
              <w:tc>
                <w:tcPr>
                  <w:tcW w:w="660" w:type="pct"/>
                  <w:tcBorders>
                    <w:tl2br w:val="nil"/>
                    <w:tr2bl w:val="nil"/>
                  </w:tcBorders>
                  <w:shd w:val="clear" w:color="auto" w:fill="FFFFFF"/>
                  <w:vAlign w:val="center"/>
                </w:tcPr>
                <w:p w14:paraId="59FE1889">
                  <w:pPr>
                    <w:keepNext w:val="0"/>
                    <w:keepLines w:val="0"/>
                    <w:widowControl/>
                    <w:suppressLineNumbers w:val="0"/>
                    <w:jc w:val="center"/>
                    <w:textAlignment w:val="center"/>
                    <w:rPr>
                      <w:rFonts w:hint="default" w:ascii="Times New Roman" w:hAnsi="Times New Roman" w:eastAsia="宋体" w:cs="Times New Roman"/>
                      <w:caps w:val="0"/>
                      <w:color w:val="000000" w:themeColor="text1"/>
                      <w:sz w:val="21"/>
                      <w:szCs w:val="21"/>
                      <w:highlight w:val="none"/>
                      <w:lang w:val="en-US"/>
                      <w14:textFill>
                        <w14:solidFill>
                          <w14:schemeClr w14:val="tx1"/>
                        </w14:solidFill>
                      </w14:textFill>
                    </w:rPr>
                  </w:pPr>
                  <w:r>
                    <w:rPr>
                      <w:rFonts w:hint="default" w:ascii="Times New Roman" w:hAnsi="Times New Roman" w:cs="Times New Roman"/>
                      <w:caps w:val="0"/>
                      <w:color w:val="000000" w:themeColor="text1"/>
                      <w:highlight w:val="none"/>
                      <w:lang w:val="en-US" w:eastAsia="zh-CN"/>
                      <w14:textFill>
                        <w14:solidFill>
                          <w14:schemeClr w14:val="tx1"/>
                        </w14:solidFill>
                      </w14:textFill>
                    </w:rPr>
                    <w:t>33</w:t>
                  </w:r>
                </w:p>
              </w:tc>
              <w:tc>
                <w:tcPr>
                  <w:tcW w:w="511" w:type="pct"/>
                  <w:tcBorders>
                    <w:tl2br w:val="nil"/>
                    <w:tr2bl w:val="nil"/>
                  </w:tcBorders>
                  <w:shd w:val="clear" w:color="auto" w:fill="FFFFFF"/>
                  <w:vAlign w:val="center"/>
                </w:tcPr>
                <w:p w14:paraId="70E2195C">
                  <w:pPr>
                    <w:keepNext w:val="0"/>
                    <w:keepLines w:val="0"/>
                    <w:widowControl/>
                    <w:suppressLineNumbers w:val="0"/>
                    <w:jc w:val="center"/>
                    <w:textAlignment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cs="Times New Roman"/>
                      <w:caps w:val="0"/>
                      <w:color w:val="000000" w:themeColor="text1"/>
                      <w:highlight w:val="none"/>
                      <w:lang w:val="en-US" w:eastAsia="zh-CN"/>
                      <w14:textFill>
                        <w14:solidFill>
                          <w14:schemeClr w14:val="tx1"/>
                        </w14:solidFill>
                      </w14:textFill>
                    </w:rPr>
                    <w:t>1.2</w:t>
                  </w:r>
                </w:p>
              </w:tc>
              <w:tc>
                <w:tcPr>
                  <w:tcW w:w="545" w:type="pct"/>
                  <w:tcBorders>
                    <w:tl2br w:val="nil"/>
                    <w:tr2bl w:val="nil"/>
                  </w:tcBorders>
                  <w:shd w:val="clear" w:color="auto" w:fill="FFFFFF"/>
                  <w:vAlign w:val="center"/>
                </w:tcPr>
                <w:p w14:paraId="5F509929">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昼间</w:t>
                  </w:r>
                </w:p>
              </w:tc>
              <w:tc>
                <w:tcPr>
                  <w:tcW w:w="786" w:type="pct"/>
                  <w:tcBorders>
                    <w:tl2br w:val="nil"/>
                    <w:tr2bl w:val="nil"/>
                  </w:tcBorders>
                  <w:shd w:val="clear" w:color="auto" w:fill="FFFFFF"/>
                  <w:vAlign w:val="center"/>
                </w:tcPr>
                <w:p w14:paraId="11A09589">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47.8</w:t>
                  </w:r>
                </w:p>
              </w:tc>
              <w:tc>
                <w:tcPr>
                  <w:tcW w:w="743" w:type="pct"/>
                  <w:tcBorders>
                    <w:tl2br w:val="nil"/>
                    <w:tr2bl w:val="nil"/>
                  </w:tcBorders>
                  <w:shd w:val="clear" w:color="auto" w:fill="FFFFFF"/>
                  <w:vAlign w:val="center"/>
                </w:tcPr>
                <w:p w14:paraId="3F59396F">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65</w:t>
                  </w:r>
                </w:p>
              </w:tc>
              <w:tc>
                <w:tcPr>
                  <w:tcW w:w="604" w:type="pct"/>
                  <w:tcBorders>
                    <w:tl2br w:val="nil"/>
                    <w:tr2bl w:val="nil"/>
                  </w:tcBorders>
                  <w:shd w:val="clear" w:color="auto" w:fill="FFFFFF"/>
                  <w:vAlign w:val="center"/>
                </w:tcPr>
                <w:p w14:paraId="44929EF9">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达标</w:t>
                  </w:r>
                </w:p>
              </w:tc>
            </w:tr>
            <w:tr w14:paraId="762F5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83" w:hRule="exact"/>
                <w:jc w:val="center"/>
              </w:trPr>
              <w:tc>
                <w:tcPr>
                  <w:tcW w:w="563" w:type="pct"/>
                  <w:vMerge w:val="continue"/>
                  <w:tcBorders>
                    <w:tl2br w:val="nil"/>
                    <w:tr2bl w:val="nil"/>
                  </w:tcBorders>
                  <w:shd w:val="clear" w:color="auto" w:fill="FFFFFF"/>
                  <w:vAlign w:val="center"/>
                </w:tcPr>
                <w:p w14:paraId="0287193F">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584" w:type="pct"/>
                  <w:tcBorders>
                    <w:tl2br w:val="nil"/>
                    <w:tr2bl w:val="nil"/>
                  </w:tcBorders>
                  <w:shd w:val="clear" w:color="auto" w:fill="FFFFFF"/>
                  <w:vAlign w:val="center"/>
                </w:tcPr>
                <w:p w14:paraId="03D28B5F">
                  <w:pPr>
                    <w:keepNext w:val="0"/>
                    <w:keepLines w:val="0"/>
                    <w:widowControl/>
                    <w:suppressLineNumbers w:val="0"/>
                    <w:jc w:val="center"/>
                    <w:textAlignment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cs="Times New Roman"/>
                      <w:caps w:val="0"/>
                      <w:color w:val="000000" w:themeColor="text1"/>
                      <w:highlight w:val="none"/>
                      <w:lang w:val="en-US" w:eastAsia="zh-CN"/>
                      <w14:textFill>
                        <w14:solidFill>
                          <w14:schemeClr w14:val="tx1"/>
                        </w14:solidFill>
                      </w14:textFill>
                    </w:rPr>
                    <w:t>320</w:t>
                  </w:r>
                </w:p>
              </w:tc>
              <w:tc>
                <w:tcPr>
                  <w:tcW w:w="660" w:type="pct"/>
                  <w:tcBorders>
                    <w:tl2br w:val="nil"/>
                    <w:tr2bl w:val="nil"/>
                  </w:tcBorders>
                  <w:shd w:val="clear" w:color="auto" w:fill="FFFFFF"/>
                  <w:vAlign w:val="center"/>
                </w:tcPr>
                <w:p w14:paraId="032CF0F6">
                  <w:pPr>
                    <w:keepNext w:val="0"/>
                    <w:keepLines w:val="0"/>
                    <w:widowControl/>
                    <w:suppressLineNumbers w:val="0"/>
                    <w:jc w:val="center"/>
                    <w:textAlignment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cs="Times New Roman"/>
                      <w:caps w:val="0"/>
                      <w:color w:val="000000" w:themeColor="text1"/>
                      <w:highlight w:val="none"/>
                      <w:lang w:val="en-US" w:eastAsia="zh-CN"/>
                      <w14:textFill>
                        <w14:solidFill>
                          <w14:schemeClr w14:val="tx1"/>
                        </w14:solidFill>
                      </w14:textFill>
                    </w:rPr>
                    <w:t>33</w:t>
                  </w:r>
                </w:p>
              </w:tc>
              <w:tc>
                <w:tcPr>
                  <w:tcW w:w="511" w:type="pct"/>
                  <w:tcBorders>
                    <w:tl2br w:val="nil"/>
                    <w:tr2bl w:val="nil"/>
                  </w:tcBorders>
                  <w:shd w:val="clear" w:color="auto" w:fill="FFFFFF"/>
                  <w:vAlign w:val="center"/>
                </w:tcPr>
                <w:p w14:paraId="35A29C88">
                  <w:pPr>
                    <w:keepNext w:val="0"/>
                    <w:keepLines w:val="0"/>
                    <w:widowControl/>
                    <w:suppressLineNumbers w:val="0"/>
                    <w:jc w:val="center"/>
                    <w:textAlignment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cs="Times New Roman"/>
                      <w:caps w:val="0"/>
                      <w:color w:val="000000" w:themeColor="text1"/>
                      <w:highlight w:val="none"/>
                      <w:lang w:val="en-US" w:eastAsia="zh-CN"/>
                      <w14:textFill>
                        <w14:solidFill>
                          <w14:schemeClr w14:val="tx1"/>
                        </w14:solidFill>
                      </w14:textFill>
                    </w:rPr>
                    <w:t>1.2</w:t>
                  </w:r>
                </w:p>
              </w:tc>
              <w:tc>
                <w:tcPr>
                  <w:tcW w:w="545" w:type="pct"/>
                  <w:tcBorders>
                    <w:tl2br w:val="nil"/>
                    <w:tr2bl w:val="nil"/>
                  </w:tcBorders>
                  <w:shd w:val="clear" w:color="auto" w:fill="FFFFFF"/>
                  <w:vAlign w:val="center"/>
                </w:tcPr>
                <w:p w14:paraId="5BF43590">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夜间</w:t>
                  </w:r>
                </w:p>
              </w:tc>
              <w:tc>
                <w:tcPr>
                  <w:tcW w:w="786" w:type="pct"/>
                  <w:tcBorders>
                    <w:tl2br w:val="nil"/>
                    <w:tr2bl w:val="nil"/>
                  </w:tcBorders>
                  <w:shd w:val="clear" w:color="auto" w:fill="FFFFFF"/>
                  <w:vAlign w:val="center"/>
                </w:tcPr>
                <w:p w14:paraId="767A2667">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47.8</w:t>
                  </w:r>
                </w:p>
              </w:tc>
              <w:tc>
                <w:tcPr>
                  <w:tcW w:w="743" w:type="pct"/>
                  <w:tcBorders>
                    <w:tl2br w:val="nil"/>
                    <w:tr2bl w:val="nil"/>
                  </w:tcBorders>
                  <w:shd w:val="clear" w:color="auto" w:fill="FFFFFF"/>
                  <w:vAlign w:val="center"/>
                </w:tcPr>
                <w:p w14:paraId="7B7083F3">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55</w:t>
                  </w:r>
                </w:p>
              </w:tc>
              <w:tc>
                <w:tcPr>
                  <w:tcW w:w="604" w:type="pct"/>
                  <w:tcBorders>
                    <w:tl2br w:val="nil"/>
                    <w:tr2bl w:val="nil"/>
                  </w:tcBorders>
                  <w:shd w:val="clear" w:color="auto" w:fill="FFFFFF"/>
                  <w:vAlign w:val="center"/>
                </w:tcPr>
                <w:p w14:paraId="408E55EA">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达标</w:t>
                  </w:r>
                </w:p>
              </w:tc>
            </w:tr>
            <w:tr w14:paraId="755BF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54" w:hRule="exact"/>
                <w:jc w:val="center"/>
              </w:trPr>
              <w:tc>
                <w:tcPr>
                  <w:tcW w:w="563" w:type="pct"/>
                  <w:vMerge w:val="restart"/>
                  <w:tcBorders>
                    <w:tl2br w:val="nil"/>
                    <w:tr2bl w:val="nil"/>
                  </w:tcBorders>
                  <w:shd w:val="clear" w:color="auto" w:fill="FFFFFF"/>
                  <w:vAlign w:val="center"/>
                </w:tcPr>
                <w:p w14:paraId="3BC48266">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南侧</w:t>
                  </w:r>
                </w:p>
              </w:tc>
              <w:tc>
                <w:tcPr>
                  <w:tcW w:w="584" w:type="pct"/>
                  <w:tcBorders>
                    <w:tl2br w:val="nil"/>
                    <w:tr2bl w:val="nil"/>
                  </w:tcBorders>
                  <w:shd w:val="clear" w:color="auto" w:fill="FFFFFF"/>
                  <w:vAlign w:val="center"/>
                </w:tcPr>
                <w:p w14:paraId="4783D031">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302</w:t>
                  </w:r>
                </w:p>
              </w:tc>
              <w:tc>
                <w:tcPr>
                  <w:tcW w:w="660" w:type="pct"/>
                  <w:tcBorders>
                    <w:tl2br w:val="nil"/>
                    <w:tr2bl w:val="nil"/>
                  </w:tcBorders>
                  <w:shd w:val="clear" w:color="auto" w:fill="FFFFFF"/>
                  <w:vAlign w:val="center"/>
                </w:tcPr>
                <w:p w14:paraId="12E1A0A0">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87</w:t>
                  </w:r>
                </w:p>
              </w:tc>
              <w:tc>
                <w:tcPr>
                  <w:tcW w:w="511" w:type="pct"/>
                  <w:tcBorders>
                    <w:tl2br w:val="nil"/>
                    <w:tr2bl w:val="nil"/>
                  </w:tcBorders>
                  <w:shd w:val="clear" w:color="auto" w:fill="FFFFFF"/>
                  <w:vAlign w:val="center"/>
                </w:tcPr>
                <w:p w14:paraId="552AAAA3">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1.2</w:t>
                  </w:r>
                </w:p>
              </w:tc>
              <w:tc>
                <w:tcPr>
                  <w:tcW w:w="545" w:type="pct"/>
                  <w:tcBorders>
                    <w:tl2br w:val="nil"/>
                    <w:tr2bl w:val="nil"/>
                  </w:tcBorders>
                  <w:shd w:val="clear" w:color="auto" w:fill="FFFFFF"/>
                  <w:vAlign w:val="center"/>
                </w:tcPr>
                <w:p w14:paraId="595EE709">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昼间</w:t>
                  </w:r>
                </w:p>
              </w:tc>
              <w:tc>
                <w:tcPr>
                  <w:tcW w:w="786" w:type="pct"/>
                  <w:tcBorders>
                    <w:tl2br w:val="nil"/>
                    <w:tr2bl w:val="nil"/>
                  </w:tcBorders>
                  <w:shd w:val="clear" w:color="auto" w:fill="FFFFFF"/>
                  <w:vAlign w:val="center"/>
                </w:tcPr>
                <w:p w14:paraId="5C2BA8BE">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51.9</w:t>
                  </w:r>
                </w:p>
              </w:tc>
              <w:tc>
                <w:tcPr>
                  <w:tcW w:w="743" w:type="pct"/>
                  <w:tcBorders>
                    <w:tl2br w:val="nil"/>
                    <w:tr2bl w:val="nil"/>
                  </w:tcBorders>
                  <w:shd w:val="clear" w:color="auto" w:fill="FFFFFF"/>
                  <w:vAlign w:val="center"/>
                </w:tcPr>
                <w:p w14:paraId="016F43AC">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65</w:t>
                  </w:r>
                </w:p>
              </w:tc>
              <w:tc>
                <w:tcPr>
                  <w:tcW w:w="604" w:type="pct"/>
                  <w:tcBorders>
                    <w:tl2br w:val="nil"/>
                    <w:tr2bl w:val="nil"/>
                  </w:tcBorders>
                  <w:shd w:val="clear" w:color="auto" w:fill="FFFFFF"/>
                  <w:vAlign w:val="center"/>
                </w:tcPr>
                <w:p w14:paraId="7EF9DFC4">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达标</w:t>
                  </w:r>
                </w:p>
              </w:tc>
            </w:tr>
            <w:tr w14:paraId="1EB639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13" w:hRule="exact"/>
                <w:jc w:val="center"/>
              </w:trPr>
              <w:tc>
                <w:tcPr>
                  <w:tcW w:w="563" w:type="pct"/>
                  <w:vMerge w:val="continue"/>
                  <w:tcBorders>
                    <w:tl2br w:val="nil"/>
                    <w:tr2bl w:val="nil"/>
                  </w:tcBorders>
                  <w:shd w:val="clear" w:color="auto" w:fill="FFFFFF"/>
                  <w:vAlign w:val="center"/>
                </w:tcPr>
                <w:p w14:paraId="0497F499">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584" w:type="pct"/>
                  <w:tcBorders>
                    <w:tl2br w:val="nil"/>
                    <w:tr2bl w:val="nil"/>
                  </w:tcBorders>
                  <w:shd w:val="clear" w:color="auto" w:fill="FFFFFF"/>
                  <w:vAlign w:val="center"/>
                </w:tcPr>
                <w:p w14:paraId="1BBBECA2">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302</w:t>
                  </w:r>
                </w:p>
              </w:tc>
              <w:tc>
                <w:tcPr>
                  <w:tcW w:w="660" w:type="pct"/>
                  <w:tcBorders>
                    <w:tl2br w:val="nil"/>
                    <w:tr2bl w:val="nil"/>
                  </w:tcBorders>
                  <w:shd w:val="clear" w:color="auto" w:fill="FFFFFF"/>
                  <w:vAlign w:val="center"/>
                </w:tcPr>
                <w:p w14:paraId="36008378">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87</w:t>
                  </w:r>
                </w:p>
              </w:tc>
              <w:tc>
                <w:tcPr>
                  <w:tcW w:w="511" w:type="pct"/>
                  <w:tcBorders>
                    <w:tl2br w:val="nil"/>
                    <w:tr2bl w:val="nil"/>
                  </w:tcBorders>
                  <w:shd w:val="clear" w:color="auto" w:fill="FFFFFF"/>
                  <w:vAlign w:val="center"/>
                </w:tcPr>
                <w:p w14:paraId="52C7084F">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1.2</w:t>
                  </w:r>
                </w:p>
              </w:tc>
              <w:tc>
                <w:tcPr>
                  <w:tcW w:w="545" w:type="pct"/>
                  <w:tcBorders>
                    <w:tl2br w:val="nil"/>
                    <w:tr2bl w:val="nil"/>
                  </w:tcBorders>
                  <w:shd w:val="clear" w:color="auto" w:fill="FFFFFF"/>
                  <w:vAlign w:val="center"/>
                </w:tcPr>
                <w:p w14:paraId="64DEEFB3">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夜间</w:t>
                  </w:r>
                </w:p>
              </w:tc>
              <w:tc>
                <w:tcPr>
                  <w:tcW w:w="786" w:type="pct"/>
                  <w:tcBorders>
                    <w:tl2br w:val="nil"/>
                    <w:tr2bl w:val="nil"/>
                  </w:tcBorders>
                  <w:shd w:val="clear" w:color="auto" w:fill="FFFFFF"/>
                  <w:vAlign w:val="center"/>
                </w:tcPr>
                <w:p w14:paraId="7602CEF9">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51.9</w:t>
                  </w:r>
                </w:p>
              </w:tc>
              <w:tc>
                <w:tcPr>
                  <w:tcW w:w="743" w:type="pct"/>
                  <w:tcBorders>
                    <w:tl2br w:val="nil"/>
                    <w:tr2bl w:val="nil"/>
                  </w:tcBorders>
                  <w:shd w:val="clear" w:color="auto" w:fill="FFFFFF"/>
                  <w:vAlign w:val="center"/>
                </w:tcPr>
                <w:p w14:paraId="6BE682F8">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55</w:t>
                  </w:r>
                </w:p>
              </w:tc>
              <w:tc>
                <w:tcPr>
                  <w:tcW w:w="604" w:type="pct"/>
                  <w:tcBorders>
                    <w:tl2br w:val="nil"/>
                    <w:tr2bl w:val="nil"/>
                  </w:tcBorders>
                  <w:shd w:val="clear" w:color="auto" w:fill="FFFFFF"/>
                  <w:vAlign w:val="center"/>
                </w:tcPr>
                <w:p w14:paraId="454A78C8">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达标</w:t>
                  </w:r>
                </w:p>
              </w:tc>
            </w:tr>
            <w:tr w14:paraId="6FF528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3" w:hRule="exact"/>
                <w:jc w:val="center"/>
              </w:trPr>
              <w:tc>
                <w:tcPr>
                  <w:tcW w:w="563" w:type="pct"/>
                  <w:vMerge w:val="restart"/>
                  <w:tcBorders>
                    <w:tl2br w:val="nil"/>
                    <w:tr2bl w:val="nil"/>
                  </w:tcBorders>
                  <w:shd w:val="clear" w:color="auto" w:fill="FFFFFF"/>
                  <w:vAlign w:val="center"/>
                </w:tcPr>
                <w:p w14:paraId="136D79A1">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西侧</w:t>
                  </w:r>
                </w:p>
              </w:tc>
              <w:tc>
                <w:tcPr>
                  <w:tcW w:w="584" w:type="pct"/>
                  <w:tcBorders>
                    <w:tl2br w:val="nil"/>
                    <w:tr2bl w:val="nil"/>
                  </w:tcBorders>
                  <w:shd w:val="clear" w:color="auto" w:fill="FFFFFF"/>
                  <w:vAlign w:val="center"/>
                </w:tcPr>
                <w:p w14:paraId="4642F3CE">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122</w:t>
                  </w:r>
                </w:p>
              </w:tc>
              <w:tc>
                <w:tcPr>
                  <w:tcW w:w="660" w:type="pct"/>
                  <w:tcBorders>
                    <w:tl2br w:val="nil"/>
                    <w:tr2bl w:val="nil"/>
                  </w:tcBorders>
                  <w:shd w:val="clear" w:color="auto" w:fill="FFFFFF"/>
                  <w:vAlign w:val="center"/>
                </w:tcPr>
                <w:p w14:paraId="2BFFF253">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35</w:t>
                  </w:r>
                </w:p>
              </w:tc>
              <w:tc>
                <w:tcPr>
                  <w:tcW w:w="511" w:type="pct"/>
                  <w:tcBorders>
                    <w:tl2br w:val="nil"/>
                    <w:tr2bl w:val="nil"/>
                  </w:tcBorders>
                  <w:shd w:val="clear" w:color="auto" w:fill="FFFFFF"/>
                  <w:vAlign w:val="center"/>
                </w:tcPr>
                <w:p w14:paraId="0B92A344">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1.2</w:t>
                  </w:r>
                </w:p>
              </w:tc>
              <w:tc>
                <w:tcPr>
                  <w:tcW w:w="545" w:type="pct"/>
                  <w:tcBorders>
                    <w:tl2br w:val="nil"/>
                    <w:tr2bl w:val="nil"/>
                  </w:tcBorders>
                  <w:shd w:val="clear" w:color="auto" w:fill="FFFFFF"/>
                  <w:vAlign w:val="center"/>
                </w:tcPr>
                <w:p w14:paraId="265FE8CD">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昼间</w:t>
                  </w:r>
                </w:p>
              </w:tc>
              <w:tc>
                <w:tcPr>
                  <w:tcW w:w="786" w:type="pct"/>
                  <w:tcBorders>
                    <w:tl2br w:val="nil"/>
                    <w:tr2bl w:val="nil"/>
                  </w:tcBorders>
                  <w:shd w:val="clear" w:color="auto" w:fill="FFFFFF"/>
                  <w:vAlign w:val="center"/>
                </w:tcPr>
                <w:p w14:paraId="58BA4D03">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53.9</w:t>
                  </w:r>
                </w:p>
              </w:tc>
              <w:tc>
                <w:tcPr>
                  <w:tcW w:w="743" w:type="pct"/>
                  <w:tcBorders>
                    <w:tl2br w:val="nil"/>
                    <w:tr2bl w:val="nil"/>
                  </w:tcBorders>
                  <w:shd w:val="clear" w:color="auto" w:fill="FFFFFF"/>
                  <w:vAlign w:val="center"/>
                </w:tcPr>
                <w:p w14:paraId="523012F2">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cs="Times New Roman"/>
                      <w:caps w:val="0"/>
                      <w:color w:val="000000" w:themeColor="text1"/>
                      <w:sz w:val="21"/>
                      <w:szCs w:val="21"/>
                      <w:highlight w:val="none"/>
                      <w:lang w:val="en-US" w:eastAsia="zh-CN"/>
                      <w14:textFill>
                        <w14:solidFill>
                          <w14:schemeClr w14:val="tx1"/>
                        </w14:solidFill>
                      </w14:textFill>
                    </w:rPr>
                    <w:t>70</w:t>
                  </w:r>
                </w:p>
              </w:tc>
              <w:tc>
                <w:tcPr>
                  <w:tcW w:w="604" w:type="pct"/>
                  <w:tcBorders>
                    <w:tl2br w:val="nil"/>
                    <w:tr2bl w:val="nil"/>
                  </w:tcBorders>
                  <w:shd w:val="clear" w:color="auto" w:fill="FFFFFF"/>
                  <w:vAlign w:val="center"/>
                </w:tcPr>
                <w:p w14:paraId="05889E34">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达标</w:t>
                  </w:r>
                </w:p>
              </w:tc>
            </w:tr>
            <w:tr w14:paraId="71EEA9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29" w:hRule="exact"/>
                <w:jc w:val="center"/>
              </w:trPr>
              <w:tc>
                <w:tcPr>
                  <w:tcW w:w="563" w:type="pct"/>
                  <w:vMerge w:val="continue"/>
                  <w:tcBorders>
                    <w:tl2br w:val="nil"/>
                    <w:tr2bl w:val="nil"/>
                  </w:tcBorders>
                  <w:shd w:val="clear" w:color="auto" w:fill="FFFFFF"/>
                  <w:vAlign w:val="center"/>
                </w:tcPr>
                <w:p w14:paraId="3CE47F01">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584" w:type="pct"/>
                  <w:tcBorders>
                    <w:tl2br w:val="nil"/>
                    <w:tr2bl w:val="nil"/>
                  </w:tcBorders>
                  <w:shd w:val="clear" w:color="auto" w:fill="FFFFFF"/>
                  <w:vAlign w:val="center"/>
                </w:tcPr>
                <w:p w14:paraId="1E0BE401">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122</w:t>
                  </w:r>
                </w:p>
              </w:tc>
              <w:tc>
                <w:tcPr>
                  <w:tcW w:w="660" w:type="pct"/>
                  <w:tcBorders>
                    <w:tl2br w:val="nil"/>
                    <w:tr2bl w:val="nil"/>
                  </w:tcBorders>
                  <w:shd w:val="clear" w:color="auto" w:fill="FFFFFF"/>
                  <w:vAlign w:val="center"/>
                </w:tcPr>
                <w:p w14:paraId="09BC812B">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35</w:t>
                  </w:r>
                </w:p>
              </w:tc>
              <w:tc>
                <w:tcPr>
                  <w:tcW w:w="511" w:type="pct"/>
                  <w:tcBorders>
                    <w:tl2br w:val="nil"/>
                    <w:tr2bl w:val="nil"/>
                  </w:tcBorders>
                  <w:shd w:val="clear" w:color="auto" w:fill="FFFFFF"/>
                  <w:vAlign w:val="center"/>
                </w:tcPr>
                <w:p w14:paraId="0994EAD7">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1.2</w:t>
                  </w:r>
                </w:p>
              </w:tc>
              <w:tc>
                <w:tcPr>
                  <w:tcW w:w="545" w:type="pct"/>
                  <w:tcBorders>
                    <w:tl2br w:val="nil"/>
                    <w:tr2bl w:val="nil"/>
                  </w:tcBorders>
                  <w:shd w:val="clear" w:color="auto" w:fill="FFFFFF"/>
                  <w:vAlign w:val="center"/>
                </w:tcPr>
                <w:p w14:paraId="714AAD20">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夜间</w:t>
                  </w:r>
                </w:p>
              </w:tc>
              <w:tc>
                <w:tcPr>
                  <w:tcW w:w="786" w:type="pct"/>
                  <w:tcBorders>
                    <w:tl2br w:val="nil"/>
                    <w:tr2bl w:val="nil"/>
                  </w:tcBorders>
                  <w:shd w:val="clear" w:color="auto" w:fill="FFFFFF"/>
                  <w:vAlign w:val="center"/>
                </w:tcPr>
                <w:p w14:paraId="41C4FE8A">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53.9</w:t>
                  </w:r>
                </w:p>
              </w:tc>
              <w:tc>
                <w:tcPr>
                  <w:tcW w:w="743" w:type="pct"/>
                  <w:tcBorders>
                    <w:tl2br w:val="nil"/>
                    <w:tr2bl w:val="nil"/>
                  </w:tcBorders>
                  <w:shd w:val="clear" w:color="auto" w:fill="FFFFFF"/>
                  <w:vAlign w:val="center"/>
                </w:tcPr>
                <w:p w14:paraId="3681F1B3">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55</w:t>
                  </w:r>
                </w:p>
              </w:tc>
              <w:tc>
                <w:tcPr>
                  <w:tcW w:w="604" w:type="pct"/>
                  <w:tcBorders>
                    <w:tl2br w:val="nil"/>
                    <w:tr2bl w:val="nil"/>
                  </w:tcBorders>
                  <w:shd w:val="clear" w:color="auto" w:fill="FFFFFF"/>
                  <w:vAlign w:val="center"/>
                </w:tcPr>
                <w:p w14:paraId="7EE49C31">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达标</w:t>
                  </w:r>
                </w:p>
              </w:tc>
            </w:tr>
            <w:tr w14:paraId="33321C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1" w:hRule="exact"/>
                <w:jc w:val="center"/>
              </w:trPr>
              <w:tc>
                <w:tcPr>
                  <w:tcW w:w="563" w:type="pct"/>
                  <w:vMerge w:val="restart"/>
                  <w:tcBorders>
                    <w:tl2br w:val="nil"/>
                    <w:tr2bl w:val="nil"/>
                  </w:tcBorders>
                  <w:shd w:val="clear" w:color="auto" w:fill="FFFFFF"/>
                  <w:vAlign w:val="center"/>
                </w:tcPr>
                <w:p w14:paraId="5D91AF23">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北侧</w:t>
                  </w:r>
                </w:p>
              </w:tc>
              <w:tc>
                <w:tcPr>
                  <w:tcW w:w="584" w:type="pct"/>
                  <w:tcBorders>
                    <w:tl2br w:val="nil"/>
                    <w:tr2bl w:val="nil"/>
                  </w:tcBorders>
                  <w:shd w:val="clear" w:color="auto" w:fill="FFFFFF"/>
                  <w:vAlign w:val="center"/>
                </w:tcPr>
                <w:p w14:paraId="6B297CD4">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117</w:t>
                  </w:r>
                </w:p>
              </w:tc>
              <w:tc>
                <w:tcPr>
                  <w:tcW w:w="660" w:type="pct"/>
                  <w:tcBorders>
                    <w:tl2br w:val="nil"/>
                    <w:tr2bl w:val="nil"/>
                  </w:tcBorders>
                  <w:shd w:val="clear" w:color="auto" w:fill="FFFFFF"/>
                  <w:vAlign w:val="center"/>
                </w:tcPr>
                <w:p w14:paraId="1C7C1D64">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27</w:t>
                  </w:r>
                </w:p>
              </w:tc>
              <w:tc>
                <w:tcPr>
                  <w:tcW w:w="511" w:type="pct"/>
                  <w:tcBorders>
                    <w:tl2br w:val="nil"/>
                    <w:tr2bl w:val="nil"/>
                  </w:tcBorders>
                  <w:shd w:val="clear" w:color="auto" w:fill="FFFFFF"/>
                  <w:vAlign w:val="center"/>
                </w:tcPr>
                <w:p w14:paraId="4343A602">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1.2</w:t>
                  </w:r>
                </w:p>
              </w:tc>
              <w:tc>
                <w:tcPr>
                  <w:tcW w:w="545" w:type="pct"/>
                  <w:tcBorders>
                    <w:tl2br w:val="nil"/>
                    <w:tr2bl w:val="nil"/>
                  </w:tcBorders>
                  <w:shd w:val="clear" w:color="auto" w:fill="FFFFFF"/>
                  <w:vAlign w:val="center"/>
                </w:tcPr>
                <w:p w14:paraId="66B7C3D1">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昼间</w:t>
                  </w:r>
                </w:p>
              </w:tc>
              <w:tc>
                <w:tcPr>
                  <w:tcW w:w="786" w:type="pct"/>
                  <w:tcBorders>
                    <w:tl2br w:val="nil"/>
                    <w:tr2bl w:val="nil"/>
                  </w:tcBorders>
                  <w:shd w:val="clear" w:color="auto" w:fill="FFFFFF"/>
                  <w:vAlign w:val="center"/>
                </w:tcPr>
                <w:p w14:paraId="0DE2444D">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52.5</w:t>
                  </w:r>
                </w:p>
              </w:tc>
              <w:tc>
                <w:tcPr>
                  <w:tcW w:w="743" w:type="pct"/>
                  <w:tcBorders>
                    <w:tl2br w:val="nil"/>
                    <w:tr2bl w:val="nil"/>
                  </w:tcBorders>
                  <w:shd w:val="clear" w:color="auto" w:fill="FFFFFF"/>
                  <w:vAlign w:val="center"/>
                </w:tcPr>
                <w:p w14:paraId="55A4BCFC">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65</w:t>
                  </w:r>
                </w:p>
              </w:tc>
              <w:tc>
                <w:tcPr>
                  <w:tcW w:w="604" w:type="pct"/>
                  <w:tcBorders>
                    <w:tl2br w:val="nil"/>
                    <w:tr2bl w:val="nil"/>
                  </w:tcBorders>
                  <w:shd w:val="clear" w:color="auto" w:fill="FFFFFF"/>
                  <w:vAlign w:val="center"/>
                </w:tcPr>
                <w:p w14:paraId="69E7E0D6">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达标</w:t>
                  </w:r>
                </w:p>
              </w:tc>
            </w:tr>
            <w:tr w14:paraId="027AAF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9" w:hRule="exact"/>
                <w:jc w:val="center"/>
              </w:trPr>
              <w:tc>
                <w:tcPr>
                  <w:tcW w:w="563" w:type="pct"/>
                  <w:vMerge w:val="continue"/>
                  <w:tcBorders>
                    <w:tl2br w:val="nil"/>
                    <w:tr2bl w:val="nil"/>
                  </w:tcBorders>
                  <w:shd w:val="clear" w:color="auto" w:fill="FFFFFF"/>
                  <w:vAlign w:val="center"/>
                </w:tcPr>
                <w:p w14:paraId="70563698">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p>
              </w:tc>
              <w:tc>
                <w:tcPr>
                  <w:tcW w:w="584" w:type="pct"/>
                  <w:tcBorders>
                    <w:tl2br w:val="nil"/>
                    <w:tr2bl w:val="nil"/>
                  </w:tcBorders>
                  <w:shd w:val="clear" w:color="auto" w:fill="FFFFFF"/>
                  <w:vAlign w:val="center"/>
                </w:tcPr>
                <w:p w14:paraId="721F7A39">
                  <w:pPr>
                    <w:jc w:val="center"/>
                    <w:rPr>
                      <w:rFonts w:hint="default" w:ascii="Times New Roman" w:hAnsi="Times New Roman" w:eastAsia="宋体" w:cs="Times New Roman"/>
                      <w:caps w:val="0"/>
                      <w:color w:val="000000" w:themeColor="text1"/>
                      <w:sz w:val="21"/>
                      <w:szCs w:val="21"/>
                      <w:highlight w:val="none"/>
                      <w:lang w:val="en-US"/>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117</w:t>
                  </w:r>
                </w:p>
              </w:tc>
              <w:tc>
                <w:tcPr>
                  <w:tcW w:w="660" w:type="pct"/>
                  <w:tcBorders>
                    <w:tl2br w:val="nil"/>
                    <w:tr2bl w:val="nil"/>
                  </w:tcBorders>
                  <w:shd w:val="clear" w:color="auto" w:fill="FFFFFF"/>
                  <w:vAlign w:val="center"/>
                </w:tcPr>
                <w:p w14:paraId="16E85CDC">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27</w:t>
                  </w:r>
                </w:p>
              </w:tc>
              <w:tc>
                <w:tcPr>
                  <w:tcW w:w="511" w:type="pct"/>
                  <w:tcBorders>
                    <w:tl2br w:val="nil"/>
                    <w:tr2bl w:val="nil"/>
                  </w:tcBorders>
                  <w:shd w:val="clear" w:color="auto" w:fill="FFFFFF"/>
                  <w:vAlign w:val="center"/>
                </w:tcPr>
                <w:p w14:paraId="45ACFC9C">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1.2</w:t>
                  </w:r>
                </w:p>
              </w:tc>
              <w:tc>
                <w:tcPr>
                  <w:tcW w:w="545" w:type="pct"/>
                  <w:tcBorders>
                    <w:tl2br w:val="nil"/>
                    <w:tr2bl w:val="nil"/>
                  </w:tcBorders>
                  <w:shd w:val="clear" w:color="auto" w:fill="FFFFFF"/>
                  <w:vAlign w:val="center"/>
                </w:tcPr>
                <w:p w14:paraId="3A109944">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夜间</w:t>
                  </w:r>
                </w:p>
              </w:tc>
              <w:tc>
                <w:tcPr>
                  <w:tcW w:w="786" w:type="pct"/>
                  <w:tcBorders>
                    <w:tl2br w:val="nil"/>
                    <w:tr2bl w:val="nil"/>
                  </w:tcBorders>
                  <w:shd w:val="clear" w:color="auto" w:fill="FFFFFF"/>
                  <w:vAlign w:val="center"/>
                </w:tcPr>
                <w:p w14:paraId="52623E8B">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52.5</w:t>
                  </w:r>
                </w:p>
              </w:tc>
              <w:tc>
                <w:tcPr>
                  <w:tcW w:w="743" w:type="pct"/>
                  <w:tcBorders>
                    <w:tl2br w:val="nil"/>
                    <w:tr2bl w:val="nil"/>
                  </w:tcBorders>
                  <w:shd w:val="clear" w:color="auto" w:fill="FFFFFF"/>
                  <w:vAlign w:val="center"/>
                </w:tcPr>
                <w:p w14:paraId="3F18BCD5">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55</w:t>
                  </w:r>
                </w:p>
              </w:tc>
              <w:tc>
                <w:tcPr>
                  <w:tcW w:w="604" w:type="pct"/>
                  <w:tcBorders>
                    <w:tl2br w:val="nil"/>
                    <w:tr2bl w:val="nil"/>
                  </w:tcBorders>
                  <w:shd w:val="clear" w:color="auto" w:fill="FFFFFF"/>
                  <w:vAlign w:val="center"/>
                </w:tcPr>
                <w:p w14:paraId="191EFCC6">
                  <w:pPr>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达标</w:t>
                  </w:r>
                </w:p>
              </w:tc>
            </w:tr>
          </w:tbl>
          <w:p w14:paraId="653914F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由上表可见，本项目建成后厂界</w:t>
            </w:r>
            <w:r>
              <w:rPr>
                <w:rFonts w:hint="eastAsia" w:cs="Times New Roman"/>
                <w:caps w:val="0"/>
                <w:color w:val="000000" w:themeColor="text1"/>
                <w:sz w:val="24"/>
                <w:highlight w:val="none"/>
                <w:lang w:val="en-US" w:eastAsia="zh-CN"/>
                <w14:textFill>
                  <w14:solidFill>
                    <w14:schemeClr w14:val="tx1"/>
                  </w14:solidFill>
                </w14:textFill>
              </w:rPr>
              <w:t>东、南、北侧</w:t>
            </w:r>
            <w:r>
              <w:rPr>
                <w:rFonts w:hint="default" w:ascii="Times New Roman" w:hAnsi="Times New Roman" w:eastAsia="宋体" w:cs="Times New Roman"/>
                <w:caps w:val="0"/>
                <w:color w:val="000000" w:themeColor="text1"/>
                <w:sz w:val="24"/>
                <w:highlight w:val="none"/>
                <w14:textFill>
                  <w14:solidFill>
                    <w14:schemeClr w14:val="tx1"/>
                  </w14:solidFill>
                </w14:textFill>
              </w:rPr>
              <w:t>噪声预测值可以满足《工业企业厂界环境噪声排放标准》（GB12348-2008）中3类标准要求</w:t>
            </w:r>
            <w:r>
              <w:rPr>
                <w:rFonts w:hint="eastAsia" w:cs="Times New Roman"/>
                <w:caps w:val="0"/>
                <w:color w:val="000000" w:themeColor="text1"/>
                <w:sz w:val="24"/>
                <w:highlight w:val="none"/>
                <w:lang w:eastAsia="zh-CN"/>
                <w14:textFill>
                  <w14:solidFill>
                    <w14:schemeClr w14:val="tx1"/>
                  </w14:solidFill>
                </w14:textFill>
              </w:rPr>
              <w:t>，</w:t>
            </w:r>
            <w:r>
              <w:rPr>
                <w:rFonts w:hint="eastAsia" w:cs="Times New Roman"/>
                <w:caps w:val="0"/>
                <w:color w:val="000000" w:themeColor="text1"/>
                <w:sz w:val="24"/>
                <w:highlight w:val="none"/>
                <w:lang w:val="en-US" w:eastAsia="zh-CN"/>
                <w14:textFill>
                  <w14:solidFill>
                    <w14:schemeClr w14:val="tx1"/>
                  </w14:solidFill>
                </w14:textFill>
              </w:rPr>
              <w:t>西侧</w:t>
            </w:r>
            <w:r>
              <w:rPr>
                <w:rFonts w:hint="default" w:ascii="Times New Roman" w:hAnsi="Times New Roman" w:eastAsia="宋体" w:cs="Times New Roman"/>
                <w:caps w:val="0"/>
                <w:color w:val="000000" w:themeColor="text1"/>
                <w:sz w:val="24"/>
                <w:highlight w:val="none"/>
                <w14:textFill>
                  <w14:solidFill>
                    <w14:schemeClr w14:val="tx1"/>
                  </w14:solidFill>
                </w14:textFill>
              </w:rPr>
              <w:t>噪声预测值可以满足《工业企业厂界环境噪声排放标准》（GB12348-2008）中</w:t>
            </w:r>
            <w:r>
              <w:rPr>
                <w:rFonts w:hint="eastAsia" w:cs="Times New Roman"/>
                <w:caps w:val="0"/>
                <w:color w:val="000000" w:themeColor="text1"/>
                <w:sz w:val="24"/>
                <w:highlight w:val="none"/>
                <w:lang w:val="en-US" w:eastAsia="zh-CN"/>
                <w14:textFill>
                  <w14:solidFill>
                    <w14:schemeClr w14:val="tx1"/>
                  </w14:solidFill>
                </w14:textFill>
              </w:rPr>
              <w:t>4a</w:t>
            </w:r>
            <w:r>
              <w:rPr>
                <w:rFonts w:hint="default" w:ascii="Times New Roman" w:hAnsi="Times New Roman" w:eastAsia="宋体" w:cs="Times New Roman"/>
                <w:caps w:val="0"/>
                <w:color w:val="000000" w:themeColor="text1"/>
                <w:sz w:val="24"/>
                <w:highlight w:val="none"/>
                <w14:textFill>
                  <w14:solidFill>
                    <w14:schemeClr w14:val="tx1"/>
                  </w14:solidFill>
                </w14:textFill>
              </w:rPr>
              <w:t>类标准要求。</w:t>
            </w:r>
          </w:p>
          <w:p w14:paraId="25C5E0D7">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根据预测结果，拟建项目正常运营时，其厂界环境噪声能做到达标排放，因此拟建项目实施后对周围声环境的影响较小。</w:t>
            </w:r>
          </w:p>
          <w:p w14:paraId="753624B0">
            <w:pPr>
              <w:keepNext/>
              <w:keepLines/>
              <w:spacing w:line="360" w:lineRule="auto"/>
              <w:ind w:firstLine="354" w:firstLineChars="147"/>
              <w:outlineLvl w:val="2"/>
              <w:rPr>
                <w:rFonts w:hint="default" w:ascii="Times New Roman" w:hAnsi="Times New Roman" w:eastAsia="宋体" w:cs="Times New Roman"/>
                <w:b/>
                <w:bCs/>
                <w:caps w:val="0"/>
                <w:color w:val="000000" w:themeColor="text1"/>
                <w:sz w:val="24"/>
                <w:szCs w:val="32"/>
                <w:highlight w:val="none"/>
                <w14:textFill>
                  <w14:solidFill>
                    <w14:schemeClr w14:val="tx1"/>
                  </w14:solidFill>
                </w14:textFill>
              </w:rPr>
            </w:pPr>
            <w:r>
              <w:rPr>
                <w:rFonts w:hint="default" w:ascii="Times New Roman" w:hAnsi="Times New Roman" w:eastAsia="宋体" w:cs="Times New Roman"/>
                <w:b/>
                <w:bCs/>
                <w:caps w:val="0"/>
                <w:color w:val="000000" w:themeColor="text1"/>
                <w:sz w:val="24"/>
                <w:szCs w:val="32"/>
                <w:highlight w:val="none"/>
                <w14:textFill>
                  <w14:solidFill>
                    <w14:schemeClr w14:val="tx1"/>
                  </w14:solidFill>
                </w14:textFill>
              </w:rPr>
              <w:t>4、噪声监测计划</w:t>
            </w:r>
          </w:p>
          <w:p w14:paraId="7F25D470">
            <w:pPr>
              <w:pStyle w:val="86"/>
              <w:ind w:firstLine="480"/>
              <w:rPr>
                <w:rFonts w:hint="default" w:ascii="Times New Roman" w:hAnsi="Times New Roman" w:eastAsia="宋体" w:cs="Times New Roman"/>
                <w:caps w:val="0"/>
                <w:snapToGrid w:val="0"/>
                <w:color w:val="000000" w:themeColor="text1"/>
                <w:szCs w:val="24"/>
                <w:highlight w:val="none"/>
                <w14:textFill>
                  <w14:solidFill>
                    <w14:schemeClr w14:val="tx1"/>
                  </w14:solidFill>
                </w14:textFill>
              </w:rPr>
            </w:pPr>
            <w:r>
              <w:rPr>
                <w:rFonts w:hint="default" w:ascii="Times New Roman" w:hAnsi="Times New Roman" w:eastAsia="宋体" w:cs="Times New Roman"/>
                <w:caps w:val="0"/>
                <w:snapToGrid w:val="0"/>
                <w:color w:val="000000" w:themeColor="text1"/>
                <w:szCs w:val="24"/>
                <w:highlight w:val="none"/>
                <w14:textFill>
                  <w14:solidFill>
                    <w14:schemeClr w14:val="tx1"/>
                  </w14:solidFill>
                </w14:textFill>
              </w:rPr>
              <w:t>根据《排污许可证申请与核发技术规范 总则》（HJ942-2018），</w:t>
            </w:r>
            <w:r>
              <w:rPr>
                <w:rFonts w:hint="default" w:ascii="Times New Roman" w:hAnsi="Times New Roman" w:eastAsia="宋体" w:cs="Times New Roman"/>
                <w:caps w:val="0"/>
                <w:color w:val="000000" w:themeColor="text1"/>
                <w:highlight w:val="none"/>
                <w14:textFill>
                  <w14:solidFill>
                    <w14:schemeClr w14:val="tx1"/>
                  </w14:solidFill>
                </w14:textFill>
              </w:rPr>
              <w:t>项目噪声监控计划一览表如下</w:t>
            </w:r>
            <w:r>
              <w:rPr>
                <w:rFonts w:hint="default" w:ascii="Times New Roman" w:hAnsi="Times New Roman" w:eastAsia="宋体" w:cs="Times New Roman"/>
                <w:caps w:val="0"/>
                <w:snapToGrid w:val="0"/>
                <w:color w:val="000000" w:themeColor="text1"/>
                <w:szCs w:val="24"/>
                <w:highlight w:val="none"/>
                <w14:textFill>
                  <w14:solidFill>
                    <w14:schemeClr w14:val="tx1"/>
                  </w14:solidFill>
                </w14:textFill>
              </w:rPr>
              <w:t>。</w:t>
            </w:r>
          </w:p>
          <w:p w14:paraId="31D35321">
            <w:pPr>
              <w:pStyle w:val="56"/>
              <w:spacing w:before="120" w:beforeLines="50" w:afterLines="0" w:line="360" w:lineRule="auto"/>
              <w:ind w:left="643" w:hanging="643" w:hangingChars="267"/>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表4-</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1</w:t>
            </w:r>
            <w:r>
              <w:rPr>
                <w:rFonts w:hint="eastAsia" w:ascii="Times New Roman" w:hAnsi="Times New Roman" w:cs="Times New Roman"/>
                <w:caps w:val="0"/>
                <w:color w:val="000000" w:themeColor="text1"/>
                <w:highlight w:val="none"/>
                <w:lang w:val="en-US" w:eastAsia="zh-CN"/>
                <w14:textFill>
                  <w14:solidFill>
                    <w14:schemeClr w14:val="tx1"/>
                  </w14:solidFill>
                </w14:textFill>
              </w:rPr>
              <w:t>5</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highlight w:val="none"/>
                <w14:textFill>
                  <w14:solidFill>
                    <w14:schemeClr w14:val="tx1"/>
                  </w14:solidFill>
                </w14:textFill>
              </w:rPr>
              <w:t>项目噪声监控计划一览表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287"/>
              <w:gridCol w:w="1373"/>
              <w:gridCol w:w="1203"/>
              <w:gridCol w:w="3287"/>
            </w:tblGrid>
            <w:tr w14:paraId="00579B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tcBorders>
                    <w:tl2br w:val="nil"/>
                    <w:tr2bl w:val="nil"/>
                  </w:tcBorders>
                  <w:vAlign w:val="center"/>
                </w:tcPr>
                <w:p w14:paraId="4C52D7FB">
                  <w:pPr>
                    <w:tabs>
                      <w:tab w:val="left" w:pos="3400"/>
                    </w:tabs>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类型</w:t>
                  </w:r>
                </w:p>
              </w:tc>
              <w:tc>
                <w:tcPr>
                  <w:tcW w:w="818" w:type="pct"/>
                  <w:tcBorders>
                    <w:tl2br w:val="nil"/>
                    <w:tr2bl w:val="nil"/>
                  </w:tcBorders>
                  <w:vAlign w:val="center"/>
                </w:tcPr>
                <w:p w14:paraId="4B26C579">
                  <w:pPr>
                    <w:tabs>
                      <w:tab w:val="left" w:pos="3400"/>
                    </w:tabs>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监测位置</w:t>
                  </w:r>
                </w:p>
              </w:tc>
              <w:tc>
                <w:tcPr>
                  <w:tcW w:w="873" w:type="pct"/>
                  <w:tcBorders>
                    <w:tl2br w:val="nil"/>
                    <w:tr2bl w:val="nil"/>
                  </w:tcBorders>
                  <w:vAlign w:val="center"/>
                </w:tcPr>
                <w:p w14:paraId="4FE7EB76">
                  <w:pPr>
                    <w:tabs>
                      <w:tab w:val="left" w:pos="3400"/>
                    </w:tabs>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监测项目</w:t>
                  </w:r>
                </w:p>
              </w:tc>
              <w:tc>
                <w:tcPr>
                  <w:tcW w:w="765" w:type="pct"/>
                  <w:tcBorders>
                    <w:tl2br w:val="nil"/>
                    <w:tr2bl w:val="nil"/>
                  </w:tcBorders>
                  <w:vAlign w:val="center"/>
                </w:tcPr>
                <w:p w14:paraId="4B7C7143">
                  <w:pPr>
                    <w:tabs>
                      <w:tab w:val="left" w:pos="3400"/>
                    </w:tabs>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频次</w:t>
                  </w:r>
                </w:p>
              </w:tc>
              <w:tc>
                <w:tcPr>
                  <w:tcW w:w="2090" w:type="pct"/>
                  <w:tcBorders>
                    <w:tl2br w:val="nil"/>
                    <w:tr2bl w:val="nil"/>
                  </w:tcBorders>
                  <w:vAlign w:val="center"/>
                </w:tcPr>
                <w:p w14:paraId="4E3C5CF6">
                  <w:pPr>
                    <w:tabs>
                      <w:tab w:val="left" w:pos="3400"/>
                    </w:tabs>
                    <w:snapToGrid w:val="0"/>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执行排放标准</w:t>
                  </w:r>
                </w:p>
              </w:tc>
            </w:tr>
            <w:tr w14:paraId="6281E3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tcBorders>
                    <w:tl2br w:val="nil"/>
                    <w:tr2bl w:val="nil"/>
                  </w:tcBorders>
                  <w:vAlign w:val="center"/>
                </w:tcPr>
                <w:p w14:paraId="73E49D26">
                  <w:pPr>
                    <w:tabs>
                      <w:tab w:val="left" w:pos="3400"/>
                    </w:tabs>
                    <w:snapToGrid w:val="0"/>
                    <w:jc w:val="center"/>
                    <w:rPr>
                      <w:rFonts w:hint="default" w:ascii="Times New Roman" w:hAnsi="Times New Roman" w:eastAsia="宋体" w:cs="Times New Roman"/>
                      <w:caps w:val="0"/>
                      <w:color w:val="000000" w:themeColor="text1"/>
                      <w:szCs w:val="21"/>
                      <w:highlight w:val="none"/>
                      <w:lang w:val="en-GB"/>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噪声</w:t>
                  </w:r>
                </w:p>
              </w:tc>
              <w:tc>
                <w:tcPr>
                  <w:tcW w:w="818" w:type="pct"/>
                  <w:tcBorders>
                    <w:tl2br w:val="nil"/>
                    <w:tr2bl w:val="nil"/>
                  </w:tcBorders>
                  <w:vAlign w:val="center"/>
                </w:tcPr>
                <w:p w14:paraId="0FD6BF4F">
                  <w:pPr>
                    <w:tabs>
                      <w:tab w:val="left" w:pos="3400"/>
                    </w:tabs>
                    <w:snapToGrid w:val="0"/>
                    <w:jc w:val="center"/>
                    <w:rPr>
                      <w:rFonts w:hint="default" w:ascii="Times New Roman" w:hAnsi="Times New Roman" w:eastAsia="宋体" w:cs="Times New Roman"/>
                      <w:caps w:val="0"/>
                      <w:color w:val="000000" w:themeColor="text1"/>
                      <w:szCs w:val="21"/>
                      <w:highlight w:val="none"/>
                      <w:lang w:val="en-GB"/>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东、南、北</w:t>
                  </w:r>
                  <w:r>
                    <w:rPr>
                      <w:rFonts w:hint="default" w:ascii="Times New Roman" w:hAnsi="Times New Roman" w:eastAsia="宋体" w:cs="Times New Roman"/>
                      <w:caps w:val="0"/>
                      <w:color w:val="000000" w:themeColor="text1"/>
                      <w:szCs w:val="21"/>
                      <w:highlight w:val="none"/>
                      <w14:textFill>
                        <w14:solidFill>
                          <w14:schemeClr w14:val="tx1"/>
                        </w14:solidFill>
                      </w14:textFill>
                    </w:rPr>
                    <w:t>厂界外1米</w:t>
                  </w:r>
                </w:p>
              </w:tc>
              <w:tc>
                <w:tcPr>
                  <w:tcW w:w="873" w:type="pct"/>
                  <w:tcBorders>
                    <w:tl2br w:val="nil"/>
                    <w:tr2bl w:val="nil"/>
                  </w:tcBorders>
                  <w:vAlign w:val="center"/>
                </w:tcPr>
                <w:p w14:paraId="450BC595">
                  <w:pPr>
                    <w:tabs>
                      <w:tab w:val="left" w:pos="3400"/>
                    </w:tabs>
                    <w:snapToGrid w:val="0"/>
                    <w:jc w:val="center"/>
                    <w:rPr>
                      <w:rFonts w:hint="default" w:ascii="Times New Roman" w:hAnsi="Times New Roman" w:eastAsia="宋体" w:cs="Times New Roman"/>
                      <w:caps w:val="0"/>
                      <w:color w:val="000000" w:themeColor="text1"/>
                      <w:szCs w:val="21"/>
                      <w:highlight w:val="none"/>
                      <w:lang w:val="en-GB"/>
                      <w14:textFill>
                        <w14:solidFill>
                          <w14:schemeClr w14:val="tx1"/>
                        </w14:solidFill>
                      </w14:textFill>
                    </w:rPr>
                  </w:pPr>
                  <w:r>
                    <w:rPr>
                      <w:rFonts w:hint="default" w:ascii="Times New Roman" w:hAnsi="Times New Roman" w:eastAsia="宋体" w:cs="Times New Roman"/>
                      <w:bCs/>
                      <w:caps w:val="0"/>
                      <w:color w:val="000000" w:themeColor="text1"/>
                      <w:kern w:val="24"/>
                      <w:szCs w:val="21"/>
                      <w:highlight w:val="none"/>
                      <w14:textFill>
                        <w14:solidFill>
                          <w14:schemeClr w14:val="tx1"/>
                        </w14:solidFill>
                      </w14:textFill>
                    </w:rPr>
                    <w:t>昼夜等效连续A声级</w:t>
                  </w:r>
                </w:p>
              </w:tc>
              <w:tc>
                <w:tcPr>
                  <w:tcW w:w="765" w:type="pct"/>
                  <w:tcBorders>
                    <w:tl2br w:val="nil"/>
                    <w:tr2bl w:val="nil"/>
                  </w:tcBorders>
                  <w:vAlign w:val="center"/>
                </w:tcPr>
                <w:p w14:paraId="74A89346">
                  <w:pPr>
                    <w:tabs>
                      <w:tab w:val="left" w:pos="3400"/>
                    </w:tabs>
                    <w:snapToGrid w:val="0"/>
                    <w:jc w:val="center"/>
                    <w:rPr>
                      <w:rFonts w:hint="default" w:ascii="Times New Roman" w:hAnsi="Times New Roman" w:eastAsia="宋体" w:cs="Times New Roman"/>
                      <w:caps w:val="0"/>
                      <w:color w:val="000000" w:themeColor="text1"/>
                      <w:szCs w:val="21"/>
                      <w:highlight w:val="none"/>
                      <w:lang w:val="en-GB"/>
                      <w14:textFill>
                        <w14:solidFill>
                          <w14:schemeClr w14:val="tx1"/>
                        </w14:solidFill>
                      </w14:textFill>
                    </w:rPr>
                  </w:pPr>
                  <w:r>
                    <w:rPr>
                      <w:rFonts w:hint="default" w:ascii="Times New Roman" w:hAnsi="Times New Roman" w:eastAsia="宋体" w:cs="Times New Roman"/>
                      <w:bCs/>
                      <w:caps w:val="0"/>
                      <w:color w:val="000000" w:themeColor="text1"/>
                      <w:szCs w:val="21"/>
                      <w:highlight w:val="none"/>
                      <w14:textFill>
                        <w14:solidFill>
                          <w14:schemeClr w14:val="tx1"/>
                        </w14:solidFill>
                      </w14:textFill>
                    </w:rPr>
                    <w:t>正常生产时每季度一次</w:t>
                  </w:r>
                </w:p>
              </w:tc>
              <w:tc>
                <w:tcPr>
                  <w:tcW w:w="2090" w:type="pct"/>
                  <w:tcBorders>
                    <w:tl2br w:val="nil"/>
                    <w:tr2bl w:val="nil"/>
                  </w:tcBorders>
                  <w:vAlign w:val="center"/>
                </w:tcPr>
                <w:p w14:paraId="24334803">
                  <w:pPr>
                    <w:tabs>
                      <w:tab w:val="left" w:pos="3400"/>
                    </w:tabs>
                    <w:snapToGrid w:val="0"/>
                    <w:jc w:val="center"/>
                    <w:rPr>
                      <w:rFonts w:hint="default" w:ascii="Times New Roman" w:hAnsi="Times New Roman" w:eastAsia="宋体" w:cs="Times New Roman"/>
                      <w:caps w:val="0"/>
                      <w:color w:val="000000" w:themeColor="text1"/>
                      <w:szCs w:val="21"/>
                      <w:highlight w:val="none"/>
                      <w:lang w:val="en-GB"/>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《工业企业厂界环境噪声排放标准》（GB12348-2008）中3类标准</w:t>
                  </w:r>
                </w:p>
              </w:tc>
            </w:tr>
            <w:tr w14:paraId="15F1D3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4" w:type="dxa"/>
                  <w:tcBorders>
                    <w:tl2br w:val="nil"/>
                    <w:tr2bl w:val="nil"/>
                  </w:tcBorders>
                  <w:vAlign w:val="center"/>
                </w:tcPr>
                <w:p w14:paraId="72DDE7BB">
                  <w:pPr>
                    <w:tabs>
                      <w:tab w:val="left" w:pos="3400"/>
                    </w:tabs>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噪声</w:t>
                  </w:r>
                </w:p>
              </w:tc>
              <w:tc>
                <w:tcPr>
                  <w:tcW w:w="1287" w:type="dxa"/>
                  <w:tcBorders>
                    <w:tl2br w:val="nil"/>
                    <w:tr2bl w:val="nil"/>
                  </w:tcBorders>
                  <w:vAlign w:val="center"/>
                </w:tcPr>
                <w:p w14:paraId="423DA48E">
                  <w:pPr>
                    <w:tabs>
                      <w:tab w:val="left" w:pos="3400"/>
                    </w:tabs>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西</w:t>
                  </w:r>
                  <w:r>
                    <w:rPr>
                      <w:rFonts w:hint="default" w:ascii="Times New Roman" w:hAnsi="Times New Roman" w:eastAsia="宋体" w:cs="Times New Roman"/>
                      <w:caps w:val="0"/>
                      <w:color w:val="000000" w:themeColor="text1"/>
                      <w:szCs w:val="21"/>
                      <w:highlight w:val="none"/>
                      <w14:textFill>
                        <w14:solidFill>
                          <w14:schemeClr w14:val="tx1"/>
                        </w14:solidFill>
                      </w14:textFill>
                    </w:rPr>
                    <w:t>厂界外1米</w:t>
                  </w:r>
                </w:p>
              </w:tc>
              <w:tc>
                <w:tcPr>
                  <w:tcW w:w="1373" w:type="dxa"/>
                  <w:tcBorders>
                    <w:tl2br w:val="nil"/>
                    <w:tr2bl w:val="nil"/>
                  </w:tcBorders>
                  <w:vAlign w:val="center"/>
                </w:tcPr>
                <w:p w14:paraId="7401F6B6">
                  <w:pPr>
                    <w:tabs>
                      <w:tab w:val="left" w:pos="3400"/>
                    </w:tabs>
                    <w:snapToGrid w:val="0"/>
                    <w:jc w:val="center"/>
                    <w:rPr>
                      <w:rFonts w:hint="default" w:ascii="Times New Roman" w:hAnsi="Times New Roman" w:eastAsia="宋体" w:cs="Times New Roman"/>
                      <w:bCs/>
                      <w:caps w:val="0"/>
                      <w:color w:val="000000" w:themeColor="text1"/>
                      <w:kern w:val="24"/>
                      <w:szCs w:val="21"/>
                      <w:highlight w:val="none"/>
                      <w14:textFill>
                        <w14:solidFill>
                          <w14:schemeClr w14:val="tx1"/>
                        </w14:solidFill>
                      </w14:textFill>
                    </w:rPr>
                  </w:pPr>
                  <w:r>
                    <w:rPr>
                      <w:rFonts w:hint="default" w:ascii="Times New Roman" w:hAnsi="Times New Roman" w:eastAsia="宋体" w:cs="Times New Roman"/>
                      <w:bCs/>
                      <w:caps w:val="0"/>
                      <w:color w:val="000000" w:themeColor="text1"/>
                      <w:kern w:val="24"/>
                      <w:szCs w:val="21"/>
                      <w:highlight w:val="none"/>
                      <w14:textFill>
                        <w14:solidFill>
                          <w14:schemeClr w14:val="tx1"/>
                        </w14:solidFill>
                      </w14:textFill>
                    </w:rPr>
                    <w:t>昼夜等效连续A声级</w:t>
                  </w:r>
                </w:p>
              </w:tc>
              <w:tc>
                <w:tcPr>
                  <w:tcW w:w="1203" w:type="dxa"/>
                  <w:tcBorders>
                    <w:tl2br w:val="nil"/>
                    <w:tr2bl w:val="nil"/>
                  </w:tcBorders>
                  <w:vAlign w:val="center"/>
                </w:tcPr>
                <w:p w14:paraId="7618EC21">
                  <w:pPr>
                    <w:tabs>
                      <w:tab w:val="left" w:pos="3400"/>
                    </w:tabs>
                    <w:snapToGrid w:val="0"/>
                    <w:jc w:val="center"/>
                    <w:rPr>
                      <w:rFonts w:hint="default" w:ascii="Times New Roman" w:hAnsi="Times New Roman" w:eastAsia="宋体" w:cs="Times New Roman"/>
                      <w:bCs/>
                      <w:caps w:val="0"/>
                      <w:color w:val="000000" w:themeColor="text1"/>
                      <w:szCs w:val="21"/>
                      <w:highlight w:val="none"/>
                      <w14:textFill>
                        <w14:solidFill>
                          <w14:schemeClr w14:val="tx1"/>
                        </w14:solidFill>
                      </w14:textFill>
                    </w:rPr>
                  </w:pPr>
                  <w:r>
                    <w:rPr>
                      <w:rFonts w:hint="default" w:ascii="Times New Roman" w:hAnsi="Times New Roman" w:eastAsia="宋体" w:cs="Times New Roman"/>
                      <w:bCs/>
                      <w:caps w:val="0"/>
                      <w:color w:val="000000" w:themeColor="text1"/>
                      <w:szCs w:val="21"/>
                      <w:highlight w:val="none"/>
                      <w14:textFill>
                        <w14:solidFill>
                          <w14:schemeClr w14:val="tx1"/>
                        </w14:solidFill>
                      </w14:textFill>
                    </w:rPr>
                    <w:t>正常生产时每季度一次</w:t>
                  </w:r>
                </w:p>
              </w:tc>
              <w:tc>
                <w:tcPr>
                  <w:tcW w:w="3287" w:type="dxa"/>
                  <w:tcBorders>
                    <w:tl2br w:val="nil"/>
                    <w:tr2bl w:val="nil"/>
                  </w:tcBorders>
                  <w:vAlign w:val="center"/>
                </w:tcPr>
                <w:p w14:paraId="1B1086A6">
                  <w:pPr>
                    <w:tabs>
                      <w:tab w:val="left" w:pos="3400"/>
                    </w:tabs>
                    <w:snapToGrid w:val="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《工业企业厂界环境噪声排放标准》（GB12348-2008）中</w:t>
                  </w:r>
                  <w:r>
                    <w:rPr>
                      <w:rFonts w:hint="eastAsia" w:cs="Times New Roman"/>
                      <w:caps w:val="0"/>
                      <w:color w:val="000000" w:themeColor="text1"/>
                      <w:szCs w:val="21"/>
                      <w:highlight w:val="none"/>
                      <w:lang w:val="en-US" w:eastAsia="zh-CN"/>
                      <w14:textFill>
                        <w14:solidFill>
                          <w14:schemeClr w14:val="tx1"/>
                        </w14:solidFill>
                      </w14:textFill>
                    </w:rPr>
                    <w:t>4a</w:t>
                  </w:r>
                  <w:r>
                    <w:rPr>
                      <w:rFonts w:hint="default" w:ascii="Times New Roman" w:hAnsi="Times New Roman" w:eastAsia="宋体" w:cs="Times New Roman"/>
                      <w:caps w:val="0"/>
                      <w:color w:val="000000" w:themeColor="text1"/>
                      <w:szCs w:val="21"/>
                      <w:highlight w:val="none"/>
                      <w14:textFill>
                        <w14:solidFill>
                          <w14:schemeClr w14:val="tx1"/>
                        </w14:solidFill>
                      </w14:textFill>
                    </w:rPr>
                    <w:t>类标准</w:t>
                  </w:r>
                </w:p>
              </w:tc>
            </w:tr>
          </w:tbl>
          <w:p w14:paraId="5A42E5F7">
            <w:pPr>
              <w:keepNext/>
              <w:keepLines/>
              <w:spacing w:line="360" w:lineRule="auto"/>
              <w:ind w:firstLine="354" w:firstLineChars="147"/>
              <w:outlineLvl w:val="2"/>
              <w:rPr>
                <w:rFonts w:hint="default" w:ascii="Times New Roman" w:hAnsi="Times New Roman" w:eastAsia="宋体" w:cs="Times New Roman"/>
                <w:b/>
                <w:bCs/>
                <w:caps w:val="0"/>
                <w:color w:val="000000" w:themeColor="text1"/>
                <w:sz w:val="24"/>
                <w:szCs w:val="32"/>
                <w:highlight w:val="none"/>
                <w14:textFill>
                  <w14:solidFill>
                    <w14:schemeClr w14:val="tx1"/>
                  </w14:solidFill>
                </w14:textFill>
              </w:rPr>
            </w:pPr>
            <w:r>
              <w:rPr>
                <w:rFonts w:hint="default" w:ascii="Times New Roman" w:hAnsi="Times New Roman" w:eastAsia="宋体" w:cs="Times New Roman"/>
                <w:b/>
                <w:bCs/>
                <w:caps w:val="0"/>
                <w:color w:val="000000" w:themeColor="text1"/>
                <w:sz w:val="24"/>
                <w:szCs w:val="32"/>
                <w:highlight w:val="none"/>
                <w14:textFill>
                  <w14:solidFill>
                    <w14:schemeClr w14:val="tx1"/>
                  </w14:solidFill>
                </w14:textFill>
              </w:rPr>
              <w:t>四、固体废物环境影响和保护措施</w:t>
            </w:r>
          </w:p>
          <w:p w14:paraId="5D6E80F3">
            <w:pPr>
              <w:spacing w:line="360" w:lineRule="auto"/>
              <w:ind w:firstLine="482" w:firstLineChars="200"/>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1、固体废物产生情况</w:t>
            </w:r>
          </w:p>
          <w:p w14:paraId="698B317C">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本项目产生的固废有</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生活垃圾、</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塑料边角料、塑料不合格品、废包装材料、废切削液、废金属碎屑、废金属边角料、不合格高压连接器</w:t>
            </w:r>
            <w:r>
              <w:rPr>
                <w:rFonts w:hint="eastAsia" w:ascii="Times New Roman" w:hAnsi="Times New Roman" w:cs="Times New Roman"/>
                <w:caps w:val="0"/>
                <w:color w:val="000000" w:themeColor="text1"/>
                <w:sz w:val="24"/>
                <w:highlight w:val="none"/>
                <w:lang w:val="en-US" w:eastAsia="zh-CN"/>
                <w14:textFill>
                  <w14:solidFill>
                    <w14:schemeClr w14:val="tx1"/>
                  </w14:solidFill>
                </w14:textFill>
              </w:rPr>
              <w:t>、沉淀池污泥</w:t>
            </w:r>
            <w:r>
              <w:rPr>
                <w:rFonts w:hint="default" w:ascii="Times New Roman" w:hAnsi="Times New Roman" w:eastAsia="宋体" w:cs="Times New Roman"/>
                <w:caps w:val="0"/>
                <w:color w:val="000000" w:themeColor="text1"/>
                <w:sz w:val="24"/>
                <w:highlight w:val="none"/>
                <w14:textFill>
                  <w14:solidFill>
                    <w14:schemeClr w14:val="tx1"/>
                  </w14:solidFill>
                </w14:textFill>
              </w:rPr>
              <w:t>等。</w:t>
            </w:r>
          </w:p>
          <w:p w14:paraId="03754D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kern w:val="0"/>
                <w:sz w:val="24"/>
                <w:szCs w:val="20"/>
              </w:rPr>
            </w:pPr>
            <w:r>
              <w:rPr>
                <w:rFonts w:hint="default" w:ascii="Times New Roman" w:hAnsi="Times New Roman" w:cs="Times New Roman"/>
                <w:kern w:val="0"/>
                <w:sz w:val="24"/>
                <w:szCs w:val="20"/>
              </w:rPr>
              <w:t>（1）一般工业固废</w:t>
            </w:r>
          </w:p>
          <w:p w14:paraId="462E25FE">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cs="Times New Roman"/>
                <w:sz w:val="24"/>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1 \* GB3 </w:instrText>
            </w:r>
            <w:r>
              <w:rPr>
                <w:rFonts w:hint="default" w:ascii="Times New Roman" w:hAnsi="Times New Roman" w:cs="Times New Roman"/>
                <w:sz w:val="24"/>
              </w:rPr>
              <w:fldChar w:fldCharType="separate"/>
            </w:r>
            <w:r>
              <w:rPr>
                <w:rFonts w:hint="default" w:ascii="Times New Roman" w:hAnsi="Times New Roman" w:cs="Times New Roman"/>
                <w:sz w:val="24"/>
              </w:rPr>
              <w:t>①</w:t>
            </w:r>
            <w:r>
              <w:rPr>
                <w:rFonts w:hint="default" w:ascii="Times New Roman" w:hAnsi="Times New Roman" w:cs="Times New Roman"/>
                <w:sz w:val="24"/>
              </w:rPr>
              <w:fldChar w:fldCharType="end"/>
            </w:r>
            <w:r>
              <w:rPr>
                <w:rFonts w:hint="default" w:ascii="Times New Roman" w:hAnsi="Times New Roman" w:cs="Times New Roman"/>
                <w:sz w:val="24"/>
              </w:rPr>
              <w:t>塑料边角料：本项目注塑后去毛刺工序会产生塑料边角料，产生量按塑料粒子原料使用量的0.5%估算，</w:t>
            </w:r>
            <w:r>
              <w:rPr>
                <w:rFonts w:hint="default" w:ascii="Times New Roman" w:hAnsi="Times New Roman" w:cs="Times New Roman"/>
                <w:sz w:val="24"/>
                <w:lang w:val="en-US" w:eastAsia="zh-CN"/>
              </w:rPr>
              <w:t>项目塑料粒子原料使用量为100t/a，</w:t>
            </w:r>
            <w:r>
              <w:rPr>
                <w:rFonts w:hint="default" w:ascii="Times New Roman" w:hAnsi="Times New Roman" w:cs="Times New Roman"/>
                <w:sz w:val="24"/>
              </w:rPr>
              <w:t>因此塑料边角料产生量约为</w:t>
            </w:r>
            <w:r>
              <w:rPr>
                <w:rFonts w:hint="default" w:ascii="Times New Roman" w:hAnsi="Times New Roman" w:cs="Times New Roman"/>
                <w:sz w:val="24"/>
                <w:lang w:val="en-US" w:eastAsia="zh-CN"/>
              </w:rPr>
              <w:t>0.5</w:t>
            </w:r>
            <w:r>
              <w:rPr>
                <w:rFonts w:hint="default" w:ascii="Times New Roman" w:hAnsi="Times New Roman" w:cs="Times New Roman"/>
                <w:sz w:val="24"/>
              </w:rPr>
              <w:t>t/a，产生塑料边角料破碎后回用。</w:t>
            </w:r>
          </w:p>
          <w:p w14:paraId="60F6CBB3">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cs="Times New Roman"/>
                <w:sz w:val="24"/>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2 \* GB3 </w:instrText>
            </w:r>
            <w:r>
              <w:rPr>
                <w:rFonts w:hint="default" w:ascii="Times New Roman" w:hAnsi="Times New Roman" w:cs="Times New Roman"/>
                <w:sz w:val="24"/>
              </w:rPr>
              <w:fldChar w:fldCharType="separate"/>
            </w:r>
            <w:r>
              <w:rPr>
                <w:rFonts w:hint="default" w:ascii="Times New Roman" w:hAnsi="Times New Roman" w:cs="Times New Roman"/>
                <w:sz w:val="24"/>
              </w:rPr>
              <w:t>②</w:t>
            </w:r>
            <w:r>
              <w:rPr>
                <w:rFonts w:hint="default" w:ascii="Times New Roman" w:hAnsi="Times New Roman" w:cs="Times New Roman"/>
                <w:sz w:val="24"/>
              </w:rPr>
              <w:fldChar w:fldCharType="end"/>
            </w:r>
            <w:r>
              <w:rPr>
                <w:rFonts w:hint="default" w:ascii="Times New Roman" w:hAnsi="Times New Roman" w:cs="Times New Roman"/>
                <w:sz w:val="24"/>
              </w:rPr>
              <w:t>塑料不合格品：本项目高压线束检验工序会产生塑料不合格品，产生量按塑料粒子原料使用量的0.5%估算，因此塑料不合格品产生量约为</w:t>
            </w:r>
            <w:r>
              <w:rPr>
                <w:rFonts w:hint="default" w:ascii="Times New Roman" w:hAnsi="Times New Roman" w:cs="Times New Roman"/>
                <w:sz w:val="24"/>
                <w:lang w:val="en-US" w:eastAsia="zh-CN"/>
              </w:rPr>
              <w:t>0.5</w:t>
            </w:r>
            <w:r>
              <w:rPr>
                <w:rFonts w:hint="default" w:ascii="Times New Roman" w:hAnsi="Times New Roman" w:cs="Times New Roman"/>
                <w:sz w:val="24"/>
              </w:rPr>
              <w:t>t/a，产生塑料不合格品破碎后回用。</w:t>
            </w:r>
          </w:p>
          <w:p w14:paraId="3FBD3776">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cs="Times New Roman"/>
                <w:sz w:val="24"/>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3 \* GB3 </w:instrText>
            </w:r>
            <w:r>
              <w:rPr>
                <w:rFonts w:hint="default" w:ascii="Times New Roman" w:hAnsi="Times New Roman" w:cs="Times New Roman"/>
                <w:sz w:val="24"/>
              </w:rPr>
              <w:fldChar w:fldCharType="separate"/>
            </w:r>
            <w:r>
              <w:rPr>
                <w:rFonts w:hint="default" w:ascii="Times New Roman" w:hAnsi="Times New Roman" w:cs="Times New Roman"/>
                <w:sz w:val="24"/>
              </w:rPr>
              <w:t>③</w:t>
            </w:r>
            <w:r>
              <w:rPr>
                <w:rFonts w:hint="default" w:ascii="Times New Roman" w:hAnsi="Times New Roman" w:cs="Times New Roman"/>
                <w:sz w:val="24"/>
              </w:rPr>
              <w:fldChar w:fldCharType="end"/>
            </w:r>
            <w:r>
              <w:rPr>
                <w:rFonts w:hint="default" w:ascii="Times New Roman" w:hAnsi="Times New Roman" w:cs="Times New Roman"/>
                <w:sz w:val="24"/>
              </w:rPr>
              <w:t>废包装材料：本项目包装工序使用包装材料时会产生废包装材料，产生量约1t/a，产生的废包装材料收集后外售。</w:t>
            </w:r>
          </w:p>
          <w:p w14:paraId="3B3E622E">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cs="Times New Roman"/>
                <w:sz w:val="24"/>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4 \* GB3 </w:instrText>
            </w:r>
            <w:r>
              <w:rPr>
                <w:rFonts w:hint="default" w:ascii="Times New Roman" w:hAnsi="Times New Roman" w:cs="Times New Roman"/>
                <w:sz w:val="24"/>
              </w:rPr>
              <w:fldChar w:fldCharType="separate"/>
            </w:r>
            <w:r>
              <w:rPr>
                <w:rFonts w:hint="default" w:ascii="Times New Roman" w:hAnsi="Times New Roman" w:cs="Times New Roman"/>
                <w:sz w:val="24"/>
              </w:rPr>
              <w:t>④</w:t>
            </w:r>
            <w:r>
              <w:rPr>
                <w:rFonts w:hint="default" w:ascii="Times New Roman" w:hAnsi="Times New Roman" w:cs="Times New Roman"/>
                <w:sz w:val="24"/>
              </w:rPr>
              <w:fldChar w:fldCharType="end"/>
            </w:r>
            <w:r>
              <w:rPr>
                <w:rFonts w:hint="default" w:ascii="Times New Roman" w:hAnsi="Times New Roman" w:cs="Times New Roman"/>
                <w:sz w:val="24"/>
              </w:rPr>
              <w:t>金属边角料：本项目高压连接器切割下料和冲压成型工序会产生废金属边角料，产生量按原料用量的</w:t>
            </w:r>
            <w:r>
              <w:rPr>
                <w:rFonts w:hint="default" w:ascii="Times New Roman" w:hAnsi="Times New Roman" w:cs="Times New Roman"/>
                <w:sz w:val="24"/>
                <w:lang w:val="en-US" w:eastAsia="zh-CN"/>
              </w:rPr>
              <w:t>1</w:t>
            </w:r>
            <w:r>
              <w:rPr>
                <w:rFonts w:hint="default" w:ascii="Times New Roman" w:hAnsi="Times New Roman" w:cs="Times New Roman"/>
                <w:sz w:val="24"/>
              </w:rPr>
              <w:t>%计，</w:t>
            </w:r>
            <w:r>
              <w:rPr>
                <w:rFonts w:hint="default" w:ascii="Times New Roman" w:hAnsi="Times New Roman" w:cs="Times New Roman"/>
                <w:sz w:val="24"/>
                <w:lang w:val="en-US" w:eastAsia="zh-CN"/>
              </w:rPr>
              <w:t>项目原料使用量为300t/a，</w:t>
            </w:r>
            <w:r>
              <w:rPr>
                <w:rFonts w:hint="default" w:ascii="Times New Roman" w:hAnsi="Times New Roman" w:cs="Times New Roman"/>
                <w:sz w:val="24"/>
              </w:rPr>
              <w:t>因此金属边角料产生量为</w:t>
            </w:r>
            <w:r>
              <w:rPr>
                <w:rFonts w:hint="default" w:ascii="Times New Roman" w:hAnsi="Times New Roman" w:cs="Times New Roman"/>
                <w:sz w:val="24"/>
                <w:lang w:val="en-US" w:eastAsia="zh-CN"/>
              </w:rPr>
              <w:t>3</w:t>
            </w:r>
            <w:r>
              <w:rPr>
                <w:rFonts w:hint="default" w:ascii="Times New Roman" w:hAnsi="Times New Roman" w:cs="Times New Roman"/>
                <w:sz w:val="24"/>
              </w:rPr>
              <w:t>t/a，产生的金属边角料收集后外售。</w:t>
            </w:r>
          </w:p>
          <w:p w14:paraId="6C887532">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cs="Times New Roman"/>
                <w:sz w:val="24"/>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5 \* GB3 </w:instrText>
            </w:r>
            <w:r>
              <w:rPr>
                <w:rFonts w:hint="default" w:ascii="Times New Roman" w:hAnsi="Times New Roman" w:cs="Times New Roman"/>
                <w:sz w:val="24"/>
              </w:rPr>
              <w:fldChar w:fldCharType="separate"/>
            </w:r>
            <w:r>
              <w:rPr>
                <w:rFonts w:hint="default" w:ascii="Times New Roman" w:hAnsi="Times New Roman" w:cs="Times New Roman"/>
                <w:sz w:val="24"/>
              </w:rPr>
              <w:t>⑤</w:t>
            </w:r>
            <w:r>
              <w:rPr>
                <w:rFonts w:hint="default" w:ascii="Times New Roman" w:hAnsi="Times New Roman" w:cs="Times New Roman"/>
                <w:sz w:val="24"/>
              </w:rPr>
              <w:fldChar w:fldCharType="end"/>
            </w:r>
            <w:r>
              <w:rPr>
                <w:rFonts w:hint="default" w:ascii="Times New Roman" w:hAnsi="Times New Roman" w:cs="Times New Roman"/>
                <w:sz w:val="24"/>
              </w:rPr>
              <w:t>废金属碎屑：本项目高压连接器切割下料工序会产生废金属碎屑，产生量按原料用量的0.5%计，因此废金属碎屑产生量为</w:t>
            </w:r>
            <w:r>
              <w:rPr>
                <w:rFonts w:hint="default" w:ascii="Times New Roman" w:hAnsi="Times New Roman" w:cs="Times New Roman"/>
                <w:sz w:val="24"/>
                <w:lang w:val="en-US" w:eastAsia="zh-CN"/>
              </w:rPr>
              <w:t>1.5</w:t>
            </w:r>
            <w:r>
              <w:rPr>
                <w:rFonts w:hint="default" w:ascii="Times New Roman" w:hAnsi="Times New Roman" w:cs="Times New Roman"/>
                <w:sz w:val="24"/>
              </w:rPr>
              <w:t>t/a，产生的废金属碎屑收集后外售。</w:t>
            </w:r>
          </w:p>
          <w:p w14:paraId="474B7F48">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cs="Times New Roman"/>
                <w:sz w:val="24"/>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6 \* GB3 </w:instrText>
            </w:r>
            <w:r>
              <w:rPr>
                <w:rFonts w:hint="default" w:ascii="Times New Roman" w:hAnsi="Times New Roman" w:cs="Times New Roman"/>
                <w:sz w:val="24"/>
              </w:rPr>
              <w:fldChar w:fldCharType="separate"/>
            </w:r>
            <w:r>
              <w:rPr>
                <w:rFonts w:hint="default" w:ascii="Times New Roman" w:hAnsi="Times New Roman" w:cs="Times New Roman"/>
                <w:sz w:val="24"/>
              </w:rPr>
              <w:t>⑥</w:t>
            </w:r>
            <w:r>
              <w:rPr>
                <w:rFonts w:hint="default" w:ascii="Times New Roman" w:hAnsi="Times New Roman" w:cs="Times New Roman"/>
                <w:sz w:val="24"/>
              </w:rPr>
              <w:fldChar w:fldCharType="end"/>
            </w:r>
            <w:r>
              <w:rPr>
                <w:rFonts w:hint="default" w:ascii="Times New Roman" w:hAnsi="Times New Roman" w:cs="Times New Roman"/>
                <w:sz w:val="24"/>
              </w:rPr>
              <w:t>不合格高压连接器：本项目高压连接器检验工序会产生金属不合格品，产生量按原料用量的1%计，因此不合格高压连接器产生量为</w:t>
            </w:r>
            <w:r>
              <w:rPr>
                <w:rFonts w:hint="default" w:ascii="Times New Roman" w:hAnsi="Times New Roman" w:cs="Times New Roman"/>
                <w:sz w:val="24"/>
                <w:lang w:val="en-US" w:eastAsia="zh-CN"/>
              </w:rPr>
              <w:t>3</w:t>
            </w:r>
            <w:r>
              <w:rPr>
                <w:rFonts w:hint="default" w:ascii="Times New Roman" w:hAnsi="Times New Roman" w:cs="Times New Roman"/>
                <w:sz w:val="24"/>
              </w:rPr>
              <w:t>t/a，产生的不合格高压连接器收集后外售。</w:t>
            </w:r>
          </w:p>
          <w:p w14:paraId="35A397E5">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rPr>
              <w:t>⑦</w:t>
            </w:r>
            <w:r>
              <w:rPr>
                <w:rFonts w:hint="eastAsia" w:eastAsia="宋体" w:cs="Times New Roman"/>
                <w:sz w:val="24"/>
                <w:lang w:val="en-US" w:eastAsia="zh-CN"/>
              </w:rPr>
              <w:t>沉淀池污泥：潮湿工序新增的循环水池中会产生沉淀池污泥，根据源强计算，项目污泥产生量为</w:t>
            </w:r>
            <w:r>
              <w:rPr>
                <w:rFonts w:hint="eastAsia"/>
                <w:caps w:val="0"/>
                <w:color w:val="000000" w:themeColor="text1"/>
                <w:szCs w:val="21"/>
                <w:highlight w:val="none"/>
                <w:lang w:val="en-US" w:eastAsia="zh-CN"/>
                <w14:textFill>
                  <w14:solidFill>
                    <w14:schemeClr w14:val="tx1"/>
                  </w14:solidFill>
                </w14:textFill>
              </w:rPr>
              <w:t>0.0312t/a。</w:t>
            </w:r>
          </w:p>
          <w:p w14:paraId="544ADD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kern w:val="0"/>
                <w:sz w:val="24"/>
                <w:szCs w:val="20"/>
              </w:rPr>
            </w:pPr>
            <w:r>
              <w:rPr>
                <w:rFonts w:hint="default" w:ascii="Times New Roman" w:hAnsi="Times New Roman" w:cs="Times New Roman"/>
                <w:kern w:val="0"/>
                <w:sz w:val="24"/>
                <w:szCs w:val="20"/>
              </w:rPr>
              <w:t>（2）危险废物</w:t>
            </w:r>
          </w:p>
          <w:p w14:paraId="570DABCF">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cs="Times New Roman"/>
                <w:sz w:val="24"/>
              </w:rPr>
            </w:pPr>
            <w:r>
              <w:rPr>
                <w:rFonts w:hint="default" w:ascii="Times New Roman" w:hAnsi="Times New Roman" w:cs="Times New Roman"/>
                <w:sz w:val="24"/>
              </w:rPr>
              <w:t>①废润滑油：项目设备维护保养工序使用润滑油时会产生废润滑油，产生量按用量的30%计，</w:t>
            </w:r>
            <w:r>
              <w:rPr>
                <w:rFonts w:hint="default" w:ascii="Times New Roman" w:hAnsi="Times New Roman" w:cs="Times New Roman"/>
                <w:sz w:val="24"/>
                <w:lang w:val="en-US" w:eastAsia="zh-CN"/>
              </w:rPr>
              <w:t>润滑油使用量为1.5t/a，</w:t>
            </w:r>
            <w:r>
              <w:rPr>
                <w:rFonts w:hint="default" w:ascii="Times New Roman" w:hAnsi="Times New Roman" w:cs="Times New Roman"/>
                <w:sz w:val="24"/>
              </w:rPr>
              <w:t>因此废润滑油产生量为0.</w:t>
            </w:r>
            <w:r>
              <w:rPr>
                <w:rFonts w:hint="default" w:ascii="Times New Roman" w:hAnsi="Times New Roman" w:cs="Times New Roman"/>
                <w:sz w:val="24"/>
                <w:lang w:val="en-US" w:eastAsia="zh-CN"/>
              </w:rPr>
              <w:t>45</w:t>
            </w:r>
            <w:r>
              <w:rPr>
                <w:rFonts w:hint="default" w:ascii="Times New Roman" w:hAnsi="Times New Roman" w:cs="Times New Roman"/>
                <w:sz w:val="24"/>
              </w:rPr>
              <w:t>t/a。产生的废润滑油属于危险废物，危废代码为HW08 900-214-08，收集后暂存于厂区危废暂存库，定期交由有资质的单位接收处理。</w:t>
            </w:r>
          </w:p>
          <w:p w14:paraId="0BB22892">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eastAsia="宋体" w:cs="Times New Roman"/>
                <w:sz w:val="24"/>
                <w:lang w:val="en-US" w:eastAsia="zh-CN"/>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2 \* GB3 </w:instrText>
            </w:r>
            <w:r>
              <w:rPr>
                <w:rFonts w:hint="default" w:ascii="Times New Roman" w:hAnsi="Times New Roman" w:cs="Times New Roman"/>
                <w:sz w:val="24"/>
              </w:rPr>
              <w:fldChar w:fldCharType="separate"/>
            </w:r>
            <w:r>
              <w:rPr>
                <w:rFonts w:hint="default" w:ascii="Times New Roman" w:hAnsi="Times New Roman" w:cs="Times New Roman"/>
                <w:sz w:val="24"/>
              </w:rPr>
              <w:t>②</w:t>
            </w:r>
            <w:r>
              <w:rPr>
                <w:rFonts w:hint="default" w:ascii="Times New Roman" w:hAnsi="Times New Roman" w:cs="Times New Roman"/>
                <w:sz w:val="24"/>
              </w:rPr>
              <w:fldChar w:fldCharType="end"/>
            </w:r>
            <w:r>
              <w:rPr>
                <w:rFonts w:hint="default" w:ascii="Times New Roman" w:hAnsi="Times New Roman" w:cs="Times New Roman"/>
                <w:sz w:val="24"/>
                <w:lang w:val="en-US" w:eastAsia="zh-CN"/>
              </w:rPr>
              <w:t>废润滑油桶：废油桶：项目生产设备需要定期维护，润滑油桶180kg包装桶8个/a，按40kg/个计，</w:t>
            </w:r>
            <w:r>
              <w:rPr>
                <w:rFonts w:hint="default" w:ascii="Times New Roman" w:hAnsi="Times New Roman" w:cs="Times New Roman"/>
                <w:sz w:val="24"/>
              </w:rPr>
              <w:t>因此废包装桶产生量为</w:t>
            </w:r>
            <w:r>
              <w:rPr>
                <w:rFonts w:hint="default" w:ascii="Times New Roman" w:hAnsi="Times New Roman" w:cs="Times New Roman"/>
                <w:sz w:val="24"/>
                <w:lang w:val="en-US" w:eastAsia="zh-CN"/>
              </w:rPr>
              <w:t>0.32</w:t>
            </w:r>
            <w:r>
              <w:rPr>
                <w:rFonts w:hint="default" w:ascii="Times New Roman" w:hAnsi="Times New Roman" w:cs="Times New Roman"/>
                <w:sz w:val="24"/>
              </w:rPr>
              <w:t>t/a</w:t>
            </w:r>
            <w:r>
              <w:rPr>
                <w:rFonts w:hint="default" w:ascii="Times New Roman" w:hAnsi="Times New Roman" w:cs="Times New Roman"/>
                <w:sz w:val="24"/>
                <w:lang w:eastAsia="zh-CN"/>
              </w:rPr>
              <w:t>，</w:t>
            </w:r>
            <w:r>
              <w:rPr>
                <w:rFonts w:hint="default" w:ascii="Times New Roman" w:hAnsi="Times New Roman" w:cs="Times New Roman"/>
                <w:sz w:val="24"/>
                <w:lang w:val="en-US" w:eastAsia="zh-CN"/>
              </w:rPr>
              <w:t>属于危险废物（危废类别：HW08，危废代码：900-249-08），暂存危废库，委托有资质单位进行处理。</w:t>
            </w:r>
          </w:p>
          <w:p w14:paraId="4284F75F">
            <w:pPr>
              <w:keepNext w:val="0"/>
              <w:keepLines w:val="0"/>
              <w:pageBreakBefore w:val="0"/>
              <w:widowControl w:val="0"/>
              <w:kinsoku/>
              <w:wordWrap/>
              <w:overflowPunct/>
              <w:topLinePunct w:val="0"/>
              <w:autoSpaceDE/>
              <w:autoSpaceDN/>
              <w:bidi w:val="0"/>
              <w:adjustRightInd/>
              <w:snapToGrid/>
              <w:spacing w:line="360" w:lineRule="auto"/>
              <w:ind w:firstLine="420" w:firstLineChars="175"/>
              <w:jc w:val="left"/>
              <w:textAlignment w:val="auto"/>
              <w:rPr>
                <w:rFonts w:hint="default" w:ascii="Times New Roman" w:hAnsi="Times New Roman" w:cs="Times New Roman"/>
                <w:sz w:val="24"/>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3 \* GB3 </w:instrText>
            </w:r>
            <w:r>
              <w:rPr>
                <w:rFonts w:hint="default" w:ascii="Times New Roman" w:hAnsi="Times New Roman" w:cs="Times New Roman"/>
                <w:sz w:val="24"/>
              </w:rPr>
              <w:fldChar w:fldCharType="separate"/>
            </w:r>
            <w:r>
              <w:rPr>
                <w:rFonts w:hint="default" w:ascii="Times New Roman" w:hAnsi="Times New Roman" w:cs="Times New Roman"/>
                <w:sz w:val="24"/>
              </w:rPr>
              <w:t>③</w:t>
            </w:r>
            <w:r>
              <w:rPr>
                <w:rFonts w:hint="default" w:ascii="Times New Roman" w:hAnsi="Times New Roman" w:cs="Times New Roman"/>
                <w:sz w:val="24"/>
              </w:rPr>
              <w:fldChar w:fldCharType="end"/>
            </w:r>
            <w:r>
              <w:rPr>
                <w:rFonts w:hint="default" w:ascii="Times New Roman" w:hAnsi="Times New Roman" w:cs="Times New Roman"/>
                <w:sz w:val="24"/>
              </w:rPr>
              <w:t>废包装桶：项目切削液使用过程中会产生废包装桶，20</w:t>
            </w:r>
            <w:r>
              <w:rPr>
                <w:rFonts w:hint="default" w:ascii="Times New Roman" w:hAnsi="Times New Roman" w:cs="Times New Roman"/>
                <w:bCs/>
                <w:sz w:val="24"/>
              </w:rPr>
              <w:t>kg包装桶</w:t>
            </w:r>
            <w:r>
              <w:rPr>
                <w:rFonts w:hint="default" w:ascii="Times New Roman" w:hAnsi="Times New Roman" w:cs="Times New Roman"/>
                <w:bCs/>
                <w:sz w:val="24"/>
                <w:lang w:val="en-US" w:eastAsia="zh-CN"/>
              </w:rPr>
              <w:t>1</w:t>
            </w:r>
            <w:r>
              <w:rPr>
                <w:rFonts w:hint="default" w:ascii="Times New Roman" w:hAnsi="Times New Roman" w:cs="Times New Roman"/>
                <w:bCs/>
                <w:sz w:val="24"/>
              </w:rPr>
              <w:t>个/a，按</w:t>
            </w:r>
            <w:r>
              <w:rPr>
                <w:rFonts w:hint="default" w:ascii="Times New Roman" w:hAnsi="Times New Roman" w:cs="Times New Roman"/>
                <w:sz w:val="24"/>
              </w:rPr>
              <w:t>1kg/个，因此废包装桶产生量为</w:t>
            </w:r>
            <w:r>
              <w:rPr>
                <w:rFonts w:hint="default" w:ascii="Times New Roman" w:hAnsi="Times New Roman" w:cs="Times New Roman"/>
                <w:sz w:val="24"/>
                <w:lang w:val="en-US" w:eastAsia="zh-CN"/>
              </w:rPr>
              <w:t>0.001</w:t>
            </w:r>
            <w:r>
              <w:rPr>
                <w:rFonts w:hint="default" w:ascii="Times New Roman" w:hAnsi="Times New Roman" w:cs="Times New Roman"/>
                <w:sz w:val="24"/>
              </w:rPr>
              <w:t>t/a。产生的废包装桶属于危险废物，危废代码为HW49 900-041-49，收集后暂存于厂区危废暂存库，定期交由有资质的单位接收处理。</w:t>
            </w:r>
          </w:p>
          <w:p w14:paraId="2E2BEF5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lang w:val="en-US" w:eastAsia="zh-CN"/>
              </w:rPr>
            </w:pPr>
            <w:r>
              <w:rPr>
                <w:rFonts w:hint="default" w:ascii="Times New Roman" w:hAnsi="Times New Roman" w:cs="Times New Roman"/>
                <w:sz w:val="24"/>
              </w:rPr>
              <w:fldChar w:fldCharType="begin"/>
            </w:r>
            <w:r>
              <w:rPr>
                <w:rFonts w:hint="default" w:ascii="Times New Roman" w:hAnsi="Times New Roman" w:cs="Times New Roman"/>
                <w:sz w:val="24"/>
              </w:rPr>
              <w:instrText xml:space="preserve"> = 4 \* GB3 </w:instrText>
            </w:r>
            <w:r>
              <w:rPr>
                <w:rFonts w:hint="default" w:ascii="Times New Roman" w:hAnsi="Times New Roman" w:cs="Times New Roman"/>
                <w:sz w:val="24"/>
              </w:rPr>
              <w:fldChar w:fldCharType="separate"/>
            </w:r>
            <w:r>
              <w:rPr>
                <w:rFonts w:hint="default" w:ascii="Times New Roman" w:hAnsi="Times New Roman" w:cs="Times New Roman"/>
                <w:sz w:val="24"/>
              </w:rPr>
              <w:t>④</w:t>
            </w:r>
            <w:r>
              <w:rPr>
                <w:rFonts w:hint="default" w:ascii="Times New Roman" w:hAnsi="Times New Roman" w:cs="Times New Roman"/>
                <w:sz w:val="24"/>
              </w:rPr>
              <w:fldChar w:fldCharType="end"/>
            </w:r>
            <w:r>
              <w:rPr>
                <w:rFonts w:hint="eastAsia" w:ascii="Times New Roman" w:hAnsi="Times New Roman" w:cs="Times New Roman"/>
                <w:sz w:val="24"/>
                <w:lang w:val="en-US" w:eastAsia="zh-CN"/>
              </w:rPr>
              <w:t>含切削液的废金属屑：本项目在冲压成型过程，使用切削液，会产生含切削液的废金属屑，产生量约0.1t/a。</w:t>
            </w:r>
          </w:p>
          <w:p w14:paraId="1EEB555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kern w:val="0"/>
                <w:sz w:val="24"/>
              </w:rPr>
            </w:pPr>
            <w:r>
              <w:rPr>
                <w:rFonts w:hint="default" w:ascii="Times New Roman" w:hAnsi="Times New Roman" w:eastAsia="微软雅黑" w:cs="Times New Roman"/>
                <w:sz w:val="24"/>
              </w:rPr>
              <w:t>⑤</w:t>
            </w:r>
            <w:r>
              <w:rPr>
                <w:rFonts w:hint="default" w:ascii="Times New Roman" w:hAnsi="Times New Roman" w:cs="Times New Roman"/>
                <w:sz w:val="24"/>
              </w:rPr>
              <w:t>废切削液：本项目</w:t>
            </w:r>
            <w:r>
              <w:rPr>
                <w:rFonts w:hint="default" w:ascii="Times New Roman" w:hAnsi="Times New Roman" w:cs="Times New Roman"/>
                <w:kern w:val="0"/>
                <w:sz w:val="24"/>
              </w:rPr>
              <w:t>切削液需与水按1：20的比例配制后使用，切削液用量为0.0</w:t>
            </w:r>
            <w:r>
              <w:rPr>
                <w:rFonts w:hint="default" w:ascii="Times New Roman" w:hAnsi="Times New Roman" w:cs="Times New Roman"/>
                <w:kern w:val="0"/>
                <w:sz w:val="24"/>
                <w:lang w:val="en-US" w:eastAsia="zh-CN"/>
              </w:rPr>
              <w:t>2</w:t>
            </w:r>
            <w:r>
              <w:rPr>
                <w:rFonts w:hint="default" w:ascii="Times New Roman" w:hAnsi="Times New Roman" w:cs="Times New Roman"/>
                <w:kern w:val="0"/>
                <w:sz w:val="24"/>
              </w:rPr>
              <w:t>t/a，因此配置后的切削液为</w:t>
            </w:r>
            <w:r>
              <w:rPr>
                <w:rFonts w:hint="default" w:ascii="Times New Roman" w:hAnsi="Times New Roman" w:cs="Times New Roman"/>
                <w:kern w:val="0"/>
                <w:sz w:val="24"/>
                <w:lang w:val="en-US" w:eastAsia="zh-CN"/>
              </w:rPr>
              <w:t>0.42</w:t>
            </w:r>
            <w:r>
              <w:rPr>
                <w:rFonts w:hint="default" w:ascii="Times New Roman" w:hAnsi="Times New Roman" w:cs="Times New Roman"/>
                <w:kern w:val="0"/>
                <w:sz w:val="24"/>
              </w:rPr>
              <w:t>t/a。废切削液产生量按配置后的切削液总量的10%计，因此废</w:t>
            </w:r>
            <w:r>
              <w:rPr>
                <w:rFonts w:hint="default" w:ascii="Times New Roman" w:hAnsi="Times New Roman" w:cs="Times New Roman"/>
                <w:sz w:val="24"/>
              </w:rPr>
              <w:t>切削液产生量为0.</w:t>
            </w:r>
            <w:r>
              <w:rPr>
                <w:rFonts w:hint="default" w:ascii="Times New Roman" w:hAnsi="Times New Roman" w:cs="Times New Roman"/>
                <w:sz w:val="24"/>
                <w:lang w:val="en-US" w:eastAsia="zh-CN"/>
              </w:rPr>
              <w:t>042</w:t>
            </w:r>
            <w:r>
              <w:rPr>
                <w:rFonts w:hint="default" w:ascii="Times New Roman" w:hAnsi="Times New Roman" w:cs="Times New Roman"/>
                <w:sz w:val="24"/>
              </w:rPr>
              <w:t>t/a，产生的废切削液属于危险废物，危废代码为</w:t>
            </w:r>
            <w:r>
              <w:rPr>
                <w:rFonts w:hint="default" w:ascii="Times New Roman" w:hAnsi="Times New Roman" w:cs="Times New Roman"/>
                <w:kern w:val="0"/>
                <w:sz w:val="24"/>
              </w:rPr>
              <w:t>HW09 900-006-09，</w:t>
            </w:r>
            <w:r>
              <w:rPr>
                <w:rFonts w:hint="default" w:ascii="Times New Roman" w:hAnsi="Times New Roman" w:cs="Times New Roman"/>
                <w:sz w:val="24"/>
              </w:rPr>
              <w:t>集后暂存于厂区危废暂存库，定期交由有资质的单位接收处理。</w:t>
            </w:r>
          </w:p>
          <w:p w14:paraId="5972F20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rPr>
            </w:pPr>
            <w:r>
              <w:rPr>
                <w:rFonts w:hint="eastAsia" w:ascii="Times New Roman" w:hAnsi="Times New Roman" w:eastAsia="微软雅黑" w:cs="Times New Roman"/>
                <w:sz w:val="24"/>
              </w:rPr>
              <w:t>⑥</w:t>
            </w:r>
            <w:r>
              <w:rPr>
                <w:rFonts w:hint="default" w:ascii="Times New Roman" w:hAnsi="Times New Roman" w:cs="Times New Roman"/>
                <w:sz w:val="24"/>
              </w:rPr>
              <w:t>废活性炭：本项目活性炭吸附装置处理有机废气时会产生废活性炭。根据工程分析，本项目有机废气处理量为</w:t>
            </w:r>
            <w:r>
              <w:rPr>
                <w:rFonts w:hint="default" w:ascii="Times New Roman" w:hAnsi="Times New Roman" w:cs="Times New Roman"/>
                <w:sz w:val="24"/>
                <w:lang w:val="en-US" w:eastAsia="zh-CN"/>
              </w:rPr>
              <w:t>0.243</w:t>
            </w:r>
            <w:r>
              <w:rPr>
                <w:rFonts w:hint="default" w:ascii="Times New Roman" w:hAnsi="Times New Roman" w:cs="Times New Roman"/>
                <w:sz w:val="24"/>
              </w:rPr>
              <w:t>t/a，活性炭对有机废气的吸附容量按30%计，即1kg的活性炭可以吸附0.3kg的有机废气，因此废活性炭产生量为</w:t>
            </w:r>
            <w:r>
              <w:rPr>
                <w:rFonts w:hint="default" w:ascii="Times New Roman" w:hAnsi="Times New Roman" w:cs="Times New Roman"/>
                <w:sz w:val="24"/>
                <w:lang w:val="en-US" w:eastAsia="zh-CN"/>
              </w:rPr>
              <w:t>1.053</w:t>
            </w:r>
            <w:r>
              <w:rPr>
                <w:rFonts w:hint="default" w:ascii="Times New Roman" w:hAnsi="Times New Roman" w:cs="Times New Roman"/>
                <w:sz w:val="24"/>
              </w:rPr>
              <w:t>t/a（含吸附的有机废气量</w:t>
            </w:r>
            <w:r>
              <w:rPr>
                <w:rFonts w:hint="default" w:ascii="Times New Roman" w:hAnsi="Times New Roman" w:cs="Times New Roman"/>
                <w:sz w:val="24"/>
                <w:lang w:val="en-US" w:eastAsia="zh-CN"/>
              </w:rPr>
              <w:t>0.243</w:t>
            </w:r>
            <w:r>
              <w:rPr>
                <w:rFonts w:hint="default" w:ascii="Times New Roman" w:hAnsi="Times New Roman" w:cs="Times New Roman"/>
                <w:sz w:val="24"/>
              </w:rPr>
              <w:t>t/a）。产生的废活性炭属于危险废物，危废代码为</w:t>
            </w:r>
            <w:r>
              <w:rPr>
                <w:rFonts w:hint="default" w:ascii="Times New Roman" w:hAnsi="Times New Roman" w:cs="Times New Roman"/>
                <w:kern w:val="0"/>
                <w:sz w:val="24"/>
                <w:szCs w:val="20"/>
                <w:lang w:val="zh-CN"/>
              </w:rPr>
              <w:t>HW49 900-039-49</w:t>
            </w:r>
            <w:r>
              <w:rPr>
                <w:rFonts w:hint="default" w:ascii="Times New Roman" w:hAnsi="Times New Roman" w:cs="Times New Roman"/>
                <w:sz w:val="24"/>
              </w:rPr>
              <w:t>，收集后暂存于厂区危废暂存库，定期交由有资质的单位接收处理。</w:t>
            </w:r>
          </w:p>
          <w:p w14:paraId="32CA6B8F">
            <w:pPr>
              <w:numPr>
                <w:ilvl w:val="0"/>
                <w:numId w:val="0"/>
              </w:numPr>
              <w:spacing w:line="360" w:lineRule="auto"/>
              <w:ind w:firstLine="480" w:firstLineChars="200"/>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cs="Times New Roman"/>
                <w:caps w:val="0"/>
                <w:color w:val="000000" w:themeColor="text1"/>
                <w:kern w:val="2"/>
                <w:sz w:val="24"/>
                <w:szCs w:val="24"/>
                <w:highlight w:val="none"/>
                <w:lang w:val="en-US" w:eastAsia="zh-CN" w:bidi="ar-SA"/>
                <w14:textFill>
                  <w14:solidFill>
                    <w14:schemeClr w14:val="tx1"/>
                  </w14:solidFill>
                </w14:textFill>
              </w:rPr>
              <w:t>3</w:t>
            </w:r>
            <w: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生活垃圾</w:t>
            </w:r>
          </w:p>
          <w:p w14:paraId="2607DE8F">
            <w:pPr>
              <w:adjustRightInd w:val="0"/>
              <w:snapToGrid w:val="0"/>
              <w:spacing w:line="360" w:lineRule="auto"/>
              <w:ind w:firstLine="480" w:firstLineChars="200"/>
              <w:jc w:val="left"/>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本项目新增劳动定员</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5</w:t>
            </w:r>
            <w:r>
              <w:rPr>
                <w:rFonts w:hint="default" w:ascii="Times New Roman" w:hAnsi="Times New Roman" w:eastAsia="宋体" w:cs="Times New Roman"/>
                <w:caps w:val="0"/>
                <w:color w:val="000000" w:themeColor="text1"/>
                <w:sz w:val="24"/>
                <w:highlight w:val="none"/>
                <w14:textFill>
                  <w14:solidFill>
                    <w14:schemeClr w14:val="tx1"/>
                  </w14:solidFill>
                </w14:textFill>
              </w:rPr>
              <w:t>0人，人均生活垃圾产生量按0.5kg/d计，则生活垃圾产生量</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22.5</w:t>
            </w:r>
            <w:r>
              <w:rPr>
                <w:rFonts w:hint="default" w:ascii="Times New Roman" w:hAnsi="Times New Roman" w:eastAsia="宋体" w:cs="Times New Roman"/>
                <w:caps w:val="0"/>
                <w:color w:val="000000" w:themeColor="text1"/>
                <w:sz w:val="24"/>
                <w:highlight w:val="none"/>
                <w14:textFill>
                  <w14:solidFill>
                    <w14:schemeClr w14:val="tx1"/>
                  </w14:solidFill>
                </w14:textFill>
              </w:rPr>
              <w:t>t/a（年工作日300天），交由环卫部门统一清运。</w:t>
            </w:r>
          </w:p>
          <w:p w14:paraId="3EEC19DB">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综上，本项目固体废物的产生及排放情况见</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下表</w:t>
            </w:r>
            <w:r>
              <w:rPr>
                <w:rFonts w:hint="default" w:ascii="Times New Roman" w:hAnsi="Times New Roman" w:eastAsia="宋体" w:cs="Times New Roman"/>
                <w:caps w:val="0"/>
                <w:color w:val="000000" w:themeColor="text1"/>
                <w:sz w:val="24"/>
                <w:highlight w:val="none"/>
                <w14:textFill>
                  <w14:solidFill>
                    <w14:schemeClr w14:val="tx1"/>
                  </w14:solidFill>
                </w14:textFill>
              </w:rPr>
              <w:t>所示。</w:t>
            </w:r>
          </w:p>
          <w:p w14:paraId="4C1F6CCA">
            <w:pPr>
              <w:pStyle w:val="56"/>
              <w:spacing w:before="120" w:beforeLines="50" w:afterLines="0" w:line="360" w:lineRule="auto"/>
              <w:ind w:left="643" w:hanging="643" w:hangingChars="267"/>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表4-1</w:t>
            </w:r>
            <w:r>
              <w:rPr>
                <w:rFonts w:hint="eastAsia" w:ascii="Times New Roman" w:hAnsi="Times New Roman" w:cs="Times New Roman"/>
                <w:caps w:val="0"/>
                <w:color w:val="000000" w:themeColor="text1"/>
                <w:highlight w:val="none"/>
                <w:lang w:val="en-US" w:eastAsia="zh-CN"/>
                <w14:textFill>
                  <w14:solidFill>
                    <w14:schemeClr w14:val="tx1"/>
                  </w14:solidFill>
                </w14:textFill>
              </w:rPr>
              <w:t>6</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kern w:val="0"/>
                <w:highlight w:val="none"/>
                <w14:textFill>
                  <w14:solidFill>
                    <w14:schemeClr w14:val="tx1"/>
                  </w14:solidFill>
                </w14:textFill>
              </w:rPr>
              <w:t>本项目固体废物的产生及排放情况一览表</w:t>
            </w:r>
          </w:p>
          <w:tbl>
            <w:tblPr>
              <w:tblStyle w:val="21"/>
              <w:tblW w:w="78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64"/>
              <w:gridCol w:w="647"/>
              <w:gridCol w:w="647"/>
              <w:gridCol w:w="647"/>
              <w:gridCol w:w="781"/>
              <w:gridCol w:w="850"/>
              <w:gridCol w:w="700"/>
              <w:gridCol w:w="916"/>
              <w:gridCol w:w="950"/>
              <w:gridCol w:w="685"/>
              <w:gridCol w:w="688"/>
            </w:tblGrid>
            <w:tr w14:paraId="2DB996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32" w:hRule="atLeast"/>
              </w:trPr>
              <w:tc>
                <w:tcPr>
                  <w:tcW w:w="231" w:type="pct"/>
                  <w:tcBorders>
                    <w:tl2br w:val="nil"/>
                    <w:tr2bl w:val="nil"/>
                  </w:tcBorders>
                  <w:vAlign w:val="center"/>
                </w:tcPr>
                <w:p w14:paraId="657A4062">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属性</w:t>
                  </w:r>
                </w:p>
              </w:tc>
              <w:tc>
                <w:tcPr>
                  <w:tcW w:w="410" w:type="pct"/>
                  <w:tcBorders>
                    <w:tl2br w:val="nil"/>
                    <w:tr2bl w:val="nil"/>
                  </w:tcBorders>
                  <w:vAlign w:val="center"/>
                </w:tcPr>
                <w:p w14:paraId="05DB7FC9">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产生工序</w:t>
                  </w:r>
                </w:p>
              </w:tc>
              <w:tc>
                <w:tcPr>
                  <w:tcW w:w="410" w:type="pct"/>
                  <w:tcBorders>
                    <w:tl2br w:val="nil"/>
                    <w:tr2bl w:val="nil"/>
                  </w:tcBorders>
                  <w:vAlign w:val="center"/>
                </w:tcPr>
                <w:p w14:paraId="3C6DC91B">
                  <w:pPr>
                    <w:jc w:val="center"/>
                    <w:textAlignment w:val="center"/>
                    <w:rPr>
                      <w:rFonts w:hint="default" w:ascii="Times New Roman" w:hAnsi="Times New Roman" w:eastAsia="宋体" w:cs="Times New Roman"/>
                      <w:b/>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b/>
                      <w:caps w:val="0"/>
                      <w:color w:val="000000" w:themeColor="text1"/>
                      <w:szCs w:val="21"/>
                      <w:highlight w:val="none"/>
                      <w:lang w:val="en-US" w:eastAsia="zh-CN"/>
                      <w14:textFill>
                        <w14:solidFill>
                          <w14:schemeClr w14:val="tx1"/>
                        </w14:solidFill>
                      </w14:textFill>
                    </w:rPr>
                    <w:t>废物名称</w:t>
                  </w:r>
                </w:p>
              </w:tc>
              <w:tc>
                <w:tcPr>
                  <w:tcW w:w="410" w:type="pct"/>
                  <w:tcBorders>
                    <w:tl2br w:val="nil"/>
                    <w:tr2bl w:val="nil"/>
                  </w:tcBorders>
                  <w:vAlign w:val="center"/>
                </w:tcPr>
                <w:p w14:paraId="5DE49977">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形态</w:t>
                  </w:r>
                </w:p>
              </w:tc>
              <w:tc>
                <w:tcPr>
                  <w:tcW w:w="495" w:type="pct"/>
                  <w:tcBorders>
                    <w:tl2br w:val="nil"/>
                    <w:tr2bl w:val="nil"/>
                  </w:tcBorders>
                  <w:vAlign w:val="center"/>
                </w:tcPr>
                <w:p w14:paraId="6E5C28AB">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主要成分</w:t>
                  </w:r>
                </w:p>
              </w:tc>
              <w:tc>
                <w:tcPr>
                  <w:tcW w:w="539" w:type="pct"/>
                  <w:tcBorders>
                    <w:tl2br w:val="nil"/>
                    <w:tr2bl w:val="nil"/>
                  </w:tcBorders>
                  <w:vAlign w:val="center"/>
                </w:tcPr>
                <w:p w14:paraId="697ABF13">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鉴别依据</w:t>
                  </w:r>
                </w:p>
              </w:tc>
              <w:tc>
                <w:tcPr>
                  <w:tcW w:w="444" w:type="pct"/>
                  <w:tcBorders>
                    <w:tl2br w:val="nil"/>
                    <w:tr2bl w:val="nil"/>
                  </w:tcBorders>
                  <w:vAlign w:val="center"/>
                </w:tcPr>
                <w:p w14:paraId="2633973D">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废物类别</w:t>
                  </w:r>
                </w:p>
              </w:tc>
              <w:tc>
                <w:tcPr>
                  <w:tcW w:w="581" w:type="pct"/>
                  <w:tcBorders>
                    <w:tl2br w:val="nil"/>
                    <w:tr2bl w:val="nil"/>
                  </w:tcBorders>
                  <w:vAlign w:val="center"/>
                </w:tcPr>
                <w:p w14:paraId="2E9FAE5B">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废物代码</w:t>
                  </w:r>
                </w:p>
              </w:tc>
              <w:tc>
                <w:tcPr>
                  <w:tcW w:w="603" w:type="pct"/>
                  <w:tcBorders>
                    <w:tl2br w:val="nil"/>
                    <w:tr2bl w:val="nil"/>
                  </w:tcBorders>
                  <w:vAlign w:val="center"/>
                </w:tcPr>
                <w:p w14:paraId="1131167D">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产生量（t/a）</w:t>
                  </w:r>
                </w:p>
              </w:tc>
              <w:tc>
                <w:tcPr>
                  <w:tcW w:w="434" w:type="pct"/>
                  <w:tcBorders>
                    <w:tl2br w:val="nil"/>
                    <w:tr2bl w:val="nil"/>
                  </w:tcBorders>
                  <w:vAlign w:val="center"/>
                </w:tcPr>
                <w:p w14:paraId="7B506656">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处理处置方式</w:t>
                  </w:r>
                </w:p>
              </w:tc>
              <w:tc>
                <w:tcPr>
                  <w:tcW w:w="436" w:type="pct"/>
                  <w:tcBorders>
                    <w:tl2br w:val="nil"/>
                    <w:tr2bl w:val="nil"/>
                  </w:tcBorders>
                  <w:vAlign w:val="center"/>
                </w:tcPr>
                <w:p w14:paraId="363F270B">
                  <w:pPr>
                    <w:jc w:val="center"/>
                    <w:textAlignment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排放量（t/a）</w:t>
                  </w:r>
                </w:p>
              </w:tc>
            </w:tr>
            <w:tr w14:paraId="0A973D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25" w:hRule="atLeast"/>
              </w:trPr>
              <w:tc>
                <w:tcPr>
                  <w:tcW w:w="231" w:type="pct"/>
                  <w:vMerge w:val="restart"/>
                  <w:tcBorders>
                    <w:tl2br w:val="nil"/>
                    <w:tr2bl w:val="nil"/>
                  </w:tcBorders>
                  <w:vAlign w:val="center"/>
                </w:tcPr>
                <w:p w14:paraId="5F1AD89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一般固废</w:t>
                  </w:r>
                </w:p>
              </w:tc>
              <w:tc>
                <w:tcPr>
                  <w:tcW w:w="410" w:type="pct"/>
                  <w:tcBorders>
                    <w:tl2br w:val="nil"/>
                    <w:tr2bl w:val="nil"/>
                  </w:tcBorders>
                  <w:vAlign w:val="center"/>
                </w:tcPr>
                <w:p w14:paraId="4EE6771B">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去毛刺</w:t>
                  </w:r>
                </w:p>
              </w:tc>
              <w:tc>
                <w:tcPr>
                  <w:tcW w:w="410" w:type="pct"/>
                  <w:tcBorders>
                    <w:tl2br w:val="nil"/>
                    <w:tr2bl w:val="nil"/>
                  </w:tcBorders>
                  <w:vAlign w:val="center"/>
                </w:tcPr>
                <w:p w14:paraId="78234D99">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塑料边角料</w:t>
                  </w:r>
                </w:p>
              </w:tc>
              <w:tc>
                <w:tcPr>
                  <w:tcW w:w="410" w:type="pct"/>
                  <w:tcBorders>
                    <w:tl2br w:val="nil"/>
                    <w:tr2bl w:val="nil"/>
                  </w:tcBorders>
                  <w:vAlign w:val="center"/>
                </w:tcPr>
                <w:p w14:paraId="679FF74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6F9C0DF1">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塑料</w:t>
                  </w:r>
                </w:p>
              </w:tc>
              <w:tc>
                <w:tcPr>
                  <w:tcW w:w="539" w:type="pct"/>
                  <w:vMerge w:val="restart"/>
                  <w:tcBorders>
                    <w:tl2br w:val="nil"/>
                    <w:tr2bl w:val="nil"/>
                  </w:tcBorders>
                  <w:vAlign w:val="center"/>
                </w:tcPr>
                <w:p w14:paraId="5B676132">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《固体废物分类与代码目录》</w:t>
                  </w:r>
                </w:p>
              </w:tc>
              <w:tc>
                <w:tcPr>
                  <w:tcW w:w="444" w:type="pct"/>
                  <w:tcBorders>
                    <w:tl2br w:val="nil"/>
                    <w:tr2bl w:val="nil"/>
                  </w:tcBorders>
                  <w:vAlign w:val="center"/>
                </w:tcPr>
                <w:p w14:paraId="5F26BB73">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SW17</w:t>
                  </w:r>
                </w:p>
              </w:tc>
              <w:tc>
                <w:tcPr>
                  <w:tcW w:w="581" w:type="pct"/>
                  <w:tcBorders>
                    <w:tl2br w:val="nil"/>
                    <w:tr2bl w:val="nil"/>
                  </w:tcBorders>
                  <w:vAlign w:val="center"/>
                </w:tcPr>
                <w:p w14:paraId="3EE0CEB3">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900-003-S17</w:t>
                  </w:r>
                </w:p>
              </w:tc>
              <w:tc>
                <w:tcPr>
                  <w:tcW w:w="603" w:type="pct"/>
                  <w:tcBorders>
                    <w:tl2br w:val="nil"/>
                    <w:tr2bl w:val="nil"/>
                  </w:tcBorders>
                  <w:vAlign w:val="center"/>
                </w:tcPr>
                <w:p w14:paraId="199BA8BA">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0.5</w:t>
                  </w:r>
                </w:p>
              </w:tc>
              <w:tc>
                <w:tcPr>
                  <w:tcW w:w="434" w:type="pct"/>
                  <w:vMerge w:val="restart"/>
                  <w:tcBorders>
                    <w:tl2br w:val="nil"/>
                    <w:tr2bl w:val="nil"/>
                  </w:tcBorders>
                  <w:vAlign w:val="center"/>
                </w:tcPr>
                <w:p w14:paraId="46942F7F">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aps w:val="0"/>
                      <w:color w:val="000000" w:themeColor="text1"/>
                      <w:kern w:val="2"/>
                      <w:sz w:val="21"/>
                      <w:szCs w:val="21"/>
                      <w:highlight w:val="none"/>
                      <w:lang w:val="en-US" w:eastAsia="zh-CN" w:bidi="ar-SA"/>
                      <w14:textFill>
                        <w14:solidFill>
                          <w14:schemeClr w14:val="tx1"/>
                        </w14:solidFill>
                      </w14:textFill>
                    </w:rPr>
                    <w:t>收集后回用</w:t>
                  </w:r>
                </w:p>
              </w:tc>
              <w:tc>
                <w:tcPr>
                  <w:tcW w:w="436" w:type="pct"/>
                  <w:tcBorders>
                    <w:tl2br w:val="nil"/>
                    <w:tr2bl w:val="nil"/>
                  </w:tcBorders>
                  <w:vAlign w:val="center"/>
                </w:tcPr>
                <w:p w14:paraId="5AEDD60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6892C5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25" w:hRule="atLeast"/>
              </w:trPr>
              <w:tc>
                <w:tcPr>
                  <w:tcW w:w="231" w:type="pct"/>
                  <w:vMerge w:val="continue"/>
                  <w:tcBorders>
                    <w:tl2br w:val="nil"/>
                    <w:tr2bl w:val="nil"/>
                  </w:tcBorders>
                  <w:vAlign w:val="center"/>
                </w:tcPr>
                <w:p w14:paraId="6116BBB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410" w:type="pct"/>
                  <w:tcBorders>
                    <w:tl2br w:val="nil"/>
                    <w:tr2bl w:val="nil"/>
                  </w:tcBorders>
                  <w:vAlign w:val="center"/>
                </w:tcPr>
                <w:p w14:paraId="6F09AD4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检验</w:t>
                  </w:r>
                </w:p>
              </w:tc>
              <w:tc>
                <w:tcPr>
                  <w:tcW w:w="410" w:type="pct"/>
                  <w:tcBorders>
                    <w:tl2br w:val="nil"/>
                    <w:tr2bl w:val="nil"/>
                  </w:tcBorders>
                  <w:vAlign w:val="center"/>
                </w:tcPr>
                <w:p w14:paraId="46A6E97E">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塑料不合格品</w:t>
                  </w:r>
                </w:p>
              </w:tc>
              <w:tc>
                <w:tcPr>
                  <w:tcW w:w="410" w:type="pct"/>
                  <w:tcBorders>
                    <w:tl2br w:val="nil"/>
                    <w:tr2bl w:val="nil"/>
                  </w:tcBorders>
                  <w:vAlign w:val="center"/>
                </w:tcPr>
                <w:p w14:paraId="0F78276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67B9502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塑料</w:t>
                  </w:r>
                </w:p>
              </w:tc>
              <w:tc>
                <w:tcPr>
                  <w:tcW w:w="539" w:type="pct"/>
                  <w:vMerge w:val="continue"/>
                  <w:tcBorders>
                    <w:tl2br w:val="nil"/>
                    <w:tr2bl w:val="nil"/>
                  </w:tcBorders>
                  <w:vAlign w:val="center"/>
                </w:tcPr>
                <w:p w14:paraId="078425C8">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44" w:type="pct"/>
                  <w:tcBorders>
                    <w:tl2br w:val="nil"/>
                    <w:tr2bl w:val="nil"/>
                  </w:tcBorders>
                  <w:vAlign w:val="center"/>
                </w:tcPr>
                <w:p w14:paraId="2BD1981E">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SW17</w:t>
                  </w:r>
                </w:p>
              </w:tc>
              <w:tc>
                <w:tcPr>
                  <w:tcW w:w="581" w:type="pct"/>
                  <w:tcBorders>
                    <w:tl2br w:val="nil"/>
                    <w:tr2bl w:val="nil"/>
                  </w:tcBorders>
                  <w:shd w:val="clear" w:color="auto" w:fill="auto"/>
                  <w:vAlign w:val="center"/>
                </w:tcPr>
                <w:p w14:paraId="63E8FD5E">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900-003-S17</w:t>
                  </w:r>
                </w:p>
              </w:tc>
              <w:tc>
                <w:tcPr>
                  <w:tcW w:w="603" w:type="pct"/>
                  <w:tcBorders>
                    <w:tl2br w:val="nil"/>
                    <w:tr2bl w:val="nil"/>
                  </w:tcBorders>
                  <w:shd w:val="clear" w:color="auto" w:fill="auto"/>
                  <w:vAlign w:val="center"/>
                </w:tcPr>
                <w:p w14:paraId="7DD452CF">
                  <w:pPr>
                    <w:jc w:val="center"/>
                    <w:textAlignment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0.5</w:t>
                  </w:r>
                </w:p>
              </w:tc>
              <w:tc>
                <w:tcPr>
                  <w:tcW w:w="434" w:type="pct"/>
                  <w:vMerge w:val="continue"/>
                  <w:tcBorders>
                    <w:tl2br w:val="nil"/>
                    <w:tr2bl w:val="nil"/>
                  </w:tcBorders>
                  <w:vAlign w:val="center"/>
                </w:tcPr>
                <w:p w14:paraId="2D38A19D">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36" w:type="pct"/>
                  <w:tcBorders>
                    <w:tl2br w:val="nil"/>
                    <w:tr2bl w:val="nil"/>
                  </w:tcBorders>
                  <w:vAlign w:val="center"/>
                </w:tcPr>
                <w:p w14:paraId="77A40B2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72F359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25" w:hRule="atLeast"/>
              </w:trPr>
              <w:tc>
                <w:tcPr>
                  <w:tcW w:w="231" w:type="pct"/>
                  <w:vMerge w:val="continue"/>
                  <w:tcBorders>
                    <w:tl2br w:val="nil"/>
                    <w:tr2bl w:val="nil"/>
                  </w:tcBorders>
                  <w:vAlign w:val="center"/>
                </w:tcPr>
                <w:p w14:paraId="49F4745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410" w:type="pct"/>
                  <w:tcBorders>
                    <w:tl2br w:val="nil"/>
                    <w:tr2bl w:val="nil"/>
                  </w:tcBorders>
                  <w:vAlign w:val="center"/>
                </w:tcPr>
                <w:p w14:paraId="2A21E8D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包装</w:t>
                  </w:r>
                </w:p>
              </w:tc>
              <w:tc>
                <w:tcPr>
                  <w:tcW w:w="410" w:type="pct"/>
                  <w:tcBorders>
                    <w:tl2br w:val="nil"/>
                    <w:tr2bl w:val="nil"/>
                  </w:tcBorders>
                  <w:vAlign w:val="center"/>
                </w:tcPr>
                <w:p w14:paraId="7501C9C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废包装材料</w:t>
                  </w:r>
                </w:p>
              </w:tc>
              <w:tc>
                <w:tcPr>
                  <w:tcW w:w="410" w:type="pct"/>
                  <w:tcBorders>
                    <w:tl2br w:val="nil"/>
                    <w:tr2bl w:val="nil"/>
                  </w:tcBorders>
                  <w:vAlign w:val="center"/>
                </w:tcPr>
                <w:p w14:paraId="077F5D6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7DC1745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塑料</w:t>
                  </w:r>
                </w:p>
              </w:tc>
              <w:tc>
                <w:tcPr>
                  <w:tcW w:w="539" w:type="pct"/>
                  <w:vMerge w:val="continue"/>
                  <w:tcBorders>
                    <w:tl2br w:val="nil"/>
                    <w:tr2bl w:val="nil"/>
                  </w:tcBorders>
                  <w:vAlign w:val="center"/>
                </w:tcPr>
                <w:p w14:paraId="49F721BB">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444" w:type="pct"/>
                  <w:tcBorders>
                    <w:tl2br w:val="nil"/>
                    <w:tr2bl w:val="nil"/>
                  </w:tcBorders>
                  <w:vAlign w:val="center"/>
                </w:tcPr>
                <w:p w14:paraId="7E9A78DB">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SW17</w:t>
                  </w:r>
                </w:p>
              </w:tc>
              <w:tc>
                <w:tcPr>
                  <w:tcW w:w="581" w:type="pct"/>
                  <w:tcBorders>
                    <w:tl2br w:val="nil"/>
                    <w:tr2bl w:val="nil"/>
                  </w:tcBorders>
                  <w:vAlign w:val="center"/>
                </w:tcPr>
                <w:p w14:paraId="47250F65">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900-003-S17</w:t>
                  </w:r>
                </w:p>
              </w:tc>
              <w:tc>
                <w:tcPr>
                  <w:tcW w:w="603" w:type="pct"/>
                  <w:tcBorders>
                    <w:tl2br w:val="nil"/>
                    <w:tr2bl w:val="nil"/>
                  </w:tcBorders>
                  <w:vAlign w:val="center"/>
                </w:tcPr>
                <w:p w14:paraId="10C272E5">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1</w:t>
                  </w:r>
                </w:p>
              </w:tc>
              <w:tc>
                <w:tcPr>
                  <w:tcW w:w="434" w:type="pct"/>
                  <w:vMerge w:val="restart"/>
                  <w:tcBorders>
                    <w:tl2br w:val="nil"/>
                    <w:tr2bl w:val="nil"/>
                  </w:tcBorders>
                  <w:vAlign w:val="center"/>
                </w:tcPr>
                <w:p w14:paraId="3BE53500">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厂内集中收集后外售</w:t>
                  </w:r>
                </w:p>
              </w:tc>
              <w:tc>
                <w:tcPr>
                  <w:tcW w:w="436" w:type="pct"/>
                  <w:tcBorders>
                    <w:tl2br w:val="nil"/>
                    <w:tr2bl w:val="nil"/>
                  </w:tcBorders>
                  <w:vAlign w:val="center"/>
                </w:tcPr>
                <w:p w14:paraId="1532C98A">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2A5915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25" w:hRule="atLeast"/>
              </w:trPr>
              <w:tc>
                <w:tcPr>
                  <w:tcW w:w="231" w:type="pct"/>
                  <w:vMerge w:val="continue"/>
                  <w:tcBorders>
                    <w:tl2br w:val="nil"/>
                    <w:tr2bl w:val="nil"/>
                  </w:tcBorders>
                  <w:vAlign w:val="center"/>
                </w:tcPr>
                <w:p w14:paraId="4287D76B">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410" w:type="pct"/>
                  <w:tcBorders>
                    <w:tl2br w:val="nil"/>
                    <w:tr2bl w:val="nil"/>
                  </w:tcBorders>
                  <w:vAlign w:val="center"/>
                </w:tcPr>
                <w:p w14:paraId="6BB4455B">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切割下料、冲压成型</w:t>
                  </w:r>
                </w:p>
              </w:tc>
              <w:tc>
                <w:tcPr>
                  <w:tcW w:w="410" w:type="pct"/>
                  <w:tcBorders>
                    <w:tl2br w:val="nil"/>
                    <w:tr2bl w:val="nil"/>
                  </w:tcBorders>
                  <w:vAlign w:val="center"/>
                </w:tcPr>
                <w:p w14:paraId="75EC47FE">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金属边角料</w:t>
                  </w:r>
                </w:p>
              </w:tc>
              <w:tc>
                <w:tcPr>
                  <w:tcW w:w="410" w:type="pct"/>
                  <w:tcBorders>
                    <w:tl2br w:val="nil"/>
                    <w:tr2bl w:val="nil"/>
                  </w:tcBorders>
                  <w:vAlign w:val="center"/>
                </w:tcPr>
                <w:p w14:paraId="5CD58FB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07456F35">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金属</w:t>
                  </w:r>
                </w:p>
              </w:tc>
              <w:tc>
                <w:tcPr>
                  <w:tcW w:w="539" w:type="pct"/>
                  <w:vMerge w:val="continue"/>
                  <w:tcBorders>
                    <w:tl2br w:val="nil"/>
                    <w:tr2bl w:val="nil"/>
                  </w:tcBorders>
                  <w:vAlign w:val="center"/>
                </w:tcPr>
                <w:p w14:paraId="789D202E">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444" w:type="pct"/>
                  <w:tcBorders>
                    <w:tl2br w:val="nil"/>
                    <w:tr2bl w:val="nil"/>
                  </w:tcBorders>
                  <w:vAlign w:val="center"/>
                </w:tcPr>
                <w:p w14:paraId="5A126D6C">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SW17</w:t>
                  </w:r>
                </w:p>
              </w:tc>
              <w:tc>
                <w:tcPr>
                  <w:tcW w:w="581" w:type="pct"/>
                  <w:tcBorders>
                    <w:tl2br w:val="nil"/>
                    <w:tr2bl w:val="nil"/>
                  </w:tcBorders>
                  <w:vAlign w:val="center"/>
                </w:tcPr>
                <w:p w14:paraId="10218072">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900-002-S17</w:t>
                  </w:r>
                </w:p>
              </w:tc>
              <w:tc>
                <w:tcPr>
                  <w:tcW w:w="603" w:type="pct"/>
                  <w:tcBorders>
                    <w:tl2br w:val="nil"/>
                    <w:tr2bl w:val="nil"/>
                  </w:tcBorders>
                  <w:vAlign w:val="center"/>
                </w:tcPr>
                <w:p w14:paraId="39CE1B2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3</w:t>
                  </w:r>
                </w:p>
              </w:tc>
              <w:tc>
                <w:tcPr>
                  <w:tcW w:w="434" w:type="pct"/>
                  <w:vMerge w:val="continue"/>
                  <w:tcBorders>
                    <w:tl2br w:val="nil"/>
                    <w:tr2bl w:val="nil"/>
                  </w:tcBorders>
                  <w:vAlign w:val="center"/>
                </w:tcPr>
                <w:p w14:paraId="21465904">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436" w:type="pct"/>
                  <w:tcBorders>
                    <w:tl2br w:val="nil"/>
                    <w:tr2bl w:val="nil"/>
                  </w:tcBorders>
                  <w:vAlign w:val="center"/>
                </w:tcPr>
                <w:p w14:paraId="29F13BA6">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7BBBB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25" w:hRule="atLeast"/>
              </w:trPr>
              <w:tc>
                <w:tcPr>
                  <w:tcW w:w="231" w:type="pct"/>
                  <w:vMerge w:val="continue"/>
                  <w:tcBorders>
                    <w:tl2br w:val="nil"/>
                    <w:tr2bl w:val="nil"/>
                  </w:tcBorders>
                  <w:vAlign w:val="center"/>
                </w:tcPr>
                <w:p w14:paraId="7CF20BF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410" w:type="pct"/>
                  <w:tcBorders>
                    <w:tl2br w:val="nil"/>
                    <w:tr2bl w:val="nil"/>
                  </w:tcBorders>
                  <w:vAlign w:val="center"/>
                </w:tcPr>
                <w:p w14:paraId="394F3F18">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切割下料</w:t>
                  </w:r>
                </w:p>
              </w:tc>
              <w:tc>
                <w:tcPr>
                  <w:tcW w:w="410" w:type="pct"/>
                  <w:tcBorders>
                    <w:tl2br w:val="nil"/>
                    <w:tr2bl w:val="nil"/>
                  </w:tcBorders>
                  <w:vAlign w:val="center"/>
                </w:tcPr>
                <w:p w14:paraId="05BCE882">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废金属碎屑</w:t>
                  </w:r>
                </w:p>
              </w:tc>
              <w:tc>
                <w:tcPr>
                  <w:tcW w:w="410" w:type="pct"/>
                  <w:tcBorders>
                    <w:tl2br w:val="nil"/>
                    <w:tr2bl w:val="nil"/>
                  </w:tcBorders>
                  <w:vAlign w:val="center"/>
                </w:tcPr>
                <w:p w14:paraId="33B4A67C">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1D7C78E8">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金属</w:t>
                  </w:r>
                </w:p>
              </w:tc>
              <w:tc>
                <w:tcPr>
                  <w:tcW w:w="539" w:type="pct"/>
                  <w:vMerge w:val="continue"/>
                  <w:tcBorders>
                    <w:tl2br w:val="nil"/>
                    <w:tr2bl w:val="nil"/>
                  </w:tcBorders>
                  <w:vAlign w:val="center"/>
                </w:tcPr>
                <w:p w14:paraId="577B2FAF">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444" w:type="pct"/>
                  <w:tcBorders>
                    <w:tl2br w:val="nil"/>
                    <w:tr2bl w:val="nil"/>
                  </w:tcBorders>
                  <w:vAlign w:val="center"/>
                </w:tcPr>
                <w:p w14:paraId="227FF57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SW17</w:t>
                  </w:r>
                </w:p>
              </w:tc>
              <w:tc>
                <w:tcPr>
                  <w:tcW w:w="581" w:type="pct"/>
                  <w:tcBorders>
                    <w:tl2br w:val="nil"/>
                    <w:tr2bl w:val="nil"/>
                  </w:tcBorders>
                  <w:vAlign w:val="center"/>
                </w:tcPr>
                <w:p w14:paraId="0EAD3425">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900-002-S17</w:t>
                  </w:r>
                </w:p>
              </w:tc>
              <w:tc>
                <w:tcPr>
                  <w:tcW w:w="603" w:type="pct"/>
                  <w:tcBorders>
                    <w:tl2br w:val="nil"/>
                    <w:tr2bl w:val="nil"/>
                  </w:tcBorders>
                  <w:vAlign w:val="center"/>
                </w:tcPr>
                <w:p w14:paraId="03C82227">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1.5</w:t>
                  </w:r>
                </w:p>
              </w:tc>
              <w:tc>
                <w:tcPr>
                  <w:tcW w:w="434" w:type="pct"/>
                  <w:vMerge w:val="continue"/>
                  <w:tcBorders>
                    <w:tl2br w:val="nil"/>
                    <w:tr2bl w:val="nil"/>
                  </w:tcBorders>
                  <w:vAlign w:val="center"/>
                </w:tcPr>
                <w:p w14:paraId="0709BA0F">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436" w:type="pct"/>
                  <w:tcBorders>
                    <w:tl2br w:val="nil"/>
                    <w:tr2bl w:val="nil"/>
                  </w:tcBorders>
                  <w:vAlign w:val="center"/>
                </w:tcPr>
                <w:p w14:paraId="7E0A0AF1">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7F5967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65" w:hRule="atLeast"/>
              </w:trPr>
              <w:tc>
                <w:tcPr>
                  <w:tcW w:w="231" w:type="pct"/>
                  <w:vMerge w:val="continue"/>
                  <w:tcBorders>
                    <w:tl2br w:val="nil"/>
                    <w:tr2bl w:val="nil"/>
                  </w:tcBorders>
                  <w:vAlign w:val="center"/>
                </w:tcPr>
                <w:p w14:paraId="61F3180C">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410" w:type="pct"/>
                  <w:tcBorders>
                    <w:tl2br w:val="nil"/>
                    <w:tr2bl w:val="nil"/>
                  </w:tcBorders>
                  <w:vAlign w:val="center"/>
                </w:tcPr>
                <w:p w14:paraId="6E766363">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检验</w:t>
                  </w:r>
                </w:p>
              </w:tc>
              <w:tc>
                <w:tcPr>
                  <w:tcW w:w="410" w:type="pct"/>
                  <w:tcBorders>
                    <w:tl2br w:val="nil"/>
                    <w:tr2bl w:val="nil"/>
                  </w:tcBorders>
                  <w:vAlign w:val="center"/>
                </w:tcPr>
                <w:p w14:paraId="62DA3115">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不合格高压连接器</w:t>
                  </w:r>
                </w:p>
              </w:tc>
              <w:tc>
                <w:tcPr>
                  <w:tcW w:w="410" w:type="pct"/>
                  <w:tcBorders>
                    <w:tl2br w:val="nil"/>
                    <w:tr2bl w:val="nil"/>
                  </w:tcBorders>
                  <w:vAlign w:val="center"/>
                </w:tcPr>
                <w:p w14:paraId="09EBCCAB">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37A46B3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金属</w:t>
                  </w:r>
                </w:p>
              </w:tc>
              <w:tc>
                <w:tcPr>
                  <w:tcW w:w="539" w:type="pct"/>
                  <w:vMerge w:val="continue"/>
                  <w:tcBorders>
                    <w:tl2br w:val="nil"/>
                    <w:tr2bl w:val="nil"/>
                  </w:tcBorders>
                  <w:vAlign w:val="center"/>
                </w:tcPr>
                <w:p w14:paraId="38CF353B">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444" w:type="pct"/>
                  <w:tcBorders>
                    <w:tl2br w:val="nil"/>
                    <w:tr2bl w:val="nil"/>
                  </w:tcBorders>
                  <w:vAlign w:val="center"/>
                </w:tcPr>
                <w:p w14:paraId="7B18231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SW17</w:t>
                  </w:r>
                </w:p>
              </w:tc>
              <w:tc>
                <w:tcPr>
                  <w:tcW w:w="581" w:type="pct"/>
                  <w:tcBorders>
                    <w:tl2br w:val="nil"/>
                    <w:tr2bl w:val="nil"/>
                  </w:tcBorders>
                  <w:vAlign w:val="center"/>
                </w:tcPr>
                <w:p w14:paraId="2E9F55E5">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900-002-S17</w:t>
                  </w:r>
                </w:p>
              </w:tc>
              <w:tc>
                <w:tcPr>
                  <w:tcW w:w="603" w:type="pct"/>
                  <w:tcBorders>
                    <w:tl2br w:val="nil"/>
                    <w:tr2bl w:val="nil"/>
                  </w:tcBorders>
                  <w:vAlign w:val="center"/>
                </w:tcPr>
                <w:p w14:paraId="18FB8B36">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3</w:t>
                  </w:r>
                </w:p>
              </w:tc>
              <w:tc>
                <w:tcPr>
                  <w:tcW w:w="434" w:type="pct"/>
                  <w:vMerge w:val="continue"/>
                  <w:tcBorders>
                    <w:tl2br w:val="nil"/>
                    <w:tr2bl w:val="nil"/>
                  </w:tcBorders>
                  <w:vAlign w:val="center"/>
                </w:tcPr>
                <w:p w14:paraId="0E2C13D6">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436" w:type="pct"/>
                  <w:tcBorders>
                    <w:tl2br w:val="nil"/>
                    <w:tr2bl w:val="nil"/>
                  </w:tcBorders>
                  <w:vAlign w:val="center"/>
                </w:tcPr>
                <w:p w14:paraId="2CF5D4FF">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5AD345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65" w:hRule="atLeast"/>
              </w:trPr>
              <w:tc>
                <w:tcPr>
                  <w:tcW w:w="231" w:type="pct"/>
                  <w:vMerge w:val="continue"/>
                  <w:tcBorders>
                    <w:tl2br w:val="nil"/>
                    <w:tr2bl w:val="nil"/>
                  </w:tcBorders>
                  <w:vAlign w:val="center"/>
                </w:tcPr>
                <w:p w14:paraId="01C48CB5">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410" w:type="pct"/>
                  <w:tcBorders>
                    <w:tl2br w:val="nil"/>
                    <w:tr2bl w:val="nil"/>
                  </w:tcBorders>
                  <w:vAlign w:val="center"/>
                </w:tcPr>
                <w:p w14:paraId="14EC698B">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沉淀池</w:t>
                  </w:r>
                </w:p>
              </w:tc>
              <w:tc>
                <w:tcPr>
                  <w:tcW w:w="410" w:type="pct"/>
                  <w:tcBorders>
                    <w:tl2br w:val="nil"/>
                    <w:tr2bl w:val="nil"/>
                  </w:tcBorders>
                  <w:vAlign w:val="center"/>
                </w:tcPr>
                <w:p w14:paraId="3250CF3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沉淀池污泥</w:t>
                  </w:r>
                </w:p>
              </w:tc>
              <w:tc>
                <w:tcPr>
                  <w:tcW w:w="410" w:type="pct"/>
                  <w:tcBorders>
                    <w:tl2br w:val="nil"/>
                    <w:tr2bl w:val="nil"/>
                  </w:tcBorders>
                  <w:vAlign w:val="center"/>
                </w:tcPr>
                <w:p w14:paraId="63E3791F">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半固态</w:t>
                  </w:r>
                </w:p>
              </w:tc>
              <w:tc>
                <w:tcPr>
                  <w:tcW w:w="495" w:type="pct"/>
                  <w:tcBorders>
                    <w:tl2br w:val="nil"/>
                    <w:tr2bl w:val="nil"/>
                  </w:tcBorders>
                  <w:vAlign w:val="center"/>
                </w:tcPr>
                <w:p w14:paraId="58835A39">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污泥</w:t>
                  </w:r>
                </w:p>
              </w:tc>
              <w:tc>
                <w:tcPr>
                  <w:tcW w:w="539" w:type="pct"/>
                  <w:vMerge w:val="continue"/>
                  <w:tcBorders>
                    <w:tl2br w:val="nil"/>
                    <w:tr2bl w:val="nil"/>
                  </w:tcBorders>
                  <w:vAlign w:val="center"/>
                </w:tcPr>
                <w:p w14:paraId="5F24493D">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p>
              </w:tc>
              <w:tc>
                <w:tcPr>
                  <w:tcW w:w="444" w:type="pct"/>
                  <w:tcBorders>
                    <w:tl2br w:val="nil"/>
                    <w:tr2bl w:val="nil"/>
                  </w:tcBorders>
                  <w:vAlign w:val="center"/>
                </w:tcPr>
                <w:p w14:paraId="46E07217">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SW07</w:t>
                  </w:r>
                </w:p>
              </w:tc>
              <w:tc>
                <w:tcPr>
                  <w:tcW w:w="581" w:type="pct"/>
                  <w:tcBorders>
                    <w:tl2br w:val="nil"/>
                    <w:tr2bl w:val="nil"/>
                  </w:tcBorders>
                  <w:vAlign w:val="center"/>
                </w:tcPr>
                <w:p w14:paraId="12B8820E">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 xml:space="preserve">900-099-S07 </w:t>
                  </w:r>
                </w:p>
              </w:tc>
              <w:tc>
                <w:tcPr>
                  <w:tcW w:w="603" w:type="pct"/>
                  <w:tcBorders>
                    <w:tl2br w:val="nil"/>
                    <w:tr2bl w:val="nil"/>
                  </w:tcBorders>
                  <w:vAlign w:val="center"/>
                </w:tcPr>
                <w:p w14:paraId="218EAB39">
                  <w:pPr>
                    <w:jc w:val="center"/>
                    <w:textAlignment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aps w:val="0"/>
                      <w:color w:val="000000" w:themeColor="text1"/>
                      <w:szCs w:val="21"/>
                      <w:highlight w:val="none"/>
                      <w:lang w:val="en-US" w:eastAsia="zh-CN"/>
                      <w14:textFill>
                        <w14:solidFill>
                          <w14:schemeClr w14:val="tx1"/>
                        </w14:solidFill>
                      </w14:textFill>
                    </w:rPr>
                    <w:t>0.0312</w:t>
                  </w:r>
                </w:p>
              </w:tc>
              <w:tc>
                <w:tcPr>
                  <w:tcW w:w="434" w:type="pct"/>
                  <w:tcBorders>
                    <w:tl2br w:val="nil"/>
                    <w:tr2bl w:val="nil"/>
                  </w:tcBorders>
                  <w:vAlign w:val="center"/>
                </w:tcPr>
                <w:p w14:paraId="31649EB6">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aps w:val="0"/>
                      <w:color w:val="000000" w:themeColor="text1"/>
                      <w:kern w:val="2"/>
                      <w:sz w:val="21"/>
                      <w:szCs w:val="21"/>
                      <w:highlight w:val="none"/>
                      <w:lang w:val="en-US" w:eastAsia="zh-CN" w:bidi="ar-SA"/>
                      <w14:textFill>
                        <w14:solidFill>
                          <w14:schemeClr w14:val="tx1"/>
                        </w14:solidFill>
                      </w14:textFill>
                    </w:rPr>
                    <w:t>交由一般固废处置公司处理</w:t>
                  </w:r>
                </w:p>
              </w:tc>
              <w:tc>
                <w:tcPr>
                  <w:tcW w:w="436" w:type="pct"/>
                  <w:tcBorders>
                    <w:tl2br w:val="nil"/>
                    <w:tr2bl w:val="nil"/>
                  </w:tcBorders>
                  <w:vAlign w:val="center"/>
                </w:tcPr>
                <w:p w14:paraId="58312EF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0</w:t>
                  </w:r>
                </w:p>
              </w:tc>
            </w:tr>
            <w:tr w14:paraId="63387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63" w:hRule="atLeast"/>
              </w:trPr>
              <w:tc>
                <w:tcPr>
                  <w:tcW w:w="231" w:type="pct"/>
                  <w:vMerge w:val="restart"/>
                  <w:tcBorders>
                    <w:tl2br w:val="nil"/>
                    <w:tr2bl w:val="nil"/>
                  </w:tcBorders>
                  <w:vAlign w:val="center"/>
                </w:tcPr>
                <w:p w14:paraId="3042CA63">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危险废物</w:t>
                  </w:r>
                </w:p>
              </w:tc>
              <w:tc>
                <w:tcPr>
                  <w:tcW w:w="410" w:type="pct"/>
                  <w:tcBorders>
                    <w:tl2br w:val="nil"/>
                    <w:tr2bl w:val="nil"/>
                  </w:tcBorders>
                  <w:vAlign w:val="center"/>
                </w:tcPr>
                <w:p w14:paraId="092BF889">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维修保养</w:t>
                  </w:r>
                </w:p>
              </w:tc>
              <w:tc>
                <w:tcPr>
                  <w:tcW w:w="410" w:type="pct"/>
                  <w:tcBorders>
                    <w:tl2br w:val="nil"/>
                    <w:tr2bl w:val="nil"/>
                  </w:tcBorders>
                  <w:vAlign w:val="center"/>
                </w:tcPr>
                <w:p w14:paraId="3EF5CA96">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w:t>
                  </w:r>
                </w:p>
              </w:tc>
              <w:tc>
                <w:tcPr>
                  <w:tcW w:w="410" w:type="pct"/>
                  <w:tcBorders>
                    <w:tl2br w:val="nil"/>
                    <w:tr2bl w:val="nil"/>
                  </w:tcBorders>
                  <w:vAlign w:val="center"/>
                </w:tcPr>
                <w:p w14:paraId="7AB321F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液态</w:t>
                  </w:r>
                </w:p>
              </w:tc>
              <w:tc>
                <w:tcPr>
                  <w:tcW w:w="495" w:type="pct"/>
                  <w:tcBorders>
                    <w:tl2br w:val="nil"/>
                    <w:tr2bl w:val="nil"/>
                  </w:tcBorders>
                  <w:vAlign w:val="center"/>
                </w:tcPr>
                <w:p w14:paraId="0B05FEC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润滑油</w:t>
                  </w:r>
                </w:p>
              </w:tc>
              <w:tc>
                <w:tcPr>
                  <w:tcW w:w="539" w:type="pct"/>
                  <w:vMerge w:val="restart"/>
                  <w:tcBorders>
                    <w:tl2br w:val="nil"/>
                    <w:tr2bl w:val="nil"/>
                  </w:tcBorders>
                  <w:vAlign w:val="center"/>
                </w:tcPr>
                <w:p w14:paraId="05A03F6C">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《国家危险废物名录》（20</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25</w:t>
                  </w:r>
                  <w:r>
                    <w:rPr>
                      <w:rFonts w:hint="default" w:ascii="Times New Roman" w:hAnsi="Times New Roman" w:eastAsia="宋体" w:cs="Times New Roman"/>
                      <w:caps w:val="0"/>
                      <w:color w:val="000000" w:themeColor="text1"/>
                      <w:szCs w:val="21"/>
                      <w:highlight w:val="none"/>
                      <w14:textFill>
                        <w14:solidFill>
                          <w14:schemeClr w14:val="tx1"/>
                        </w14:solidFill>
                      </w14:textFill>
                    </w:rPr>
                    <w:t>年）</w:t>
                  </w:r>
                </w:p>
              </w:tc>
              <w:tc>
                <w:tcPr>
                  <w:tcW w:w="444" w:type="pct"/>
                  <w:tcBorders>
                    <w:tl2br w:val="nil"/>
                    <w:tr2bl w:val="nil"/>
                  </w:tcBorders>
                  <w:vAlign w:val="center"/>
                </w:tcPr>
                <w:p w14:paraId="747689E5">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08</w:t>
                  </w:r>
                </w:p>
              </w:tc>
              <w:tc>
                <w:tcPr>
                  <w:tcW w:w="581" w:type="pct"/>
                  <w:tcBorders>
                    <w:tl2br w:val="nil"/>
                    <w:tr2bl w:val="nil"/>
                  </w:tcBorders>
                  <w:vAlign w:val="center"/>
                </w:tcPr>
                <w:p w14:paraId="3BB9ACF0">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 xml:space="preserve"> 900-214-08</w:t>
                  </w:r>
                </w:p>
              </w:tc>
              <w:tc>
                <w:tcPr>
                  <w:tcW w:w="603" w:type="pct"/>
                  <w:tcBorders>
                    <w:tl2br w:val="nil"/>
                    <w:tr2bl w:val="nil"/>
                  </w:tcBorders>
                  <w:vAlign w:val="center"/>
                </w:tcPr>
                <w:p w14:paraId="1B638ABB">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0.45</w:t>
                  </w:r>
                </w:p>
              </w:tc>
              <w:tc>
                <w:tcPr>
                  <w:tcW w:w="434" w:type="pct"/>
                  <w:vMerge w:val="restart"/>
                  <w:tcBorders>
                    <w:tl2br w:val="nil"/>
                    <w:tr2bl w:val="nil"/>
                  </w:tcBorders>
                  <w:vAlign w:val="center"/>
                </w:tcPr>
                <w:p w14:paraId="2A01851B">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厂内集中收集，暂存在危废暂存库内，委托有资质单位处置</w:t>
                  </w:r>
                </w:p>
              </w:tc>
              <w:tc>
                <w:tcPr>
                  <w:tcW w:w="436" w:type="pct"/>
                  <w:tcBorders>
                    <w:tl2br w:val="nil"/>
                    <w:tr2bl w:val="nil"/>
                  </w:tcBorders>
                  <w:vAlign w:val="center"/>
                </w:tcPr>
                <w:p w14:paraId="0080890F">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7285BC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63" w:hRule="atLeast"/>
              </w:trPr>
              <w:tc>
                <w:tcPr>
                  <w:tcW w:w="231" w:type="pct"/>
                  <w:vMerge w:val="continue"/>
                  <w:tcBorders>
                    <w:tl2br w:val="nil"/>
                    <w:tr2bl w:val="nil"/>
                  </w:tcBorders>
                  <w:vAlign w:val="center"/>
                </w:tcPr>
                <w:p w14:paraId="25BEC34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410" w:type="pct"/>
                  <w:tcBorders>
                    <w:tl2br w:val="nil"/>
                    <w:tr2bl w:val="nil"/>
                  </w:tcBorders>
                  <w:vAlign w:val="center"/>
                </w:tcPr>
                <w:p w14:paraId="02B6A95E">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维修保养</w:t>
                  </w:r>
                </w:p>
              </w:tc>
              <w:tc>
                <w:tcPr>
                  <w:tcW w:w="410" w:type="pct"/>
                  <w:tcBorders>
                    <w:tl2br w:val="nil"/>
                    <w:tr2bl w:val="nil"/>
                  </w:tcBorders>
                  <w:vAlign w:val="center"/>
                </w:tcPr>
                <w:p w14:paraId="76D27DA5">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废润滑油桶</w:t>
                  </w:r>
                </w:p>
              </w:tc>
              <w:tc>
                <w:tcPr>
                  <w:tcW w:w="410" w:type="pct"/>
                  <w:tcBorders>
                    <w:tl2br w:val="nil"/>
                    <w:tr2bl w:val="nil"/>
                  </w:tcBorders>
                  <w:vAlign w:val="center"/>
                </w:tcPr>
                <w:p w14:paraId="7AA08FA8">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5AB0834B">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润滑油</w:t>
                  </w:r>
                </w:p>
              </w:tc>
              <w:tc>
                <w:tcPr>
                  <w:tcW w:w="539" w:type="pct"/>
                  <w:vMerge w:val="continue"/>
                  <w:tcBorders>
                    <w:tl2br w:val="nil"/>
                    <w:tr2bl w:val="nil"/>
                  </w:tcBorders>
                  <w:vAlign w:val="center"/>
                </w:tcPr>
                <w:p w14:paraId="4A9FE29F">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44" w:type="pct"/>
                  <w:tcBorders>
                    <w:tl2br w:val="nil"/>
                    <w:tr2bl w:val="nil"/>
                  </w:tcBorders>
                  <w:vAlign w:val="center"/>
                </w:tcPr>
                <w:p w14:paraId="68AB7A32">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08</w:t>
                  </w:r>
                </w:p>
              </w:tc>
              <w:tc>
                <w:tcPr>
                  <w:tcW w:w="581" w:type="pct"/>
                  <w:tcBorders>
                    <w:tl2br w:val="nil"/>
                    <w:tr2bl w:val="nil"/>
                  </w:tcBorders>
                  <w:vAlign w:val="center"/>
                </w:tcPr>
                <w:p w14:paraId="4121F87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 xml:space="preserve"> 900-2</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49</w:t>
                  </w:r>
                  <w:r>
                    <w:rPr>
                      <w:rFonts w:hint="default" w:ascii="Times New Roman" w:hAnsi="Times New Roman" w:eastAsia="宋体" w:cs="Times New Roman"/>
                      <w:caps w:val="0"/>
                      <w:color w:val="000000" w:themeColor="text1"/>
                      <w:szCs w:val="21"/>
                      <w:highlight w:val="none"/>
                      <w14:textFill>
                        <w14:solidFill>
                          <w14:schemeClr w14:val="tx1"/>
                        </w14:solidFill>
                      </w14:textFill>
                    </w:rPr>
                    <w:t>-08</w:t>
                  </w:r>
                </w:p>
              </w:tc>
              <w:tc>
                <w:tcPr>
                  <w:tcW w:w="603" w:type="pct"/>
                  <w:tcBorders>
                    <w:tl2br w:val="nil"/>
                    <w:tr2bl w:val="nil"/>
                  </w:tcBorders>
                  <w:vAlign w:val="center"/>
                </w:tcPr>
                <w:p w14:paraId="42D60819">
                  <w:pPr>
                    <w:jc w:val="center"/>
                    <w:textAlignment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0.32</w:t>
                  </w:r>
                </w:p>
              </w:tc>
              <w:tc>
                <w:tcPr>
                  <w:tcW w:w="434" w:type="pct"/>
                  <w:vMerge w:val="continue"/>
                  <w:tcBorders>
                    <w:tl2br w:val="nil"/>
                    <w:tr2bl w:val="nil"/>
                  </w:tcBorders>
                  <w:vAlign w:val="center"/>
                </w:tcPr>
                <w:p w14:paraId="173A1FA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36" w:type="pct"/>
                  <w:tcBorders>
                    <w:tl2br w:val="nil"/>
                    <w:tr2bl w:val="nil"/>
                  </w:tcBorders>
                  <w:vAlign w:val="center"/>
                </w:tcPr>
                <w:p w14:paraId="68945DC1">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w:t>
                  </w:r>
                </w:p>
              </w:tc>
            </w:tr>
            <w:tr w14:paraId="1B28A2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01" w:hRule="atLeast"/>
              </w:trPr>
              <w:tc>
                <w:tcPr>
                  <w:tcW w:w="231" w:type="pct"/>
                  <w:vMerge w:val="continue"/>
                  <w:tcBorders>
                    <w:tl2br w:val="nil"/>
                    <w:tr2bl w:val="nil"/>
                  </w:tcBorders>
                  <w:vAlign w:val="center"/>
                </w:tcPr>
                <w:p w14:paraId="05CA5CA6">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410" w:type="pct"/>
                  <w:tcBorders>
                    <w:tl2br w:val="nil"/>
                    <w:tr2bl w:val="nil"/>
                  </w:tcBorders>
                  <w:vAlign w:val="center"/>
                </w:tcPr>
                <w:p w14:paraId="27E95ABA">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原料使用</w:t>
                  </w:r>
                </w:p>
              </w:tc>
              <w:tc>
                <w:tcPr>
                  <w:tcW w:w="410" w:type="pct"/>
                  <w:tcBorders>
                    <w:tl2br w:val="nil"/>
                    <w:tr2bl w:val="nil"/>
                  </w:tcBorders>
                  <w:vAlign w:val="center"/>
                </w:tcPr>
                <w:p w14:paraId="36C93FDF">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废包装桶</w:t>
                  </w:r>
                </w:p>
              </w:tc>
              <w:tc>
                <w:tcPr>
                  <w:tcW w:w="410" w:type="pct"/>
                  <w:tcBorders>
                    <w:tl2br w:val="nil"/>
                    <w:tr2bl w:val="nil"/>
                  </w:tcBorders>
                  <w:vAlign w:val="center"/>
                </w:tcPr>
                <w:p w14:paraId="44F56F63">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2C6B8D08">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有机物</w:t>
                  </w:r>
                </w:p>
              </w:tc>
              <w:tc>
                <w:tcPr>
                  <w:tcW w:w="539" w:type="pct"/>
                  <w:vMerge w:val="continue"/>
                  <w:tcBorders>
                    <w:tl2br w:val="nil"/>
                    <w:tr2bl w:val="nil"/>
                  </w:tcBorders>
                  <w:vAlign w:val="center"/>
                </w:tcPr>
                <w:p w14:paraId="4DAC6139">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44" w:type="pct"/>
                  <w:tcBorders>
                    <w:tl2br w:val="nil"/>
                    <w:tr2bl w:val="nil"/>
                  </w:tcBorders>
                  <w:vAlign w:val="center"/>
                </w:tcPr>
                <w:p w14:paraId="6E680F1F">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49</w:t>
                  </w:r>
                </w:p>
              </w:tc>
              <w:tc>
                <w:tcPr>
                  <w:tcW w:w="581" w:type="pct"/>
                  <w:tcBorders>
                    <w:tl2br w:val="nil"/>
                    <w:tr2bl w:val="nil"/>
                  </w:tcBorders>
                  <w:vAlign w:val="center"/>
                </w:tcPr>
                <w:p w14:paraId="0044F3DB">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900-041-49</w:t>
                  </w:r>
                </w:p>
              </w:tc>
              <w:tc>
                <w:tcPr>
                  <w:tcW w:w="603" w:type="pct"/>
                  <w:tcBorders>
                    <w:tl2br w:val="nil"/>
                    <w:tr2bl w:val="nil"/>
                  </w:tcBorders>
                  <w:vAlign w:val="center"/>
                </w:tcPr>
                <w:p w14:paraId="0B48157D">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0.001</w:t>
                  </w:r>
                </w:p>
              </w:tc>
              <w:tc>
                <w:tcPr>
                  <w:tcW w:w="434" w:type="pct"/>
                  <w:vMerge w:val="continue"/>
                  <w:tcBorders>
                    <w:tl2br w:val="nil"/>
                    <w:tr2bl w:val="nil"/>
                  </w:tcBorders>
                  <w:vAlign w:val="center"/>
                </w:tcPr>
                <w:p w14:paraId="695F23C2">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36" w:type="pct"/>
                  <w:tcBorders>
                    <w:tl2br w:val="nil"/>
                    <w:tr2bl w:val="nil"/>
                  </w:tcBorders>
                  <w:vAlign w:val="center"/>
                </w:tcPr>
                <w:p w14:paraId="0D679DD3">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0B39DA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01" w:hRule="atLeast"/>
              </w:trPr>
              <w:tc>
                <w:tcPr>
                  <w:tcW w:w="231" w:type="pct"/>
                  <w:vMerge w:val="continue"/>
                  <w:tcBorders>
                    <w:tl2br w:val="nil"/>
                    <w:tr2bl w:val="nil"/>
                  </w:tcBorders>
                  <w:vAlign w:val="center"/>
                </w:tcPr>
                <w:p w14:paraId="49979691">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p>
              </w:tc>
              <w:tc>
                <w:tcPr>
                  <w:tcW w:w="410" w:type="pct"/>
                  <w:tcBorders>
                    <w:tl2br w:val="nil"/>
                    <w:tr2bl w:val="nil"/>
                  </w:tcBorders>
                  <w:vAlign w:val="center"/>
                </w:tcPr>
                <w:p w14:paraId="6035826A">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冲压</w:t>
                  </w:r>
                </w:p>
              </w:tc>
              <w:tc>
                <w:tcPr>
                  <w:tcW w:w="410" w:type="pct"/>
                  <w:tcBorders>
                    <w:tl2br w:val="nil"/>
                    <w:tr2bl w:val="nil"/>
                  </w:tcBorders>
                  <w:vAlign w:val="center"/>
                </w:tcPr>
                <w:p w14:paraId="21D2C74E">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含切削液的废金属屑</w:t>
                  </w:r>
                </w:p>
              </w:tc>
              <w:tc>
                <w:tcPr>
                  <w:tcW w:w="647" w:type="dxa"/>
                  <w:tcBorders>
                    <w:tl2br w:val="nil"/>
                    <w:tr2bl w:val="nil"/>
                  </w:tcBorders>
                  <w:vAlign w:val="center"/>
                </w:tcPr>
                <w:p w14:paraId="4CD7C7D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781" w:type="dxa"/>
                  <w:tcBorders>
                    <w:tl2br w:val="nil"/>
                    <w:tr2bl w:val="nil"/>
                  </w:tcBorders>
                  <w:vAlign w:val="center"/>
                </w:tcPr>
                <w:p w14:paraId="3548C859">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切削液</w:t>
                  </w:r>
                </w:p>
              </w:tc>
              <w:tc>
                <w:tcPr>
                  <w:tcW w:w="539" w:type="pct"/>
                  <w:vMerge w:val="continue"/>
                  <w:tcBorders>
                    <w:tl2br w:val="nil"/>
                    <w:tr2bl w:val="nil"/>
                  </w:tcBorders>
                  <w:vAlign w:val="center"/>
                </w:tcPr>
                <w:p w14:paraId="1362BA84">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700" w:type="dxa"/>
                  <w:tcBorders>
                    <w:tl2br w:val="nil"/>
                    <w:tr2bl w:val="nil"/>
                  </w:tcBorders>
                  <w:vAlign w:val="center"/>
                </w:tcPr>
                <w:p w14:paraId="37EC6DEC">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09</w:t>
                  </w:r>
                </w:p>
              </w:tc>
              <w:tc>
                <w:tcPr>
                  <w:tcW w:w="916" w:type="dxa"/>
                  <w:tcBorders>
                    <w:tl2br w:val="nil"/>
                    <w:tr2bl w:val="nil"/>
                  </w:tcBorders>
                  <w:vAlign w:val="center"/>
                </w:tcPr>
                <w:p w14:paraId="0B41A167">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900-006-09</w:t>
                  </w:r>
                </w:p>
              </w:tc>
              <w:tc>
                <w:tcPr>
                  <w:tcW w:w="603" w:type="pct"/>
                  <w:tcBorders>
                    <w:tl2br w:val="nil"/>
                    <w:tr2bl w:val="nil"/>
                  </w:tcBorders>
                  <w:vAlign w:val="center"/>
                </w:tcPr>
                <w:p w14:paraId="4002E2A8">
                  <w:pPr>
                    <w:jc w:val="center"/>
                    <w:textAlignment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0.1</w:t>
                  </w:r>
                </w:p>
              </w:tc>
              <w:tc>
                <w:tcPr>
                  <w:tcW w:w="434" w:type="pct"/>
                  <w:vMerge w:val="continue"/>
                  <w:tcBorders>
                    <w:tl2br w:val="nil"/>
                    <w:tr2bl w:val="nil"/>
                  </w:tcBorders>
                  <w:vAlign w:val="center"/>
                </w:tcPr>
                <w:p w14:paraId="71966FF2">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36" w:type="pct"/>
                  <w:tcBorders>
                    <w:tl2br w:val="nil"/>
                    <w:tr2bl w:val="nil"/>
                  </w:tcBorders>
                  <w:vAlign w:val="center"/>
                </w:tcPr>
                <w:p w14:paraId="3E56BC0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cs="Times New Roman"/>
                      <w:caps w:val="0"/>
                      <w:color w:val="000000" w:themeColor="text1"/>
                      <w:szCs w:val="21"/>
                      <w:highlight w:val="none"/>
                      <w:lang w:val="en-US" w:eastAsia="zh-CN"/>
                      <w14:textFill>
                        <w14:solidFill>
                          <w14:schemeClr w14:val="tx1"/>
                        </w14:solidFill>
                      </w14:textFill>
                    </w:rPr>
                    <w:t>0</w:t>
                  </w:r>
                </w:p>
              </w:tc>
            </w:tr>
            <w:tr w14:paraId="519498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63" w:hRule="atLeast"/>
              </w:trPr>
              <w:tc>
                <w:tcPr>
                  <w:tcW w:w="231" w:type="pct"/>
                  <w:vMerge w:val="continue"/>
                  <w:tcBorders>
                    <w:tl2br w:val="nil"/>
                    <w:tr2bl w:val="nil"/>
                  </w:tcBorders>
                  <w:vAlign w:val="center"/>
                </w:tcPr>
                <w:p w14:paraId="40CE4938">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10" w:type="pct"/>
                  <w:tcBorders>
                    <w:tl2br w:val="nil"/>
                    <w:tr2bl w:val="nil"/>
                  </w:tcBorders>
                  <w:vAlign w:val="center"/>
                </w:tcPr>
                <w:p w14:paraId="6F5BBDE1">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冲压</w:t>
                  </w:r>
                </w:p>
              </w:tc>
              <w:tc>
                <w:tcPr>
                  <w:tcW w:w="410" w:type="pct"/>
                  <w:tcBorders>
                    <w:tl2br w:val="nil"/>
                    <w:tr2bl w:val="nil"/>
                  </w:tcBorders>
                  <w:vAlign w:val="center"/>
                </w:tcPr>
                <w:p w14:paraId="7965361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废切削液</w:t>
                  </w:r>
                </w:p>
              </w:tc>
              <w:tc>
                <w:tcPr>
                  <w:tcW w:w="410" w:type="pct"/>
                  <w:tcBorders>
                    <w:tl2br w:val="nil"/>
                    <w:tr2bl w:val="nil"/>
                  </w:tcBorders>
                  <w:vAlign w:val="center"/>
                </w:tcPr>
                <w:p w14:paraId="6472731C">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6E70AE32">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切削液</w:t>
                  </w:r>
                </w:p>
              </w:tc>
              <w:tc>
                <w:tcPr>
                  <w:tcW w:w="539" w:type="pct"/>
                  <w:vMerge w:val="continue"/>
                  <w:tcBorders>
                    <w:tl2br w:val="nil"/>
                    <w:tr2bl w:val="nil"/>
                  </w:tcBorders>
                  <w:vAlign w:val="center"/>
                </w:tcPr>
                <w:p w14:paraId="278B2889">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44" w:type="pct"/>
                  <w:tcBorders>
                    <w:tl2br w:val="nil"/>
                    <w:tr2bl w:val="nil"/>
                  </w:tcBorders>
                  <w:vAlign w:val="center"/>
                </w:tcPr>
                <w:p w14:paraId="61101D34">
                  <w:pPr>
                    <w:jc w:val="center"/>
                    <w:rPr>
                      <w:rFonts w:hint="default" w:ascii="Times New Roman" w:hAnsi="Times New Roman" w:eastAsia="宋体" w:cs="Times New Roman"/>
                      <w:caps w:val="0"/>
                      <w:color w:val="000000" w:themeColor="text1"/>
                      <w:szCs w:val="21"/>
                      <w:highlight w:val="none"/>
                      <w:lang w:val="en-US"/>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09</w:t>
                  </w:r>
                </w:p>
              </w:tc>
              <w:tc>
                <w:tcPr>
                  <w:tcW w:w="581" w:type="pct"/>
                  <w:tcBorders>
                    <w:tl2br w:val="nil"/>
                    <w:tr2bl w:val="nil"/>
                  </w:tcBorders>
                  <w:vAlign w:val="center"/>
                </w:tcPr>
                <w:p w14:paraId="5A25C08F">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900-006-09</w:t>
                  </w:r>
                </w:p>
              </w:tc>
              <w:tc>
                <w:tcPr>
                  <w:tcW w:w="603" w:type="pct"/>
                  <w:tcBorders>
                    <w:tl2br w:val="nil"/>
                    <w:tr2bl w:val="nil"/>
                  </w:tcBorders>
                  <w:vAlign w:val="center"/>
                </w:tcPr>
                <w:p w14:paraId="7E4F100E">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0.042</w:t>
                  </w:r>
                </w:p>
              </w:tc>
              <w:tc>
                <w:tcPr>
                  <w:tcW w:w="434" w:type="pct"/>
                  <w:vMerge w:val="continue"/>
                  <w:tcBorders>
                    <w:tl2br w:val="nil"/>
                    <w:tr2bl w:val="nil"/>
                  </w:tcBorders>
                  <w:vAlign w:val="center"/>
                </w:tcPr>
                <w:p w14:paraId="07926CA7">
                  <w:pPr>
                    <w:jc w:val="center"/>
                    <w:textAlignment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36" w:type="pct"/>
                  <w:tcBorders>
                    <w:tl2br w:val="nil"/>
                    <w:tr2bl w:val="nil"/>
                  </w:tcBorders>
                  <w:vAlign w:val="center"/>
                </w:tcPr>
                <w:p w14:paraId="0A496400">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528116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25" w:hRule="atLeast"/>
              </w:trPr>
              <w:tc>
                <w:tcPr>
                  <w:tcW w:w="231" w:type="pct"/>
                  <w:vMerge w:val="continue"/>
                  <w:tcBorders>
                    <w:tl2br w:val="nil"/>
                    <w:tr2bl w:val="nil"/>
                  </w:tcBorders>
                  <w:vAlign w:val="center"/>
                </w:tcPr>
                <w:p w14:paraId="6C7103DF">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10" w:type="pct"/>
                  <w:tcBorders>
                    <w:tl2br w:val="nil"/>
                    <w:tr2bl w:val="nil"/>
                  </w:tcBorders>
                  <w:vAlign w:val="center"/>
                </w:tcPr>
                <w:p w14:paraId="3F39920F">
                  <w:pPr>
                    <w:jc w:val="center"/>
                    <w:rPr>
                      <w:rFonts w:hint="default" w:ascii="Times New Roman" w:hAnsi="Times New Roman" w:cs="Times New Roman"/>
                      <w:caps w:val="0"/>
                      <w:color w:val="000000" w:themeColor="text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废气处理</w:t>
                  </w:r>
                </w:p>
              </w:tc>
              <w:tc>
                <w:tcPr>
                  <w:tcW w:w="410" w:type="pct"/>
                  <w:tcBorders>
                    <w:tl2br w:val="nil"/>
                    <w:tr2bl w:val="nil"/>
                  </w:tcBorders>
                  <w:vAlign w:val="center"/>
                </w:tcPr>
                <w:p w14:paraId="753E0340">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cs="Times New Roman"/>
                      <w:caps w:val="0"/>
                      <w:color w:val="000000" w:themeColor="text1"/>
                      <w:highlight w:val="none"/>
                      <w:lang w:val="en-US" w:eastAsia="zh-CN"/>
                      <w14:textFill>
                        <w14:solidFill>
                          <w14:schemeClr w14:val="tx1"/>
                        </w14:solidFill>
                      </w14:textFill>
                    </w:rPr>
                    <w:t>废活性炭</w:t>
                  </w:r>
                </w:p>
              </w:tc>
              <w:tc>
                <w:tcPr>
                  <w:tcW w:w="410" w:type="pct"/>
                  <w:tcBorders>
                    <w:tl2br w:val="nil"/>
                    <w:tr2bl w:val="nil"/>
                  </w:tcBorders>
                  <w:vAlign w:val="center"/>
                </w:tcPr>
                <w:p w14:paraId="6AADE3D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424FAFCA">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有机废气</w:t>
                  </w:r>
                </w:p>
              </w:tc>
              <w:tc>
                <w:tcPr>
                  <w:tcW w:w="539" w:type="pct"/>
                  <w:vMerge w:val="continue"/>
                  <w:tcBorders>
                    <w:tl2br w:val="nil"/>
                    <w:tr2bl w:val="nil"/>
                  </w:tcBorders>
                  <w:vAlign w:val="center"/>
                </w:tcPr>
                <w:p w14:paraId="15E28F44">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44" w:type="pct"/>
                  <w:tcBorders>
                    <w:tl2br w:val="nil"/>
                    <w:tr2bl w:val="nil"/>
                  </w:tcBorders>
                  <w:vAlign w:val="center"/>
                </w:tcPr>
                <w:p w14:paraId="31CD6C45">
                  <w:pPr>
                    <w:jc w:val="center"/>
                    <w:rPr>
                      <w:rFonts w:hint="default" w:ascii="Times New Roman" w:hAnsi="Times New Roman" w:eastAsia="宋体" w:cs="Times New Roman"/>
                      <w:caps w:val="0"/>
                      <w:color w:val="000000" w:themeColor="text1"/>
                      <w:szCs w:val="21"/>
                      <w:highlight w:val="none"/>
                      <w:lang w:val="en-US"/>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HW</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49</w:t>
                  </w:r>
                </w:p>
              </w:tc>
              <w:tc>
                <w:tcPr>
                  <w:tcW w:w="581" w:type="pct"/>
                  <w:tcBorders>
                    <w:tl2br w:val="nil"/>
                    <w:tr2bl w:val="nil"/>
                  </w:tcBorders>
                  <w:vAlign w:val="center"/>
                </w:tcPr>
                <w:p w14:paraId="584DAC6E">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900-039-49</w:t>
                  </w:r>
                </w:p>
              </w:tc>
              <w:tc>
                <w:tcPr>
                  <w:tcW w:w="603" w:type="pct"/>
                  <w:tcBorders>
                    <w:tl2br w:val="nil"/>
                    <w:tr2bl w:val="nil"/>
                  </w:tcBorders>
                  <w:vAlign w:val="center"/>
                </w:tcPr>
                <w:p w14:paraId="734E905C">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1.053</w:t>
                  </w:r>
                </w:p>
              </w:tc>
              <w:tc>
                <w:tcPr>
                  <w:tcW w:w="434" w:type="pct"/>
                  <w:vMerge w:val="continue"/>
                  <w:tcBorders>
                    <w:tl2br w:val="nil"/>
                    <w:tr2bl w:val="nil"/>
                  </w:tcBorders>
                  <w:vAlign w:val="center"/>
                </w:tcPr>
                <w:p w14:paraId="05596BDD">
                  <w:pPr>
                    <w:jc w:val="center"/>
                    <w:textAlignment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436" w:type="pct"/>
                  <w:tcBorders>
                    <w:tl2br w:val="nil"/>
                    <w:tr2bl w:val="nil"/>
                  </w:tcBorders>
                  <w:vAlign w:val="center"/>
                </w:tcPr>
                <w:p w14:paraId="614A51C4">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r w14:paraId="668A83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89" w:hRule="atLeast"/>
              </w:trPr>
              <w:tc>
                <w:tcPr>
                  <w:tcW w:w="231" w:type="pct"/>
                  <w:tcBorders>
                    <w:tl2br w:val="nil"/>
                    <w:tr2bl w:val="nil"/>
                  </w:tcBorders>
                  <w:vAlign w:val="center"/>
                </w:tcPr>
                <w:p w14:paraId="714371C2">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w:t>
                  </w:r>
                </w:p>
              </w:tc>
              <w:tc>
                <w:tcPr>
                  <w:tcW w:w="410" w:type="pct"/>
                  <w:tcBorders>
                    <w:tl2br w:val="nil"/>
                    <w:tr2bl w:val="nil"/>
                  </w:tcBorders>
                  <w:vAlign w:val="center"/>
                </w:tcPr>
                <w:p w14:paraId="30747BC8">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办公生活</w:t>
                  </w:r>
                </w:p>
              </w:tc>
              <w:tc>
                <w:tcPr>
                  <w:tcW w:w="410" w:type="pct"/>
                  <w:tcBorders>
                    <w:tl2br w:val="nil"/>
                    <w:tr2bl w:val="nil"/>
                  </w:tcBorders>
                  <w:vAlign w:val="center"/>
                </w:tcPr>
                <w:p w14:paraId="3190668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生活垃圾</w:t>
                  </w:r>
                </w:p>
              </w:tc>
              <w:tc>
                <w:tcPr>
                  <w:tcW w:w="410" w:type="pct"/>
                  <w:tcBorders>
                    <w:tl2br w:val="nil"/>
                    <w:tr2bl w:val="nil"/>
                  </w:tcBorders>
                  <w:vAlign w:val="center"/>
                </w:tcPr>
                <w:p w14:paraId="6BC5CED6">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固态</w:t>
                  </w:r>
                </w:p>
              </w:tc>
              <w:tc>
                <w:tcPr>
                  <w:tcW w:w="495" w:type="pct"/>
                  <w:tcBorders>
                    <w:tl2br w:val="nil"/>
                    <w:tr2bl w:val="nil"/>
                  </w:tcBorders>
                  <w:vAlign w:val="center"/>
                </w:tcPr>
                <w:p w14:paraId="3C9B1CD1">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果皮纸屑等</w:t>
                  </w:r>
                </w:p>
              </w:tc>
              <w:tc>
                <w:tcPr>
                  <w:tcW w:w="539" w:type="pct"/>
                  <w:tcBorders>
                    <w:tl2br w:val="nil"/>
                    <w:tr2bl w:val="nil"/>
                  </w:tcBorders>
                  <w:vAlign w:val="center"/>
                </w:tcPr>
                <w:p w14:paraId="0E04A61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w:t>
                  </w:r>
                </w:p>
              </w:tc>
              <w:tc>
                <w:tcPr>
                  <w:tcW w:w="444" w:type="pct"/>
                  <w:tcBorders>
                    <w:tl2br w:val="nil"/>
                    <w:tr2bl w:val="nil"/>
                  </w:tcBorders>
                  <w:shd w:val="clear" w:color="auto" w:fill="auto"/>
                  <w:vAlign w:val="center"/>
                </w:tcPr>
                <w:p w14:paraId="47D119C4">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w:t>
                  </w:r>
                </w:p>
              </w:tc>
              <w:tc>
                <w:tcPr>
                  <w:tcW w:w="581" w:type="pct"/>
                  <w:tcBorders>
                    <w:tl2br w:val="nil"/>
                    <w:tr2bl w:val="nil"/>
                  </w:tcBorders>
                  <w:shd w:val="clear" w:color="auto" w:fill="auto"/>
                  <w:vAlign w:val="center"/>
                </w:tcPr>
                <w:p w14:paraId="01B8CCE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w:t>
                  </w:r>
                </w:p>
              </w:tc>
              <w:tc>
                <w:tcPr>
                  <w:tcW w:w="603" w:type="pct"/>
                  <w:tcBorders>
                    <w:tl2br w:val="nil"/>
                    <w:tr2bl w:val="nil"/>
                  </w:tcBorders>
                  <w:vAlign w:val="center"/>
                </w:tcPr>
                <w:p w14:paraId="7CDAE068">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22.5</w:t>
                  </w:r>
                </w:p>
              </w:tc>
              <w:tc>
                <w:tcPr>
                  <w:tcW w:w="434" w:type="pct"/>
                  <w:tcBorders>
                    <w:tl2br w:val="nil"/>
                    <w:tr2bl w:val="nil"/>
                  </w:tcBorders>
                  <w:vAlign w:val="center"/>
                </w:tcPr>
                <w:p w14:paraId="0B22C81B">
                  <w:pPr>
                    <w:jc w:val="center"/>
                    <w:textAlignment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交由环卫部门清运</w:t>
                  </w:r>
                </w:p>
              </w:tc>
              <w:tc>
                <w:tcPr>
                  <w:tcW w:w="436" w:type="pct"/>
                  <w:tcBorders>
                    <w:tl2br w:val="nil"/>
                    <w:tr2bl w:val="nil"/>
                  </w:tcBorders>
                  <w:vAlign w:val="center"/>
                </w:tcPr>
                <w:p w14:paraId="7186F798">
                  <w:pPr>
                    <w:jc w:val="center"/>
                    <w:textAlignment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0</w:t>
                  </w:r>
                </w:p>
              </w:tc>
            </w:tr>
          </w:tbl>
          <w:p w14:paraId="4D0E8028">
            <w:pPr>
              <w:snapToGrid w:val="0"/>
              <w:spacing w:line="360" w:lineRule="auto"/>
              <w:ind w:firstLine="470" w:firstLineChars="196"/>
              <w:outlineLvl w:val="3"/>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综上，建设项目产生的各类固废均能够得到有效的处理及处置，不外排。</w:t>
            </w:r>
            <w:bookmarkStart w:id="13" w:name="_Toc85978818"/>
            <w:bookmarkStart w:id="14" w:name="_Toc62011226"/>
            <w:bookmarkStart w:id="15" w:name="_Toc87096201"/>
            <w:r>
              <w:rPr>
                <w:rFonts w:hint="default" w:ascii="Times New Roman" w:hAnsi="Times New Roman" w:eastAsia="宋体" w:cs="Times New Roman"/>
                <w:b/>
                <w:caps w:val="0"/>
                <w:color w:val="000000" w:themeColor="text1"/>
                <w:sz w:val="24"/>
                <w:highlight w:val="none"/>
                <w14:textFill>
                  <w14:solidFill>
                    <w14:schemeClr w14:val="tx1"/>
                  </w14:solidFill>
                </w14:textFill>
              </w:rPr>
              <w:t>2、一般固废</w:t>
            </w:r>
            <w:bookmarkEnd w:id="13"/>
            <w:bookmarkEnd w:id="14"/>
            <w:bookmarkEnd w:id="15"/>
            <w:r>
              <w:rPr>
                <w:rFonts w:hint="default" w:ascii="Times New Roman" w:hAnsi="Times New Roman" w:eastAsia="宋体" w:cs="Times New Roman"/>
                <w:b/>
                <w:caps w:val="0"/>
                <w:color w:val="000000" w:themeColor="text1"/>
                <w:sz w:val="24"/>
                <w:highlight w:val="none"/>
                <w14:textFill>
                  <w14:solidFill>
                    <w14:schemeClr w14:val="tx1"/>
                  </w14:solidFill>
                </w14:textFill>
              </w:rPr>
              <w:t>环境影响分析</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和保护措施</w:t>
            </w:r>
          </w:p>
          <w:p w14:paraId="3AF4CECB">
            <w:pPr>
              <w:autoSpaceDE w:val="0"/>
              <w:autoSpaceDN w:val="0"/>
              <w:adjustRightInd w:val="0"/>
              <w:spacing w:line="360" w:lineRule="auto"/>
              <w:ind w:firstLine="480" w:firstLineChars="200"/>
              <w:jc w:val="left"/>
              <w:rPr>
                <w:rFonts w:hint="default" w:ascii="Times New Roman" w:hAnsi="Times New Roman" w:eastAsia="宋体" w:cs="Times New Roman"/>
                <w:color w:val="000000"/>
                <w:kern w:val="0"/>
                <w:sz w:val="24"/>
              </w:rPr>
            </w:pPr>
            <w:r>
              <w:rPr>
                <w:rFonts w:hint="default" w:ascii="Times New Roman" w:hAnsi="Times New Roman" w:eastAsia="宋体" w:cs="Times New Roman"/>
                <w:caps w:val="0"/>
                <w:color w:val="000000" w:themeColor="text1"/>
                <w:kern w:val="0"/>
                <w:sz w:val="24"/>
                <w:highlight w:val="none"/>
                <w:shd w:val="clear" w:color="auto" w:fill="FFFFFF"/>
                <w14:textFill>
                  <w14:solidFill>
                    <w14:schemeClr w14:val="tx1"/>
                  </w14:solidFill>
                </w14:textFill>
              </w:rPr>
              <w:t>本项目产生的一般固废为</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塑料边角料、塑料不合格品、废包装材料等</w:t>
            </w:r>
            <w:r>
              <w:rPr>
                <w:rFonts w:hint="default" w:ascii="Times New Roman" w:hAnsi="Times New Roman" w:eastAsia="宋体" w:cs="Times New Roman"/>
                <w:bCs/>
                <w:caps w:val="0"/>
                <w:color w:val="000000" w:themeColor="text1"/>
                <w:sz w:val="24"/>
                <w:highlight w:val="none"/>
                <w14:textFill>
                  <w14:solidFill>
                    <w14:schemeClr w14:val="tx1"/>
                  </w14:solidFill>
                </w14:textFill>
              </w:rPr>
              <w:t>。</w:t>
            </w: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本项目固体废物的产生及排放情况见</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上表</w:t>
            </w: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所示</w:t>
            </w:r>
            <w:r>
              <w:rPr>
                <w:rFonts w:hint="default" w:ascii="Times New Roman" w:hAnsi="Times New Roman" w:eastAsia="宋体" w:cs="Times New Roman"/>
                <w:caps w:val="0"/>
                <w:color w:val="000000" w:themeColor="text1"/>
                <w:kern w:val="0"/>
                <w:sz w:val="24"/>
                <w:highlight w:val="none"/>
                <w:lang w:eastAsia="zh-CN"/>
                <w14:textFill>
                  <w14:solidFill>
                    <w14:schemeClr w14:val="tx1"/>
                  </w14:solidFill>
                </w14:textFill>
              </w:rPr>
              <w:t>，</w:t>
            </w:r>
            <w:r>
              <w:rPr>
                <w:rFonts w:hint="default" w:ascii="Times New Roman" w:hAnsi="Times New Roman" w:cs="Times New Roman"/>
                <w:caps w:val="0"/>
                <w:color w:val="000000" w:themeColor="text1"/>
                <w:kern w:val="0"/>
                <w:sz w:val="24"/>
                <w:highlight w:val="none"/>
                <w:lang w:val="en-US" w:eastAsia="zh-CN"/>
                <w14:textFill>
                  <w14:solidFill>
                    <w14:schemeClr w14:val="tx1"/>
                  </w14:solidFill>
                </w14:textFill>
              </w:rPr>
              <w:t>废金属边角料、废金属碎屑、金属不合格品</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经收集后外售物资回收公司综合利用</w:t>
            </w:r>
            <w:r>
              <w:rPr>
                <w:rFonts w:hint="default" w:ascii="Times New Roman" w:hAnsi="Times New Roman" w:cs="Times New Roman"/>
                <w:caps w:val="0"/>
                <w:color w:val="000000" w:themeColor="text1"/>
                <w:kern w:val="0"/>
                <w:sz w:val="24"/>
                <w:highlight w:val="none"/>
                <w:lang w:val="en-US" w:eastAsia="zh-CN"/>
                <w14:textFill>
                  <w14:solidFill>
                    <w14:schemeClr w14:val="tx1"/>
                  </w14:solidFill>
                </w14:textFill>
              </w:rPr>
              <w:t>，塑料边角料、塑料不合格品收集后经破碎后回用</w:t>
            </w:r>
            <w:r>
              <w:rPr>
                <w:rFonts w:hint="eastAsia" w:ascii="Times New Roman" w:hAnsi="Times New Roman" w:cs="Times New Roman"/>
                <w:caps w:val="0"/>
                <w:color w:val="000000" w:themeColor="text1"/>
                <w:kern w:val="0"/>
                <w:sz w:val="24"/>
                <w:highlight w:val="none"/>
                <w:lang w:val="en-US" w:eastAsia="zh-CN"/>
                <w14:textFill>
                  <w14:solidFill>
                    <w14:schemeClr w14:val="tx1"/>
                  </w14:solidFill>
                </w14:textFill>
              </w:rPr>
              <w:t>，沉淀池污泥交由一般固废处置公司处理</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。一般固废收集后依托厂区现有一般固废暂存库暂存，位于厂区</w:t>
            </w:r>
            <w:r>
              <w:rPr>
                <w:rFonts w:hint="default" w:ascii="Times New Roman" w:hAnsi="Times New Roman" w:cs="Times New Roman"/>
                <w:caps w:val="0"/>
                <w:color w:val="000000" w:themeColor="text1"/>
                <w:kern w:val="0"/>
                <w:sz w:val="24"/>
                <w:highlight w:val="none"/>
                <w:lang w:val="en-US" w:eastAsia="zh-CN"/>
                <w14:textFill>
                  <w14:solidFill>
                    <w14:schemeClr w14:val="tx1"/>
                  </w14:solidFill>
                </w14:textFill>
              </w:rPr>
              <w:t>西</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南侧，占地面积约</w:t>
            </w:r>
            <w:r>
              <w:rPr>
                <w:rFonts w:hint="default" w:ascii="Times New Roman" w:hAnsi="Times New Roman" w:cs="Times New Roman"/>
                <w:caps w:val="0"/>
                <w:color w:val="000000" w:themeColor="text1"/>
                <w:kern w:val="0"/>
                <w:sz w:val="24"/>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0m</w:t>
            </w:r>
            <w:r>
              <w:rPr>
                <w:rFonts w:hint="default" w:ascii="Times New Roman" w:hAnsi="Times New Roman" w:eastAsia="宋体" w:cs="Times New Roman"/>
                <w:caps w:val="0"/>
                <w:color w:val="000000" w:themeColor="text1"/>
                <w:kern w:val="0"/>
                <w:sz w:val="24"/>
                <w:highlight w:val="none"/>
                <w:vertAlign w:val="superscript"/>
                <w:lang w:val="en-US" w:eastAsia="zh-CN"/>
                <w14:textFill>
                  <w14:solidFill>
                    <w14:schemeClr w14:val="tx1"/>
                  </w14:solidFill>
                </w14:textFill>
              </w:rPr>
              <w:t>2</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在一般工业固废及时外售综合利用的情况下，现有一般固废仓库剩余空间能满足本项目新增一般工业固废的储存需求。根据现场踏勘，一般固废暂存库建设满足《一般工业固体废物贮存和填埋污染控制标准》（GB18599-2020）中相关要求。一般工业固废</w:t>
            </w:r>
            <w:r>
              <w:rPr>
                <w:rFonts w:hint="default" w:ascii="Times New Roman" w:hAnsi="Times New Roman" w:eastAsia="宋体" w:cs="Times New Roman"/>
                <w:color w:val="000000"/>
                <w:kern w:val="0"/>
                <w:sz w:val="24"/>
              </w:rPr>
              <w:t>应满足如下要求：</w:t>
            </w:r>
          </w:p>
          <w:p w14:paraId="789A54A2">
            <w:pPr>
              <w:autoSpaceDE w:val="0"/>
              <w:autoSpaceDN w:val="0"/>
              <w:adjustRightInd w:val="0"/>
              <w:spacing w:line="360" w:lineRule="auto"/>
              <w:ind w:firstLine="480" w:firstLineChars="200"/>
              <w:jc w:val="left"/>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①临时堆放场应选在防渗性能好的地基上天然基础层地表距地下水位的距离不得小于1.5m。临时堆放场四周应建有围墙，防止固废流失以及造成粉尘污染。</w:t>
            </w:r>
          </w:p>
          <w:p w14:paraId="264BDFCF">
            <w:pPr>
              <w:autoSpaceDE w:val="0"/>
              <w:autoSpaceDN w:val="0"/>
              <w:adjustRightInd w:val="0"/>
              <w:spacing w:line="360" w:lineRule="auto"/>
              <w:ind w:firstLine="480" w:firstLineChars="200"/>
              <w:jc w:val="left"/>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②临时堆放场应建有防雨淋、防渗透措施。本项目储存在钢结构仓库内，地面进行硬化，可以满足防雨淋、防渗透要求。</w:t>
            </w:r>
          </w:p>
          <w:p w14:paraId="5EFF4191">
            <w:pPr>
              <w:widowControl/>
              <w:spacing w:line="360" w:lineRule="auto"/>
              <w:ind w:firstLine="480" w:firstLineChars="200"/>
              <w:jc w:val="left"/>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③为了便于管理，临时堆放场应《环境保护图形标识—固体废物贮存（处置）场》（按GB15562.2-1995）设置环境保护图形标志。</w:t>
            </w:r>
          </w:p>
          <w:p w14:paraId="0B5FAAFF">
            <w:pPr>
              <w:widowControl/>
              <w:spacing w:line="360" w:lineRule="auto"/>
              <w:ind w:firstLine="480" w:firstLineChars="200"/>
              <w:jc w:val="left"/>
              <w:rPr>
                <w:rFonts w:hint="default" w:ascii="Times New Roman" w:hAnsi="Times New Roman" w:eastAsia="宋体" w:cs="Times New Roman"/>
                <w:color w:val="000000"/>
                <w:kern w:val="0"/>
                <w:sz w:val="24"/>
              </w:rPr>
            </w:pPr>
            <w:r>
              <w:rPr>
                <w:rFonts w:hint="default" w:ascii="Times New Roman" w:hAnsi="Times New Roman" w:eastAsia="宋体" w:cs="Times New Roman"/>
                <w:caps w:val="0"/>
                <w:color w:val="000000"/>
                <w:sz w:val="24"/>
                <w:vertAlign w:val="baseline"/>
                <w:lang w:val="en-US" w:eastAsia="zh-CN"/>
              </w:rPr>
              <w:t>现有固废库内空间充足，能够满足本项目一般固废的贮存。</w:t>
            </w:r>
            <w:r>
              <w:rPr>
                <w:rFonts w:hint="default" w:ascii="Times New Roman" w:hAnsi="Times New Roman" w:eastAsia="宋体" w:cs="Times New Roman"/>
                <w:color w:val="000000"/>
                <w:kern w:val="0"/>
                <w:sz w:val="24"/>
              </w:rPr>
              <w:t>企业在生产过程中，应加强一般固废库的管理，定点收集堆存，并及时处理，</w:t>
            </w:r>
            <w:r>
              <w:rPr>
                <w:rFonts w:hint="default" w:ascii="Times New Roman" w:hAnsi="Times New Roman" w:eastAsia="宋体" w:cs="Times New Roman"/>
                <w:color w:val="000000"/>
                <w:sz w:val="24"/>
              </w:rPr>
              <w:t>对外环境的影响较小</w:t>
            </w:r>
            <w:r>
              <w:rPr>
                <w:rFonts w:hint="default" w:ascii="Times New Roman" w:hAnsi="Times New Roman" w:eastAsia="宋体" w:cs="Times New Roman"/>
                <w:color w:val="000000"/>
                <w:kern w:val="0"/>
                <w:sz w:val="24"/>
              </w:rPr>
              <w:t>。</w:t>
            </w:r>
          </w:p>
          <w:p w14:paraId="3651FABC">
            <w:pPr>
              <w:snapToGrid w:val="0"/>
              <w:spacing w:line="360" w:lineRule="auto"/>
              <w:ind w:firstLine="472" w:firstLineChars="196"/>
              <w:outlineLvl w:val="3"/>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3、危险废物环境影响分析</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和保护措施</w:t>
            </w:r>
          </w:p>
          <w:p w14:paraId="75AEC66D">
            <w:pPr>
              <w:spacing w:line="360" w:lineRule="auto"/>
              <w:ind w:firstLine="482" w:firstLineChars="200"/>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（1）</w:t>
            </w:r>
            <w:r>
              <w:rPr>
                <w:rFonts w:hint="default" w:ascii="Times New Roman" w:hAnsi="Times New Roman" w:eastAsia="宋体" w:cs="Times New Roman"/>
                <w:b/>
                <w:caps w:val="0"/>
                <w:color w:val="000000" w:themeColor="text1"/>
                <w:sz w:val="24"/>
                <w:highlight w:val="none"/>
                <w:lang w:val="en-US" w:eastAsia="zh-CN"/>
                <w14:textFill>
                  <w14:solidFill>
                    <w14:schemeClr w14:val="tx1"/>
                  </w14:solidFill>
                </w14:textFill>
              </w:rPr>
              <w:t>依托厂区现有</w:t>
            </w:r>
            <w:r>
              <w:rPr>
                <w:rFonts w:hint="default" w:ascii="Times New Roman" w:hAnsi="Times New Roman" w:eastAsia="宋体" w:cs="Times New Roman"/>
                <w:b/>
                <w:caps w:val="0"/>
                <w:color w:val="000000" w:themeColor="text1"/>
                <w:sz w:val="24"/>
                <w:highlight w:val="none"/>
                <w14:textFill>
                  <w14:solidFill>
                    <w14:schemeClr w14:val="tx1"/>
                  </w14:solidFill>
                </w14:textFill>
              </w:rPr>
              <w:t>危险废物暂存库</w:t>
            </w:r>
            <w:r>
              <w:rPr>
                <w:rFonts w:hint="default" w:ascii="Times New Roman" w:hAnsi="Times New Roman" w:eastAsia="宋体" w:cs="Times New Roman"/>
                <w:b/>
                <w:caps w:val="0"/>
                <w:color w:val="000000" w:themeColor="text1"/>
                <w:sz w:val="24"/>
                <w:highlight w:val="none"/>
                <w:lang w:val="en-US" w:eastAsia="zh-CN"/>
                <w14:textFill>
                  <w14:solidFill>
                    <w14:schemeClr w14:val="tx1"/>
                  </w14:solidFill>
                </w14:textFill>
              </w:rPr>
              <w:t>可行性分析</w:t>
            </w:r>
          </w:p>
          <w:p w14:paraId="53BEB08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目前企业已设置1座危废暂存库，占地面积约为</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20</w:t>
            </w:r>
            <w:r>
              <w:rPr>
                <w:rFonts w:hint="default" w:ascii="Times New Roman" w:hAnsi="Times New Roman" w:eastAsia="宋体" w:cs="Times New Roman"/>
                <w:caps w:val="0"/>
                <w:color w:val="000000" w:themeColor="text1"/>
                <w:sz w:val="24"/>
                <w:highlight w:val="none"/>
                <w14:textFill>
                  <w14:solidFill>
                    <w14:schemeClr w14:val="tx1"/>
                  </w14:solidFill>
                </w14:textFill>
              </w:rPr>
              <w:t>m</w:t>
            </w:r>
            <w:r>
              <w:rPr>
                <w:rFonts w:hint="default" w:ascii="Times New Roman" w:hAnsi="Times New Roman" w:eastAsia="宋体" w:cs="Times New Roman"/>
                <w:caps w:val="0"/>
                <w:color w:val="000000" w:themeColor="text1"/>
                <w:sz w:val="24"/>
                <w:highlight w:val="none"/>
                <w:vertAlign w:val="superscript"/>
                <w14:textFill>
                  <w14:solidFill>
                    <w14:schemeClr w14:val="tx1"/>
                  </w14:solidFill>
                </w14:textFill>
              </w:rPr>
              <w:t>2</w:t>
            </w:r>
            <w:r>
              <w:rPr>
                <w:rFonts w:hint="default" w:ascii="Times New Roman" w:hAnsi="Times New Roman" w:eastAsia="宋体" w:cs="Times New Roman"/>
                <w:caps w:val="0"/>
                <w:color w:val="000000" w:themeColor="text1"/>
                <w:sz w:val="24"/>
                <w:highlight w:val="none"/>
                <w14:textFill>
                  <w14:solidFill>
                    <w14:schemeClr w14:val="tx1"/>
                  </w14:solidFill>
                </w14:textFill>
              </w:rPr>
              <w:t>，位于厂区</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西</w:t>
            </w:r>
            <w:r>
              <w:rPr>
                <w:rFonts w:hint="default" w:ascii="Times New Roman" w:hAnsi="Times New Roman" w:eastAsia="宋体" w:cs="Times New Roman"/>
                <w:caps w:val="0"/>
                <w:color w:val="000000" w:themeColor="text1"/>
                <w:sz w:val="24"/>
                <w:highlight w:val="none"/>
                <w14:textFill>
                  <w14:solidFill>
                    <w14:schemeClr w14:val="tx1"/>
                  </w14:solidFill>
                </w14:textFill>
              </w:rPr>
              <w:t>南侧，最大暂存能力约为</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sz w:val="24"/>
                <w:highlight w:val="none"/>
                <w14:textFill>
                  <w14:solidFill>
                    <w14:schemeClr w14:val="tx1"/>
                  </w14:solidFill>
                </w14:textFill>
              </w:rPr>
              <w:t>0t。本项目新增危险废物</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1.866</w:t>
            </w:r>
            <w:r>
              <w:rPr>
                <w:rFonts w:hint="default" w:ascii="Times New Roman" w:hAnsi="Times New Roman" w:eastAsia="宋体" w:cs="Times New Roman"/>
                <w:caps w:val="0"/>
                <w:color w:val="000000" w:themeColor="text1"/>
                <w:sz w:val="24"/>
                <w:highlight w:val="none"/>
                <w14:textFill>
                  <w14:solidFill>
                    <w14:schemeClr w14:val="tx1"/>
                  </w14:solidFill>
                </w14:textFill>
              </w:rPr>
              <w:t>t/a，新增的危废收集后依托现有危废暂存库暂存。</w:t>
            </w:r>
            <w:r>
              <w:rPr>
                <w:rFonts w:hint="eastAsia"/>
                <w:color w:val="000000"/>
                <w:sz w:val="24"/>
              </w:rPr>
              <w:t>现有危废暂存库有固定的区域边界，采取了防风、防雨、防晒及防流失措施，库内地面及裙脚（高度0.2m）采取耐腐蚀的环氧树脂防渗处理，表面无裂缝</w:t>
            </w:r>
            <w:r>
              <w:rPr>
                <w:rFonts w:hint="eastAsia"/>
                <w:color w:val="000000"/>
                <w:sz w:val="24"/>
                <w:lang w:eastAsia="zh-CN"/>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现有项目危废产生量为</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5.77</w:t>
            </w:r>
            <w:r>
              <w:rPr>
                <w:rFonts w:hint="default" w:ascii="Times New Roman" w:hAnsi="Times New Roman" w:eastAsia="宋体" w:cs="Times New Roman"/>
                <w:caps w:val="0"/>
                <w:color w:val="000000" w:themeColor="text1"/>
                <w:sz w:val="24"/>
                <w:highlight w:val="none"/>
                <w14:textFill>
                  <w14:solidFill>
                    <w14:schemeClr w14:val="tx1"/>
                  </w14:solidFill>
                </w14:textFill>
              </w:rPr>
              <w:t>t/a，本项目实施后全厂危废产生量约为</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7.</w:t>
            </w:r>
            <w:r>
              <w:rPr>
                <w:rFonts w:hint="eastAsia" w:cs="Times New Roman"/>
                <w:caps w:val="0"/>
                <w:color w:val="000000" w:themeColor="text1"/>
                <w:sz w:val="24"/>
                <w:highlight w:val="none"/>
                <w:lang w:val="en-US" w:eastAsia="zh-CN"/>
                <w14:textFill>
                  <w14:solidFill>
                    <w14:schemeClr w14:val="tx1"/>
                  </w14:solidFill>
                </w14:textFill>
              </w:rPr>
              <w:t>7</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36</w:t>
            </w:r>
            <w:r>
              <w:rPr>
                <w:rFonts w:hint="default" w:ascii="Times New Roman" w:hAnsi="Times New Roman" w:eastAsia="宋体" w:cs="Times New Roman"/>
                <w:caps w:val="0"/>
                <w:color w:val="000000" w:themeColor="text1"/>
                <w:sz w:val="24"/>
                <w:highlight w:val="none"/>
                <w14:textFill>
                  <w14:solidFill>
                    <w14:schemeClr w14:val="tx1"/>
                  </w14:solidFill>
                </w14:textFill>
              </w:rPr>
              <w:t>t/a，本评价建议企业每3个月周转一次，故现有危废暂存间能够满足本项目新增危废暂存的需求。根据现场踏勘，</w:t>
            </w:r>
            <w:r>
              <w:rPr>
                <w:rFonts w:hint="default" w:ascii="Times New Roman" w:hAnsi="Times New Roman" w:eastAsia="宋体" w:cs="Times New Roman"/>
                <w:color w:val="000000" w:themeColor="text1"/>
                <w:sz w:val="24"/>
                <w:highlight w:val="none"/>
                <w14:textFill>
                  <w14:solidFill>
                    <w14:schemeClr w14:val="tx1"/>
                  </w14:solidFill>
                </w14:textFill>
              </w:rPr>
              <w:t>现有危废暂存库内墙上设置有规范的危险废物管理制度及贮存分区标志；危废暂存库入口处设置有规范的危险废物贮存设施标志，满足《危险废物贮存污染控制标准》（GB18597-2023）、《危险废物识别标志设置技术规范》（HJ1276-2022）及《环境保护图形标志-固态废物贮存（处置）场》（GB15562-1995）修改单中的相关要求。</w:t>
            </w:r>
          </w:p>
          <w:p w14:paraId="1DAE623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（2）</w:t>
            </w:r>
            <w:r>
              <w:rPr>
                <w:rFonts w:hint="default" w:ascii="Times New Roman" w:hAnsi="Times New Roman" w:eastAsia="宋体" w:cs="Times New Roman"/>
                <w:b/>
                <w:caps w:val="0"/>
                <w:color w:val="000000" w:themeColor="text1"/>
                <w:kern w:val="0"/>
                <w:sz w:val="24"/>
                <w:highlight w:val="none"/>
                <w14:textFill>
                  <w14:solidFill>
                    <w14:schemeClr w14:val="tx1"/>
                  </w14:solidFill>
                </w14:textFill>
              </w:rPr>
              <w:t>委托利用或者处置的环境影响分析</w:t>
            </w:r>
          </w:p>
          <w:p w14:paraId="7DEFD8C0">
            <w:pPr>
              <w:spacing w:line="360" w:lineRule="auto"/>
              <w:ind w:firstLine="480"/>
              <w:rPr>
                <w:rFonts w:hint="default" w:ascii="Times New Roman" w:hAnsi="Times New Roman" w:eastAsia="宋体" w:cs="Times New Roman"/>
                <w:color w:val="000000"/>
                <w:spacing w:val="4"/>
                <w:sz w:val="24"/>
              </w:rPr>
            </w:pPr>
            <w:r>
              <w:rPr>
                <w:rFonts w:hint="default" w:ascii="Times New Roman" w:hAnsi="Times New Roman" w:eastAsia="宋体" w:cs="Times New Roman"/>
                <w:color w:val="000000"/>
                <w:spacing w:val="4"/>
                <w:sz w:val="24"/>
              </w:rPr>
              <w:t>危险废物外运时严格按照国家环境保护总局令第5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14:paraId="0C92D5A6">
            <w:pPr>
              <w:adjustRightInd w:val="0"/>
              <w:snapToGrid w:val="0"/>
              <w:spacing w:line="360" w:lineRule="auto"/>
              <w:ind w:firstLine="480" w:firstLineChars="200"/>
              <w:rPr>
                <w:rFonts w:hint="default" w:ascii="Times New Roman" w:hAnsi="Times New Roman" w:eastAsia="宋体" w:cs="Times New Roman"/>
                <w:bCs/>
                <w:caps w:val="0"/>
                <w:color w:val="000000"/>
                <w:sz w:val="24"/>
              </w:rPr>
            </w:pPr>
            <w:r>
              <w:rPr>
                <w:rFonts w:hint="default" w:ascii="Times New Roman" w:hAnsi="Times New Roman" w:eastAsia="宋体" w:cs="Times New Roman"/>
                <w:bCs/>
                <w:caps w:val="0"/>
                <w:color w:val="000000"/>
                <w:sz w:val="24"/>
              </w:rPr>
              <w:t>综上所述，本项目产生的各类固废的利用处置方式可行，经妥善处理后，能够实现零排放。因此，项目对各固体废物分类处理处置，利用处置方式符合有关法规、标准的要求，项目产生的各类固废不会造成二次污染，对周围环境无显著不良影响。</w:t>
            </w:r>
          </w:p>
          <w:p w14:paraId="4D4AED8D">
            <w:pPr>
              <w:autoSpaceDE w:val="0"/>
              <w:autoSpaceDN w:val="0"/>
              <w:adjustRightInd w:val="0"/>
              <w:spacing w:line="360" w:lineRule="auto"/>
              <w:ind w:firstLine="480" w:firstLineChars="200"/>
              <w:jc w:val="left"/>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根据安徽省生态环境厅公布的《安徽省危险废物经营许可证汇总统计表》，本次评价分析项目产生的危险废物有资质单位有能力接纳并利用、处置的部分单位如下：</w:t>
            </w:r>
          </w:p>
          <w:p w14:paraId="4EC82AD9">
            <w:pPr>
              <w:jc w:val="center"/>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表4-1</w:t>
            </w:r>
            <w:r>
              <w:rPr>
                <w:rFonts w:hint="eastAsia" w:ascii="Times New Roman" w:hAnsi="Times New Roman" w:cs="Times New Roman"/>
                <w:b/>
                <w:caps w:val="0"/>
                <w:color w:val="000000" w:themeColor="text1"/>
                <w:sz w:val="24"/>
                <w:highlight w:val="none"/>
                <w:lang w:val="en-US" w:eastAsia="zh-CN"/>
                <w14:textFill>
                  <w14:solidFill>
                    <w14:schemeClr w14:val="tx1"/>
                  </w14:solidFill>
                </w14:textFill>
              </w:rPr>
              <w:t>7</w:t>
            </w:r>
            <w:r>
              <w:rPr>
                <w:rFonts w:hint="default" w:ascii="Times New Roman" w:hAnsi="Times New Roman" w:eastAsia="宋体" w:cs="Times New Roman"/>
                <w:b/>
                <w:caps w:val="0"/>
                <w:color w:val="000000" w:themeColor="text1"/>
                <w:sz w:val="24"/>
                <w:highlight w:val="none"/>
                <w:lang w:val="en-US" w:eastAsia="zh-CN"/>
                <w14:textFill>
                  <w14:solidFill>
                    <w14:schemeClr w14:val="tx1"/>
                  </w14:solidFill>
                </w14:textFill>
              </w:rPr>
              <w:t xml:space="preserve"> </w:t>
            </w:r>
            <w:r>
              <w:rPr>
                <w:rFonts w:hint="default" w:ascii="Times New Roman" w:hAnsi="Times New Roman" w:eastAsia="宋体" w:cs="Times New Roman"/>
                <w:b/>
                <w:caps w:val="0"/>
                <w:color w:val="000000" w:themeColor="text1"/>
                <w:sz w:val="24"/>
                <w:highlight w:val="none"/>
                <w14:textFill>
                  <w14:solidFill>
                    <w14:schemeClr w14:val="tx1"/>
                  </w14:solidFill>
                </w14:textFill>
              </w:rPr>
              <w:t xml:space="preserve"> 危险废物处置单位一览表</w:t>
            </w:r>
          </w:p>
          <w:tbl>
            <w:tblPr>
              <w:tblStyle w:val="21"/>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30"/>
              <w:gridCol w:w="1140"/>
              <w:gridCol w:w="5252"/>
            </w:tblGrid>
            <w:tr w14:paraId="6CB549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4" w:type="pct"/>
                  <w:tcBorders>
                    <w:tl2br w:val="nil"/>
                    <w:tr2bl w:val="nil"/>
                  </w:tcBorders>
                  <w:shd w:val="clear" w:color="auto" w:fill="auto"/>
                  <w:vAlign w:val="center"/>
                </w:tcPr>
                <w:p w14:paraId="65526022">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市县</w:t>
                  </w:r>
                </w:p>
              </w:tc>
              <w:tc>
                <w:tcPr>
                  <w:tcW w:w="591" w:type="pct"/>
                  <w:tcBorders>
                    <w:tl2br w:val="nil"/>
                    <w:tr2bl w:val="nil"/>
                  </w:tcBorders>
                  <w:shd w:val="clear" w:color="auto" w:fill="auto"/>
                  <w:vAlign w:val="center"/>
                </w:tcPr>
                <w:p w14:paraId="33AE1433">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企业名称</w:t>
                  </w:r>
                </w:p>
              </w:tc>
              <w:tc>
                <w:tcPr>
                  <w:tcW w:w="724" w:type="pct"/>
                  <w:tcBorders>
                    <w:tl2br w:val="nil"/>
                    <w:tr2bl w:val="nil"/>
                  </w:tcBorders>
                  <w:shd w:val="clear" w:color="auto" w:fill="auto"/>
                  <w:vAlign w:val="center"/>
                </w:tcPr>
                <w:p w14:paraId="7AD81651">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许可证编号</w:t>
                  </w:r>
                </w:p>
              </w:tc>
              <w:tc>
                <w:tcPr>
                  <w:tcW w:w="3339" w:type="pct"/>
                  <w:tcBorders>
                    <w:tl2br w:val="nil"/>
                    <w:tr2bl w:val="nil"/>
                  </w:tcBorders>
                  <w:shd w:val="clear" w:color="auto" w:fill="auto"/>
                  <w:vAlign w:val="center"/>
                </w:tcPr>
                <w:p w14:paraId="2FB6DDC6">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核准经营范围、类别</w:t>
                  </w:r>
                </w:p>
              </w:tc>
            </w:tr>
            <w:tr w14:paraId="619B87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4" w:type="pct"/>
                  <w:tcBorders>
                    <w:tl2br w:val="nil"/>
                    <w:tr2bl w:val="nil"/>
                  </w:tcBorders>
                  <w:shd w:val="clear" w:color="auto" w:fill="auto"/>
                  <w:vAlign w:val="center"/>
                </w:tcPr>
                <w:p w14:paraId="7A1A090B">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芜湖市</w:t>
                  </w:r>
                </w:p>
              </w:tc>
              <w:tc>
                <w:tcPr>
                  <w:tcW w:w="591" w:type="pct"/>
                  <w:tcBorders>
                    <w:tl2br w:val="nil"/>
                    <w:tr2bl w:val="nil"/>
                  </w:tcBorders>
                  <w:shd w:val="clear" w:color="auto" w:fill="auto"/>
                  <w:vAlign w:val="center"/>
                </w:tcPr>
                <w:p w14:paraId="435993A1">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芜湖致源环保科技有限公司</w:t>
                  </w:r>
                </w:p>
              </w:tc>
              <w:tc>
                <w:tcPr>
                  <w:tcW w:w="724" w:type="pct"/>
                  <w:tcBorders>
                    <w:tl2br w:val="nil"/>
                    <w:tr2bl w:val="nil"/>
                  </w:tcBorders>
                  <w:shd w:val="clear" w:color="auto" w:fill="auto"/>
                  <w:vAlign w:val="center"/>
                </w:tcPr>
                <w:p w14:paraId="15A5E932">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340203002</w:t>
                  </w:r>
                </w:p>
              </w:tc>
              <w:tc>
                <w:tcPr>
                  <w:tcW w:w="3339" w:type="pct"/>
                  <w:tcBorders>
                    <w:tl2br w:val="nil"/>
                    <w:tr2bl w:val="nil"/>
                  </w:tcBorders>
                  <w:shd w:val="clear" w:color="auto" w:fill="auto"/>
                  <w:vAlign w:val="center"/>
                </w:tcPr>
                <w:p w14:paraId="395BDEA0">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HW08废矿物油与含矿物油废物、HW09油水烃水混合物或乳化液，HW12染料涂料废物，HW17表面处理废物，HW49其他废物。</w:t>
                  </w:r>
                </w:p>
              </w:tc>
            </w:tr>
            <w:tr w14:paraId="77C94A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4" w:type="pct"/>
                  <w:tcBorders>
                    <w:tl2br w:val="nil"/>
                    <w:tr2bl w:val="nil"/>
                  </w:tcBorders>
                  <w:shd w:val="clear" w:color="auto" w:fill="auto"/>
                  <w:vAlign w:val="center"/>
                </w:tcPr>
                <w:p w14:paraId="10350780">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芜湖市</w:t>
                  </w:r>
                </w:p>
              </w:tc>
              <w:tc>
                <w:tcPr>
                  <w:tcW w:w="591" w:type="pct"/>
                  <w:tcBorders>
                    <w:tl2br w:val="nil"/>
                    <w:tr2bl w:val="nil"/>
                  </w:tcBorders>
                  <w:shd w:val="clear" w:color="auto" w:fill="auto"/>
                  <w:vAlign w:val="center"/>
                </w:tcPr>
                <w:p w14:paraId="60F50FCD">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芜湖海创环保科技有限责任公司</w:t>
                  </w:r>
                </w:p>
              </w:tc>
              <w:tc>
                <w:tcPr>
                  <w:tcW w:w="724" w:type="pct"/>
                  <w:tcBorders>
                    <w:tl2br w:val="nil"/>
                    <w:tr2bl w:val="nil"/>
                  </w:tcBorders>
                  <w:shd w:val="clear" w:color="auto" w:fill="auto"/>
                  <w:vAlign w:val="center"/>
                </w:tcPr>
                <w:p w14:paraId="0F7568D2">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340222002</w:t>
                  </w:r>
                </w:p>
              </w:tc>
              <w:tc>
                <w:tcPr>
                  <w:tcW w:w="3339" w:type="pct"/>
                  <w:tcBorders>
                    <w:tl2br w:val="nil"/>
                    <w:tr2bl w:val="nil"/>
                  </w:tcBorders>
                  <w:shd w:val="clear" w:color="auto" w:fill="auto"/>
                  <w:vAlign w:val="center"/>
                </w:tcPr>
                <w:p w14:paraId="53D1CA50">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HW02、HW04、HW06、HW08、HW09、HW11、HW12、HW13、HW17、HW18、HW22 、HW31、HW34、HW39、HW45、HW48、HW49等17大类，283小类。</w:t>
                  </w:r>
                </w:p>
              </w:tc>
            </w:tr>
            <w:tr w14:paraId="3F0A62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1" w:hRule="atLeast"/>
              </w:trPr>
              <w:tc>
                <w:tcPr>
                  <w:tcW w:w="344" w:type="pct"/>
                  <w:tcBorders>
                    <w:tl2br w:val="nil"/>
                    <w:tr2bl w:val="nil"/>
                  </w:tcBorders>
                  <w:shd w:val="clear" w:color="auto" w:fill="auto"/>
                  <w:vAlign w:val="center"/>
                </w:tcPr>
                <w:p w14:paraId="072135BA">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马鞍山市</w:t>
                  </w:r>
                </w:p>
              </w:tc>
              <w:tc>
                <w:tcPr>
                  <w:tcW w:w="591" w:type="pct"/>
                  <w:tcBorders>
                    <w:tl2br w:val="nil"/>
                    <w:tr2bl w:val="nil"/>
                  </w:tcBorders>
                  <w:shd w:val="clear" w:color="auto" w:fill="auto"/>
                  <w:vAlign w:val="center"/>
                </w:tcPr>
                <w:p w14:paraId="3912BBF5">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马鞍山澳新环保科技有限公司</w:t>
                  </w:r>
                </w:p>
              </w:tc>
              <w:tc>
                <w:tcPr>
                  <w:tcW w:w="724" w:type="pct"/>
                  <w:tcBorders>
                    <w:tl2br w:val="nil"/>
                    <w:tr2bl w:val="nil"/>
                  </w:tcBorders>
                  <w:shd w:val="clear" w:color="auto" w:fill="auto"/>
                  <w:vAlign w:val="center"/>
                </w:tcPr>
                <w:p w14:paraId="5109E940">
                  <w:pPr>
                    <w:pStyle w:val="81"/>
                    <w:widowControl w:val="0"/>
                    <w:adjustRightInd w:val="0"/>
                    <w:snapToGrid w:val="0"/>
                    <w:ind w:left="-63" w:leftChars="-30" w:right="-63" w:rightChars="-30"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340504001</w:t>
                  </w:r>
                </w:p>
              </w:tc>
              <w:tc>
                <w:tcPr>
                  <w:tcW w:w="3339" w:type="pct"/>
                  <w:tcBorders>
                    <w:tl2br w:val="nil"/>
                    <w:tr2bl w:val="nil"/>
                  </w:tcBorders>
                  <w:shd w:val="clear" w:color="auto" w:fill="auto"/>
                  <w:vAlign w:val="center"/>
                </w:tcPr>
                <w:p w14:paraId="29BEEEE0">
                  <w:pPr>
                    <w:pStyle w:val="81"/>
                    <w:widowControl w:val="0"/>
                    <w:adjustRightInd w:val="0"/>
                    <w:snapToGrid w:val="0"/>
                    <w:ind w:left="-63" w:leftChars="-30" w:right="-63" w:rightChars="-30" w:firstLine="412"/>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HW01-HW06、HW08、HW09、HW11-HW14、HW16-HW18、HW21-HW23、HW29、 HW31-HW40、HW45、HW46、HW48-HW50焚烧10000吨/年（含医疗废物1000吨）、物化处理13000吨/年、固化、稳定化及安全填埋10100吨/年。</w:t>
                  </w:r>
                </w:p>
              </w:tc>
            </w:tr>
          </w:tbl>
          <w:p w14:paraId="69CA6076">
            <w:pPr>
              <w:autoSpaceDE w:val="0"/>
              <w:autoSpaceDN w:val="0"/>
              <w:adjustRightInd w:val="0"/>
              <w:spacing w:line="360" w:lineRule="auto"/>
              <w:ind w:firstLine="480" w:firstLineChars="200"/>
              <w:jc w:val="left"/>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从上表可以看出，本项目产生的危险固体废物在安徽省内有多家适合的资质单位进行处理处置。</w:t>
            </w:r>
          </w:p>
          <w:p w14:paraId="6D823437">
            <w:pPr>
              <w:spacing w:line="360" w:lineRule="auto"/>
              <w:ind w:firstLine="480" w:firstLineChars="200"/>
              <w:rPr>
                <w:rFonts w:hint="default" w:ascii="Times New Roman" w:hAnsi="Times New Roman" w:eastAsia="宋体" w:cs="Times New Roman"/>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项目投入生产前，须签订危废处置协议，完善危废暂存库建设，危废暂存库须设置相应危废标识，完善危废台账管理。</w:t>
            </w:r>
          </w:p>
          <w:p w14:paraId="666C0865">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本项目固体废物在采取上述的利用、处理、处置措施后，本项目的固废对外环境的影响较小。</w:t>
            </w:r>
          </w:p>
          <w:p w14:paraId="20DB7D98">
            <w:pPr>
              <w:spacing w:line="360" w:lineRule="auto"/>
              <w:ind w:firstLine="482" w:firstLineChars="200"/>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五、地下水、土壤环境影响和保护措施</w:t>
            </w:r>
          </w:p>
          <w:p w14:paraId="6B3901DD">
            <w:pPr>
              <w:spacing w:line="360" w:lineRule="auto"/>
              <w:ind w:firstLine="480" w:firstLineChars="200"/>
              <w:rPr>
                <w:rFonts w:hint="default" w:ascii="Times New Roman" w:hAnsi="Times New Roman" w:eastAsia="宋体" w:cs="Times New Roman"/>
                <w:bCs/>
                <w:caps w:val="0"/>
                <w:color w:val="000000" w:themeColor="text1"/>
                <w:sz w:val="24"/>
                <w:highlight w:val="none"/>
                <w14:textFill>
                  <w14:solidFill>
                    <w14:schemeClr w14:val="tx1"/>
                  </w14:solidFill>
                </w14:textFill>
              </w:rPr>
            </w:pPr>
            <w:r>
              <w:rPr>
                <w:rFonts w:hint="default" w:ascii="Times New Roman" w:hAnsi="Times New Roman" w:eastAsia="宋体" w:cs="Times New Roman"/>
                <w:bCs/>
                <w:caps w:val="0"/>
                <w:color w:val="000000" w:themeColor="text1"/>
                <w:sz w:val="24"/>
                <w:highlight w:val="none"/>
                <w14:textFill>
                  <w14:solidFill>
                    <w14:schemeClr w14:val="tx1"/>
                  </w14:solidFill>
                </w14:textFill>
              </w:rPr>
              <w:t>（1）污染源及污染途径</w:t>
            </w:r>
          </w:p>
          <w:p w14:paraId="3220D997">
            <w:pPr>
              <w:spacing w:line="360" w:lineRule="auto"/>
              <w:ind w:firstLine="480" w:firstLineChars="200"/>
              <w:jc w:val="left"/>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本项目可能对地下水、土壤环境造成影响的环节主要有：</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原料仓库、</w:t>
            </w:r>
            <w:r>
              <w:rPr>
                <w:rFonts w:hint="default" w:ascii="Times New Roman" w:hAnsi="Times New Roman" w:eastAsia="宋体" w:cs="Times New Roman"/>
                <w:caps w:val="0"/>
                <w:color w:val="000000" w:themeColor="text1"/>
                <w:sz w:val="24"/>
                <w:highlight w:val="none"/>
                <w14:textFill>
                  <w14:solidFill>
                    <w14:schemeClr w14:val="tx1"/>
                  </w14:solidFill>
                </w14:textFill>
              </w:rPr>
              <w:t>危废暂存库等场所发生物料或</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污水泄漏</w:t>
            </w:r>
            <w:r>
              <w:rPr>
                <w:rFonts w:hint="default" w:ascii="Times New Roman" w:hAnsi="Times New Roman" w:eastAsia="宋体" w:cs="Times New Roman"/>
                <w:caps w:val="0"/>
                <w:color w:val="000000" w:themeColor="text1"/>
                <w:sz w:val="24"/>
                <w:highlight w:val="none"/>
                <w14:textFill>
                  <w14:solidFill>
                    <w14:schemeClr w14:val="tx1"/>
                  </w14:solidFill>
                </w14:textFill>
              </w:rPr>
              <w:t>。</w:t>
            </w:r>
          </w:p>
          <w:p w14:paraId="63751067">
            <w:pPr>
              <w:spacing w:line="360" w:lineRule="auto"/>
              <w:ind w:firstLine="480" w:firstLineChars="200"/>
              <w:jc w:val="left"/>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项目可能产生的渗漏环节详见下表。</w:t>
            </w:r>
          </w:p>
          <w:p w14:paraId="4C2540FC">
            <w:pPr>
              <w:pStyle w:val="90"/>
              <w:adjustRightInd w:val="0"/>
              <w:snapToGrid w:val="0"/>
              <w:ind w:firstLine="400"/>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表4-1</w:t>
            </w:r>
            <w:r>
              <w:rPr>
                <w:rFonts w:hint="eastAsia" w:ascii="Times New Roman" w:hAnsi="Times New Roman" w:cs="Times New Roman"/>
                <w:caps w:val="0"/>
                <w:color w:val="000000" w:themeColor="text1"/>
                <w:highlight w:val="none"/>
                <w:lang w:val="en-US" w:eastAsia="zh-CN"/>
                <w14:textFill>
                  <w14:solidFill>
                    <w14:schemeClr w14:val="tx1"/>
                  </w14:solidFill>
                </w14:textFill>
              </w:rPr>
              <w:t>8</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highlight w:val="none"/>
                <w14:textFill>
                  <w14:solidFill>
                    <w14:schemeClr w14:val="tx1"/>
                  </w14:solidFill>
                </w14:textFill>
              </w:rPr>
              <w:t xml:space="preserve"> 项目可能产生的渗漏环节表</w:t>
            </w:r>
          </w:p>
          <w:tbl>
            <w:tblPr>
              <w:tblStyle w:val="2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958"/>
              <w:gridCol w:w="2269"/>
              <w:gridCol w:w="2868"/>
            </w:tblGrid>
            <w:tr w14:paraId="6D4E0D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9" w:type="dxa"/>
                  <w:tcBorders>
                    <w:tl2br w:val="nil"/>
                    <w:tr2bl w:val="nil"/>
                  </w:tcBorders>
                  <w:vAlign w:val="center"/>
                </w:tcPr>
                <w:p w14:paraId="27F4647B">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序号</w:t>
                  </w:r>
                </w:p>
              </w:tc>
              <w:tc>
                <w:tcPr>
                  <w:tcW w:w="1958" w:type="dxa"/>
                  <w:tcBorders>
                    <w:tl2br w:val="nil"/>
                    <w:tr2bl w:val="nil"/>
                  </w:tcBorders>
                  <w:vAlign w:val="center"/>
                </w:tcPr>
                <w:p w14:paraId="5B6BCE90">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主要环节</w:t>
                  </w:r>
                </w:p>
              </w:tc>
              <w:tc>
                <w:tcPr>
                  <w:tcW w:w="2269" w:type="dxa"/>
                  <w:tcBorders>
                    <w:tl2br w:val="nil"/>
                    <w:tr2bl w:val="nil"/>
                  </w:tcBorders>
                  <w:vAlign w:val="center"/>
                </w:tcPr>
                <w:p w14:paraId="55B32959">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设施</w:t>
                  </w:r>
                </w:p>
              </w:tc>
              <w:tc>
                <w:tcPr>
                  <w:tcW w:w="2868" w:type="dxa"/>
                  <w:tcBorders>
                    <w:tl2br w:val="nil"/>
                    <w:tr2bl w:val="nil"/>
                  </w:tcBorders>
                  <w:vAlign w:val="center"/>
                </w:tcPr>
                <w:p w14:paraId="335BA344">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污染途径</w:t>
                  </w:r>
                </w:p>
              </w:tc>
            </w:tr>
            <w:tr w14:paraId="20122C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759" w:type="dxa"/>
                  <w:tcBorders>
                    <w:tl2br w:val="nil"/>
                    <w:tr2bl w:val="nil"/>
                  </w:tcBorders>
                  <w:vAlign w:val="center"/>
                </w:tcPr>
                <w:p w14:paraId="28132EB3">
                  <w:pPr>
                    <w:jc w:val="center"/>
                    <w:rPr>
                      <w:rFonts w:hint="default" w:ascii="Times New Roman" w:hAnsi="Times New Roman" w:eastAsia="宋体" w:cs="Times New Roman"/>
                      <w:cap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aps w:val="0"/>
                      <w:color w:val="000000" w:themeColor="text1"/>
                      <w:kern w:val="2"/>
                      <w:sz w:val="21"/>
                      <w:szCs w:val="21"/>
                      <w:highlight w:val="none"/>
                      <w:lang w:val="en-US" w:eastAsia="zh-CN" w:bidi="ar-SA"/>
                      <w14:textFill>
                        <w14:solidFill>
                          <w14:schemeClr w14:val="tx1"/>
                        </w14:solidFill>
                      </w14:textFill>
                    </w:rPr>
                    <w:t>1</w:t>
                  </w:r>
                </w:p>
              </w:tc>
              <w:tc>
                <w:tcPr>
                  <w:tcW w:w="1958" w:type="dxa"/>
                  <w:tcBorders>
                    <w:tl2br w:val="nil"/>
                    <w:tr2bl w:val="nil"/>
                  </w:tcBorders>
                  <w:vAlign w:val="center"/>
                </w:tcPr>
                <w:p w14:paraId="75B71D3F">
                  <w:pPr>
                    <w:jc w:val="center"/>
                    <w:rPr>
                      <w:rFonts w:hint="default" w:ascii="Times New Roman" w:hAnsi="Times New Roman" w:eastAsia="宋体" w:cs="Times New Roman"/>
                      <w:caps w:val="0"/>
                      <w:color w:val="000000" w:themeColor="text1"/>
                      <w:spacing w:val="4"/>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pacing w:val="4"/>
                      <w:szCs w:val="21"/>
                      <w:highlight w:val="none"/>
                      <w:lang w:val="en-US" w:eastAsia="zh-CN"/>
                      <w14:textFill>
                        <w14:solidFill>
                          <w14:schemeClr w14:val="tx1"/>
                        </w14:solidFill>
                      </w14:textFill>
                    </w:rPr>
                    <w:t>原料储存</w:t>
                  </w:r>
                </w:p>
              </w:tc>
              <w:tc>
                <w:tcPr>
                  <w:tcW w:w="2269" w:type="dxa"/>
                  <w:tcBorders>
                    <w:tl2br w:val="nil"/>
                    <w:tr2bl w:val="nil"/>
                  </w:tcBorders>
                  <w:vAlign w:val="center"/>
                </w:tcPr>
                <w:p w14:paraId="40F59FB0">
                  <w:pPr>
                    <w:jc w:val="center"/>
                    <w:rPr>
                      <w:rFonts w:hint="default" w:ascii="Times New Roman" w:hAnsi="Times New Roman" w:eastAsia="宋体" w:cs="Times New Roman"/>
                      <w:caps w:val="0"/>
                      <w:color w:val="000000" w:themeColor="text1"/>
                      <w:spacing w:val="4"/>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pacing w:val="4"/>
                      <w:szCs w:val="21"/>
                      <w:highlight w:val="none"/>
                      <w:lang w:val="en-US" w:eastAsia="zh-CN"/>
                      <w14:textFill>
                        <w14:solidFill>
                          <w14:schemeClr w14:val="tx1"/>
                        </w14:solidFill>
                      </w14:textFill>
                    </w:rPr>
                    <w:t>原料仓库</w:t>
                  </w:r>
                </w:p>
              </w:tc>
              <w:tc>
                <w:tcPr>
                  <w:tcW w:w="2868" w:type="dxa"/>
                  <w:tcBorders>
                    <w:tl2br w:val="nil"/>
                    <w:tr2bl w:val="nil"/>
                  </w:tcBorders>
                  <w:vAlign w:val="center"/>
                </w:tcPr>
                <w:p w14:paraId="293129E4">
                  <w:pPr>
                    <w:jc w:val="center"/>
                    <w:rPr>
                      <w:rFonts w:hint="default" w:ascii="Times New Roman" w:hAnsi="Times New Roman" w:eastAsia="宋体" w:cs="Times New Roman"/>
                      <w:caps w:val="0"/>
                      <w:color w:val="000000" w:themeColor="text1"/>
                      <w:spacing w:val="4"/>
                      <w:szCs w:val="21"/>
                      <w:highlight w:val="none"/>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切削液、润滑油</w:t>
                  </w:r>
                  <w:r>
                    <w:rPr>
                      <w:rFonts w:hint="default" w:ascii="Times New Roman" w:hAnsi="Times New Roman" w:eastAsia="宋体" w:cs="Times New Roman"/>
                      <w:caps w:val="0"/>
                      <w:color w:val="000000" w:themeColor="text1"/>
                      <w:szCs w:val="21"/>
                      <w:highlight w:val="none"/>
                      <w14:textFill>
                        <w14:solidFill>
                          <w14:schemeClr w14:val="tx1"/>
                        </w14:solidFill>
                      </w14:textFill>
                    </w:rPr>
                    <w:t>泄漏</w:t>
                  </w:r>
                </w:p>
              </w:tc>
            </w:tr>
            <w:tr w14:paraId="40DBFB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759" w:type="dxa"/>
                  <w:tcBorders>
                    <w:tl2br w:val="nil"/>
                    <w:tr2bl w:val="nil"/>
                  </w:tcBorders>
                  <w:vAlign w:val="center"/>
                </w:tcPr>
                <w:p w14:paraId="53F01F9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2</w:t>
                  </w:r>
                </w:p>
              </w:tc>
              <w:tc>
                <w:tcPr>
                  <w:tcW w:w="1958" w:type="dxa"/>
                  <w:tcBorders>
                    <w:tl2br w:val="nil"/>
                    <w:tr2bl w:val="nil"/>
                  </w:tcBorders>
                  <w:vAlign w:val="center"/>
                </w:tcPr>
                <w:p w14:paraId="777989BA">
                  <w:pPr>
                    <w:jc w:val="center"/>
                    <w:rPr>
                      <w:rFonts w:hint="default" w:ascii="Times New Roman" w:hAnsi="Times New Roman" w:eastAsia="宋体" w:cs="Times New Roman"/>
                      <w:caps w:val="0"/>
                      <w:color w:val="000000" w:themeColor="text1"/>
                      <w:spacing w:val="4"/>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szCs w:val="21"/>
                      <w:highlight w:val="none"/>
                      <w14:textFill>
                        <w14:solidFill>
                          <w14:schemeClr w14:val="tx1"/>
                        </w14:solidFill>
                      </w14:textFill>
                    </w:rPr>
                    <w:t>危废暂存</w:t>
                  </w:r>
                </w:p>
              </w:tc>
              <w:tc>
                <w:tcPr>
                  <w:tcW w:w="2269" w:type="dxa"/>
                  <w:tcBorders>
                    <w:tl2br w:val="nil"/>
                    <w:tr2bl w:val="nil"/>
                  </w:tcBorders>
                  <w:vAlign w:val="center"/>
                </w:tcPr>
                <w:p w14:paraId="7DEB4DC7">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危废暂存库</w:t>
                  </w:r>
                </w:p>
              </w:tc>
              <w:tc>
                <w:tcPr>
                  <w:tcW w:w="2868" w:type="dxa"/>
                  <w:tcBorders>
                    <w:tl2br w:val="nil"/>
                    <w:tr2bl w:val="nil"/>
                  </w:tcBorders>
                  <w:vAlign w:val="center"/>
                </w:tcPr>
                <w:p w14:paraId="62BE7DBD">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危废泄漏</w:t>
                  </w:r>
                </w:p>
              </w:tc>
            </w:tr>
          </w:tbl>
          <w:p w14:paraId="2B0A58C6">
            <w:pPr>
              <w:spacing w:before="120" w:beforeLines="50" w:line="360" w:lineRule="auto"/>
              <w:ind w:firstLine="482"/>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（2）污染防治措施</w:t>
            </w:r>
          </w:p>
          <w:p w14:paraId="3DAD967A">
            <w:pPr>
              <w:spacing w:line="360" w:lineRule="auto"/>
              <w:ind w:firstLine="480"/>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原料库、危废暂存库均依托现有</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，原料</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库、危废暂存库已做防渗处理，可以满足防渗要求</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w:t>
            </w:r>
          </w:p>
          <w:p w14:paraId="6C1DECAE">
            <w:pPr>
              <w:spacing w:line="360" w:lineRule="auto"/>
              <w:ind w:firstLine="48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针对可能对地下水造成影响的各环节，按照“考虑重点，辐射全面”的防腐防渗原则，一般防渗区的防渗性能要求等效黏土防渗层Mb≥1.5m，渗透系数K</w:t>
            </w:r>
            <w:r>
              <w:rPr>
                <w:rFonts w:hint="default" w:ascii="Times New Roman" w:hAnsi="Times New Roman" w:eastAsia="宋体" w:cs="Times New Roman"/>
                <w:caps w:val="0"/>
                <w:color w:val="000000" w:themeColor="text1"/>
                <w:szCs w:val="21"/>
                <w:highlight w:val="none"/>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10</w:t>
            </w:r>
            <w:r>
              <w:rPr>
                <w:rFonts w:hint="default" w:ascii="Times New Roman" w:hAnsi="Times New Roman" w:eastAsia="宋体" w:cs="Times New Roman"/>
                <w:caps w:val="0"/>
                <w:color w:val="000000" w:themeColor="text1"/>
                <w:sz w:val="24"/>
                <w:highlight w:val="none"/>
                <w:vertAlign w:val="superscript"/>
                <w14:textFill>
                  <w14:solidFill>
                    <w14:schemeClr w14:val="tx1"/>
                  </w14:solidFill>
                </w14:textFill>
              </w:rPr>
              <w:t>-7</w:t>
            </w:r>
            <w:r>
              <w:rPr>
                <w:rFonts w:hint="default" w:ascii="Times New Roman" w:hAnsi="Times New Roman" w:eastAsia="宋体" w:cs="Times New Roman"/>
                <w:caps w:val="0"/>
                <w:color w:val="000000" w:themeColor="text1"/>
                <w:sz w:val="24"/>
                <w:highlight w:val="none"/>
                <w14:textFill>
                  <w14:solidFill>
                    <w14:schemeClr w14:val="tx1"/>
                  </w14:solidFill>
                </w14:textFill>
              </w:rPr>
              <w:t>cm/s；重点防腐防渗区的防渗性能要求等效黏土防渗层Mb≥6m，渗透系数K</w:t>
            </w:r>
            <w:r>
              <w:rPr>
                <w:rFonts w:hint="default" w:ascii="Times New Roman" w:hAnsi="Times New Roman" w:eastAsia="宋体" w:cs="Times New Roman"/>
                <w:caps w:val="0"/>
                <w:color w:val="000000" w:themeColor="text1"/>
                <w:szCs w:val="21"/>
                <w:highlight w:val="none"/>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10</w:t>
            </w:r>
            <w:r>
              <w:rPr>
                <w:rFonts w:hint="default" w:ascii="Times New Roman" w:hAnsi="Times New Roman" w:eastAsia="宋体" w:cs="Times New Roman"/>
                <w:caps w:val="0"/>
                <w:color w:val="000000" w:themeColor="text1"/>
                <w:sz w:val="24"/>
                <w:highlight w:val="none"/>
                <w:vertAlign w:val="superscript"/>
                <w14:textFill>
                  <w14:solidFill>
                    <w14:schemeClr w14:val="tx1"/>
                  </w14:solidFill>
                </w14:textFill>
              </w:rPr>
              <w:t>-7</w:t>
            </w:r>
            <w:r>
              <w:rPr>
                <w:rFonts w:hint="default" w:ascii="Times New Roman" w:hAnsi="Times New Roman" w:eastAsia="宋体" w:cs="Times New Roman"/>
                <w:caps w:val="0"/>
                <w:color w:val="000000" w:themeColor="text1"/>
                <w:sz w:val="24"/>
                <w:highlight w:val="none"/>
                <w14:textFill>
                  <w14:solidFill>
                    <w14:schemeClr w14:val="tx1"/>
                  </w14:solidFill>
                </w14:textFill>
              </w:rPr>
              <w:t>cm/s；除重点防渗区和一般防渗区以外的区域为简单防渗区，采取一般地面硬化。项目防腐、防渗等防止地下水、土壤污染预防措施见下表。</w:t>
            </w:r>
          </w:p>
          <w:p w14:paraId="29F5AE36">
            <w:pPr>
              <w:pStyle w:val="90"/>
              <w:ind w:firstLine="400"/>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表4-1</w:t>
            </w:r>
            <w:r>
              <w:rPr>
                <w:rFonts w:hint="eastAsia" w:ascii="Times New Roman" w:hAnsi="Times New Roman" w:cs="Times New Roman"/>
                <w:caps w:val="0"/>
                <w:color w:val="000000" w:themeColor="text1"/>
                <w:highlight w:val="none"/>
                <w:lang w:val="en-US" w:eastAsia="zh-CN"/>
                <w14:textFill>
                  <w14:solidFill>
                    <w14:schemeClr w14:val="tx1"/>
                  </w14:solidFill>
                </w14:textFill>
              </w:rPr>
              <w:t>9</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highlight w:val="none"/>
                <w14:textFill>
                  <w14:solidFill>
                    <w14:schemeClr w14:val="tx1"/>
                  </w14:solidFill>
                </w14:textFill>
              </w:rPr>
              <w:t xml:space="preserve"> 项目分区防渗处理措施</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2"/>
              <w:gridCol w:w="1967"/>
              <w:gridCol w:w="2040"/>
              <w:gridCol w:w="2314"/>
              <w:gridCol w:w="968"/>
            </w:tblGrid>
            <w:tr w14:paraId="17EAD1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tcBorders>
                    <w:tl2br w:val="nil"/>
                    <w:tr2bl w:val="nil"/>
                  </w:tcBorders>
                  <w:vAlign w:val="center"/>
                </w:tcPr>
                <w:p w14:paraId="024E42FD">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序号</w:t>
                  </w:r>
                </w:p>
              </w:tc>
              <w:tc>
                <w:tcPr>
                  <w:tcW w:w="1250" w:type="pct"/>
                  <w:tcBorders>
                    <w:tl2br w:val="nil"/>
                    <w:tr2bl w:val="nil"/>
                  </w:tcBorders>
                  <w:vAlign w:val="center"/>
                </w:tcPr>
                <w:p w14:paraId="1A5494EA">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主要环节</w:t>
                  </w:r>
                </w:p>
              </w:tc>
              <w:tc>
                <w:tcPr>
                  <w:tcW w:w="1297" w:type="pct"/>
                  <w:tcBorders>
                    <w:tl2br w:val="nil"/>
                    <w:tr2bl w:val="nil"/>
                  </w:tcBorders>
                  <w:vAlign w:val="center"/>
                </w:tcPr>
                <w:p w14:paraId="0771A36C">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防渗处理措施</w:t>
                  </w:r>
                </w:p>
              </w:tc>
              <w:tc>
                <w:tcPr>
                  <w:tcW w:w="1471" w:type="pct"/>
                  <w:tcBorders>
                    <w:tl2br w:val="nil"/>
                    <w:tr2bl w:val="nil"/>
                  </w:tcBorders>
                  <w:vAlign w:val="center"/>
                </w:tcPr>
                <w:p w14:paraId="731C0B7E">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防渗技术要求</w:t>
                  </w:r>
                </w:p>
              </w:tc>
              <w:tc>
                <w:tcPr>
                  <w:tcW w:w="615" w:type="pct"/>
                  <w:tcBorders>
                    <w:tl2br w:val="nil"/>
                    <w:tr2bl w:val="nil"/>
                  </w:tcBorders>
                  <w:vAlign w:val="center"/>
                </w:tcPr>
                <w:p w14:paraId="4DA65C4F">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防渗类型</w:t>
                  </w:r>
                </w:p>
              </w:tc>
            </w:tr>
            <w:tr w14:paraId="47571E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364" w:type="pct"/>
                  <w:tcBorders>
                    <w:tl2br w:val="nil"/>
                    <w:tr2bl w:val="nil"/>
                  </w:tcBorders>
                  <w:vAlign w:val="center"/>
                </w:tcPr>
                <w:p w14:paraId="042B9AF3">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1</w:t>
                  </w:r>
                </w:p>
              </w:tc>
              <w:tc>
                <w:tcPr>
                  <w:tcW w:w="1250" w:type="pct"/>
                  <w:tcBorders>
                    <w:tl2br w:val="nil"/>
                    <w:tr2bl w:val="nil"/>
                  </w:tcBorders>
                  <w:vAlign w:val="center"/>
                </w:tcPr>
                <w:p w14:paraId="55B9A50A">
                  <w:pPr>
                    <w:jc w:val="center"/>
                    <w:rPr>
                      <w:rFonts w:hint="default" w:ascii="Times New Roman" w:hAnsi="Times New Roman" w:eastAsia="宋体" w:cs="Times New Roman"/>
                      <w:caps w:val="0"/>
                      <w:color w:val="000000" w:themeColor="text1"/>
                      <w:spacing w:val="4"/>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pacing w:val="4"/>
                      <w:szCs w:val="21"/>
                      <w:highlight w:val="none"/>
                      <w:lang w:val="en-US" w:eastAsia="zh-CN"/>
                      <w14:textFill>
                        <w14:solidFill>
                          <w14:schemeClr w14:val="tx1"/>
                        </w14:solidFill>
                      </w14:textFill>
                    </w:rPr>
                    <w:t>原料</w:t>
                  </w:r>
                  <w:r>
                    <w:rPr>
                      <w:rFonts w:hint="default" w:ascii="Times New Roman" w:hAnsi="Times New Roman" w:eastAsia="宋体" w:cs="Times New Roman"/>
                      <w:caps w:val="0"/>
                      <w:color w:val="000000" w:themeColor="text1"/>
                      <w:spacing w:val="4"/>
                      <w:szCs w:val="21"/>
                      <w:highlight w:val="none"/>
                      <w:lang w:val="en-US" w:eastAsia="zh-CN"/>
                      <w14:textFill>
                        <w14:solidFill>
                          <w14:schemeClr w14:val="tx1"/>
                        </w14:solidFill>
                      </w14:textFill>
                    </w:rPr>
                    <w:t>库、危废暂存库</w:t>
                  </w:r>
                </w:p>
              </w:tc>
              <w:tc>
                <w:tcPr>
                  <w:tcW w:w="1297" w:type="pct"/>
                  <w:tcBorders>
                    <w:tl2br w:val="nil"/>
                    <w:tr2bl w:val="nil"/>
                  </w:tcBorders>
                  <w:vAlign w:val="center"/>
                </w:tcPr>
                <w:p w14:paraId="5E2BF76E">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采用混凝土基础，上层铺防腐防渗环氧树脂地坪</w:t>
                  </w:r>
                </w:p>
              </w:tc>
              <w:tc>
                <w:tcPr>
                  <w:tcW w:w="1471" w:type="pct"/>
                  <w:tcBorders>
                    <w:tl2br w:val="nil"/>
                    <w:tr2bl w:val="nil"/>
                  </w:tcBorders>
                  <w:vAlign w:val="center"/>
                </w:tcPr>
                <w:p w14:paraId="65C4DDC0">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等效黏土防渗层Mb≥6.0m，K≤10</w:t>
                  </w:r>
                  <w:r>
                    <w:rPr>
                      <w:rFonts w:hint="default" w:ascii="Times New Roman" w:hAnsi="Times New Roman" w:eastAsia="宋体" w:cs="Times New Roman"/>
                      <w:caps w:val="0"/>
                      <w:color w:val="000000" w:themeColor="text1"/>
                      <w:szCs w:val="21"/>
                      <w:highlight w:val="none"/>
                      <w:vertAlign w:val="superscript"/>
                      <w14:textFill>
                        <w14:solidFill>
                          <w14:schemeClr w14:val="tx1"/>
                        </w14:solidFill>
                      </w14:textFill>
                    </w:rPr>
                    <w:t>-7</w:t>
                  </w:r>
                  <w:r>
                    <w:rPr>
                      <w:rFonts w:hint="default" w:ascii="Times New Roman" w:hAnsi="Times New Roman" w:eastAsia="宋体" w:cs="Times New Roman"/>
                      <w:caps w:val="0"/>
                      <w:color w:val="000000" w:themeColor="text1"/>
                      <w:szCs w:val="21"/>
                      <w:highlight w:val="none"/>
                      <w14:textFill>
                        <w14:solidFill>
                          <w14:schemeClr w14:val="tx1"/>
                        </w14:solidFill>
                      </w14:textFill>
                    </w:rPr>
                    <w:t>cm/s；或参照GB18598执行</w:t>
                  </w:r>
                </w:p>
              </w:tc>
              <w:tc>
                <w:tcPr>
                  <w:tcW w:w="615" w:type="pct"/>
                  <w:tcBorders>
                    <w:tl2br w:val="nil"/>
                    <w:tr2bl w:val="nil"/>
                  </w:tcBorders>
                  <w:vAlign w:val="center"/>
                </w:tcPr>
                <w:p w14:paraId="4A8FD18F">
                  <w:pPr>
                    <w:widowControl/>
                    <w:jc w:val="center"/>
                    <w:rPr>
                      <w:rFonts w:hint="default" w:ascii="Times New Roman" w:hAnsi="Times New Roman" w:eastAsia="宋体" w:cs="Times New Roman"/>
                      <w:caps w:val="0"/>
                      <w:color w:val="000000" w:themeColor="text1"/>
                      <w:spacing w:val="4"/>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szCs w:val="21"/>
                      <w:highlight w:val="none"/>
                      <w14:textFill>
                        <w14:solidFill>
                          <w14:schemeClr w14:val="tx1"/>
                        </w14:solidFill>
                      </w14:textFill>
                    </w:rPr>
                    <w:t>重点防渗区</w:t>
                  </w:r>
                </w:p>
              </w:tc>
            </w:tr>
            <w:tr w14:paraId="12F26B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tcBorders>
                    <w:tl2br w:val="nil"/>
                    <w:tr2bl w:val="nil"/>
                  </w:tcBorders>
                  <w:vAlign w:val="center"/>
                </w:tcPr>
                <w:p w14:paraId="338F78EC">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3</w:t>
                  </w:r>
                </w:p>
              </w:tc>
              <w:tc>
                <w:tcPr>
                  <w:tcW w:w="1250" w:type="pct"/>
                  <w:tcBorders>
                    <w:tl2br w:val="nil"/>
                    <w:tr2bl w:val="nil"/>
                  </w:tcBorders>
                  <w:vAlign w:val="center"/>
                </w:tcPr>
                <w:p w14:paraId="4638ADED">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生产区、其他仓库区域</w:t>
                  </w:r>
                </w:p>
              </w:tc>
              <w:tc>
                <w:tcPr>
                  <w:tcW w:w="1297" w:type="pct"/>
                  <w:tcBorders>
                    <w:tl2br w:val="nil"/>
                    <w:tr2bl w:val="nil"/>
                  </w:tcBorders>
                  <w:vAlign w:val="center"/>
                </w:tcPr>
                <w:p w14:paraId="62679D62">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采用混凝土硬化</w:t>
                  </w:r>
                </w:p>
              </w:tc>
              <w:tc>
                <w:tcPr>
                  <w:tcW w:w="1471" w:type="pct"/>
                  <w:tcBorders>
                    <w:tl2br w:val="nil"/>
                    <w:tr2bl w:val="nil"/>
                  </w:tcBorders>
                  <w:vAlign w:val="center"/>
                </w:tcPr>
                <w:p w14:paraId="22C1B22E">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等效黏土防渗层Mb≥1.5m，K≤10</w:t>
                  </w:r>
                  <w:r>
                    <w:rPr>
                      <w:rFonts w:hint="default" w:ascii="Times New Roman" w:hAnsi="Times New Roman" w:eastAsia="宋体" w:cs="Times New Roman"/>
                      <w:caps w:val="0"/>
                      <w:color w:val="000000" w:themeColor="text1"/>
                      <w:szCs w:val="21"/>
                      <w:highlight w:val="none"/>
                      <w:vertAlign w:val="superscript"/>
                      <w14:textFill>
                        <w14:solidFill>
                          <w14:schemeClr w14:val="tx1"/>
                        </w14:solidFill>
                      </w14:textFill>
                    </w:rPr>
                    <w:t>-7</w:t>
                  </w:r>
                  <w:r>
                    <w:rPr>
                      <w:rFonts w:hint="default" w:ascii="Times New Roman" w:hAnsi="Times New Roman" w:eastAsia="宋体" w:cs="Times New Roman"/>
                      <w:caps w:val="0"/>
                      <w:color w:val="000000" w:themeColor="text1"/>
                      <w:szCs w:val="21"/>
                      <w:highlight w:val="none"/>
                      <w14:textFill>
                        <w14:solidFill>
                          <w14:schemeClr w14:val="tx1"/>
                        </w14:solidFill>
                      </w14:textFill>
                    </w:rPr>
                    <w:t>cm/s；或参照GB16889执行</w:t>
                  </w:r>
                </w:p>
              </w:tc>
              <w:tc>
                <w:tcPr>
                  <w:tcW w:w="615" w:type="pct"/>
                  <w:tcBorders>
                    <w:tl2br w:val="nil"/>
                    <w:tr2bl w:val="nil"/>
                  </w:tcBorders>
                  <w:vAlign w:val="center"/>
                </w:tcPr>
                <w:p w14:paraId="30918637">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一般防渗区</w:t>
                  </w:r>
                </w:p>
              </w:tc>
            </w:tr>
            <w:tr w14:paraId="5C3CA4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 w:type="pct"/>
                  <w:tcBorders>
                    <w:tl2br w:val="nil"/>
                    <w:tr2bl w:val="nil"/>
                  </w:tcBorders>
                  <w:vAlign w:val="center"/>
                </w:tcPr>
                <w:p w14:paraId="7F969880">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4</w:t>
                  </w:r>
                </w:p>
              </w:tc>
              <w:tc>
                <w:tcPr>
                  <w:tcW w:w="1250" w:type="pct"/>
                  <w:tcBorders>
                    <w:tl2br w:val="nil"/>
                    <w:tr2bl w:val="nil"/>
                  </w:tcBorders>
                  <w:vAlign w:val="center"/>
                </w:tcPr>
                <w:p w14:paraId="0FA92080">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除重点防渗区、一般防渗区外的区域</w:t>
                  </w:r>
                </w:p>
              </w:tc>
              <w:tc>
                <w:tcPr>
                  <w:tcW w:w="1297" w:type="pct"/>
                  <w:tcBorders>
                    <w:tl2br w:val="nil"/>
                    <w:tr2bl w:val="nil"/>
                  </w:tcBorders>
                  <w:vAlign w:val="center"/>
                </w:tcPr>
                <w:p w14:paraId="5EFFF70A">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天然粘土层+一般地面硬化</w:t>
                  </w:r>
                </w:p>
              </w:tc>
              <w:tc>
                <w:tcPr>
                  <w:tcW w:w="1471" w:type="pct"/>
                  <w:tcBorders>
                    <w:tl2br w:val="nil"/>
                    <w:tr2bl w:val="nil"/>
                  </w:tcBorders>
                  <w:vAlign w:val="center"/>
                </w:tcPr>
                <w:p w14:paraId="5C64E6C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一般地面硬化</w:t>
                  </w:r>
                </w:p>
              </w:tc>
              <w:tc>
                <w:tcPr>
                  <w:tcW w:w="615" w:type="pct"/>
                  <w:tcBorders>
                    <w:tl2br w:val="nil"/>
                    <w:tr2bl w:val="nil"/>
                  </w:tcBorders>
                  <w:vAlign w:val="center"/>
                </w:tcPr>
                <w:p w14:paraId="138DB7E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简单防渗区</w:t>
                  </w:r>
                </w:p>
              </w:tc>
            </w:tr>
          </w:tbl>
          <w:p w14:paraId="12D784E4">
            <w:pPr>
              <w:spacing w:before="120" w:beforeLines="50"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（3）地下水、土壤环境影响</w:t>
            </w:r>
          </w:p>
          <w:p w14:paraId="03D1EE91">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经采取有效的分区防渗措施及污染防控措施，项目对区域地下水、土壤环境基本不造成影响。</w:t>
            </w:r>
          </w:p>
          <w:p w14:paraId="061BBBB9">
            <w:pPr>
              <w:spacing w:line="360" w:lineRule="auto"/>
              <w:ind w:firstLine="482" w:firstLineChars="200"/>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highlight w:val="none"/>
                <w14:textFill>
                  <w14:solidFill>
                    <w14:schemeClr w14:val="tx1"/>
                  </w14:solidFill>
                </w14:textFill>
              </w:rPr>
              <w:t>六、生态环境影响及保护措施</w:t>
            </w:r>
          </w:p>
          <w:p w14:paraId="7C29DAA1">
            <w:pPr>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lang w:bidi="ar"/>
                <w14:textFill>
                  <w14:solidFill>
                    <w14:schemeClr w14:val="tx1"/>
                  </w14:solidFill>
                </w14:textFill>
              </w:rPr>
              <w:t>本项目位于</w:t>
            </w:r>
            <w:r>
              <w:rPr>
                <w:rFonts w:hint="default" w:ascii="Times New Roman" w:hAnsi="Times New Roman" w:eastAsia="宋体" w:cs="Times New Roman"/>
                <w:caps w:val="0"/>
                <w:color w:val="000000" w:themeColor="text1"/>
                <w:sz w:val="24"/>
                <w:highlight w:val="none"/>
                <w14:textFill>
                  <w14:solidFill>
                    <w14:schemeClr w14:val="tx1"/>
                  </w14:solidFill>
                </w14:textFill>
              </w:rPr>
              <w:t>芜湖市弋江区高新技术开发区漳河路28号</w:t>
            </w:r>
            <w:r>
              <w:rPr>
                <w:rFonts w:hint="default" w:ascii="Times New Roman" w:hAnsi="Times New Roman" w:eastAsia="宋体" w:cs="Times New Roman"/>
                <w:caps w:val="0"/>
                <w:color w:val="000000" w:themeColor="text1"/>
                <w:sz w:val="24"/>
                <w:highlight w:val="none"/>
                <w:lang w:bidi="ar"/>
                <w14:textFill>
                  <w14:solidFill>
                    <w14:schemeClr w14:val="tx1"/>
                  </w14:solidFill>
                </w14:textFill>
              </w:rPr>
              <w:t>，项目用地范围内不涉及生态环境保护目标，</w:t>
            </w:r>
            <w:r>
              <w:rPr>
                <w:rFonts w:hint="default" w:ascii="Times New Roman" w:hAnsi="Times New Roman" w:eastAsia="宋体" w:cs="Times New Roman"/>
                <w:caps w:val="0"/>
                <w:color w:val="000000" w:themeColor="text1"/>
                <w:sz w:val="24"/>
                <w:highlight w:val="none"/>
                <w14:textFill>
                  <w14:solidFill>
                    <w14:schemeClr w14:val="tx1"/>
                  </w14:solidFill>
                </w14:textFill>
              </w:rPr>
              <w:t>无生态环境影响。</w:t>
            </w:r>
          </w:p>
          <w:p w14:paraId="7E23B69B">
            <w:pPr>
              <w:spacing w:line="360" w:lineRule="auto"/>
              <w:ind w:firstLine="482" w:firstLineChars="200"/>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七、环境风险评价</w:t>
            </w:r>
          </w:p>
          <w:p w14:paraId="3EBCC131">
            <w:pPr>
              <w:adjustRightInd w:val="0"/>
              <w:snapToGrid w:val="0"/>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（1）风险调查</w:t>
            </w:r>
          </w:p>
          <w:p w14:paraId="0B5AC91F">
            <w:pPr>
              <w:adjustRightInd w:val="0"/>
              <w:snapToGrid w:val="0"/>
              <w:spacing w:line="360" w:lineRule="auto"/>
              <w:ind w:firstLine="480" w:firstLineChars="200"/>
              <w:rPr>
                <w:rFonts w:hint="default" w:ascii="Times New Roman" w:hAnsi="Times New Roman" w:eastAsia="宋体" w:cs="Times New Roman"/>
                <w:caps w:val="0"/>
                <w:color w:val="000000" w:themeColor="text1"/>
                <w:sz w:val="24"/>
                <w:highlight w:val="none"/>
                <w:lang w:val="en-US"/>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厂区</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现有项目</w:t>
            </w:r>
            <w:r>
              <w:rPr>
                <w:rFonts w:hint="default" w:ascii="Times New Roman" w:hAnsi="Times New Roman" w:eastAsia="宋体" w:cs="Times New Roman"/>
                <w:caps w:val="0"/>
                <w:color w:val="000000" w:themeColor="text1"/>
                <w:sz w:val="24"/>
                <w:highlight w:val="none"/>
                <w14:textFill>
                  <w14:solidFill>
                    <w14:schemeClr w14:val="tx1"/>
                  </w14:solidFill>
                </w14:textFill>
              </w:rPr>
              <w:t>涉及到的主要危险化学品为</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润滑油、切削液</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危险废物等物质，</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本项目新增风险</w:t>
            </w:r>
            <w:r>
              <w:rPr>
                <w:rFonts w:hint="default" w:ascii="Times New Roman" w:hAnsi="Times New Roman" w:eastAsia="宋体" w:cs="Times New Roman"/>
                <w:caps w:val="0"/>
                <w:color w:val="000000" w:themeColor="text1"/>
                <w:sz w:val="24"/>
                <w:highlight w:val="none"/>
                <w14:textFill>
                  <w14:solidFill>
                    <w14:schemeClr w14:val="tx1"/>
                  </w14:solidFill>
                </w14:textFill>
              </w:rPr>
              <w:t>物质</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的</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为润滑油、切削液、危险废物。</w:t>
            </w:r>
          </w:p>
          <w:p w14:paraId="00200903">
            <w:pPr>
              <w:widowControl/>
              <w:ind w:firstLine="482" w:firstLineChars="200"/>
              <w:jc w:val="cente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表4-</w:t>
            </w:r>
            <w:r>
              <w:rPr>
                <w:rFonts w:hint="eastAsia" w:ascii="Times New Roman" w:hAnsi="Times New Roman" w:cs="Times New Roman"/>
                <w:b/>
                <w:caps w:val="0"/>
                <w:color w:val="000000" w:themeColor="text1"/>
                <w:kern w:val="0"/>
                <w:sz w:val="24"/>
                <w:szCs w:val="20"/>
                <w:highlight w:val="none"/>
                <w:lang w:val="en-US" w:eastAsia="zh-CN"/>
                <w14:textFill>
                  <w14:solidFill>
                    <w14:schemeClr w14:val="tx1"/>
                  </w14:solidFill>
                </w14:textFill>
              </w:rPr>
              <w:t>20</w:t>
            </w: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 xml:space="preserve">  </w:t>
            </w:r>
            <w:r>
              <w:rPr>
                <w:rFonts w:hint="default" w:ascii="Times New Roman" w:hAnsi="Times New Roman" w:eastAsia="宋体" w:cs="Times New Roman"/>
                <w:b/>
                <w:caps w:val="0"/>
                <w:color w:val="000000" w:themeColor="text1"/>
                <w:kern w:val="0"/>
                <w:sz w:val="24"/>
                <w:szCs w:val="20"/>
                <w:highlight w:val="none"/>
                <w:lang w:val="en-US" w:eastAsia="zh-CN"/>
                <w14:textFill>
                  <w14:solidFill>
                    <w14:schemeClr w14:val="tx1"/>
                  </w14:solidFill>
                </w14:textFill>
              </w:rPr>
              <w:t>全厂</w:t>
            </w: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危险物质储存情况一览表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1391"/>
              <w:gridCol w:w="1517"/>
              <w:gridCol w:w="1603"/>
              <w:gridCol w:w="903"/>
              <w:gridCol w:w="1107"/>
            </w:tblGrid>
            <w:tr w14:paraId="14AF75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3" w:type="pct"/>
                  <w:tcBorders>
                    <w:tl2br w:val="nil"/>
                    <w:tr2bl w:val="nil"/>
                  </w:tcBorders>
                  <w:vAlign w:val="center"/>
                </w:tcPr>
                <w:p w14:paraId="6BCB6D18">
                  <w:pPr>
                    <w:adjustRightInd w:val="0"/>
                    <w:snapToGrid w:val="0"/>
                    <w:jc w:val="cente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t>风险源</w:t>
                  </w:r>
                </w:p>
              </w:tc>
              <w:tc>
                <w:tcPr>
                  <w:tcW w:w="884" w:type="pct"/>
                  <w:tcBorders>
                    <w:tl2br w:val="nil"/>
                    <w:tr2bl w:val="nil"/>
                  </w:tcBorders>
                  <w:vAlign w:val="center"/>
                </w:tcPr>
                <w:p w14:paraId="0F1E91A2">
                  <w:pPr>
                    <w:adjustRightInd w:val="0"/>
                    <w:snapToGrid w:val="0"/>
                    <w:jc w:val="cente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t>危险物质</w:t>
                  </w:r>
                </w:p>
              </w:tc>
              <w:tc>
                <w:tcPr>
                  <w:tcW w:w="964" w:type="pct"/>
                  <w:tcBorders>
                    <w:tl2br w:val="nil"/>
                    <w:tr2bl w:val="nil"/>
                  </w:tcBorders>
                  <w:vAlign w:val="center"/>
                </w:tcPr>
                <w:p w14:paraId="5B7D7F16">
                  <w:pPr>
                    <w:adjustRightInd w:val="0"/>
                    <w:snapToGrid w:val="0"/>
                    <w:jc w:val="cente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t>环境风险物质编号</w:t>
                  </w:r>
                </w:p>
              </w:tc>
              <w:tc>
                <w:tcPr>
                  <w:tcW w:w="1019" w:type="pct"/>
                  <w:tcBorders>
                    <w:tl2br w:val="nil"/>
                    <w:tr2bl w:val="nil"/>
                  </w:tcBorders>
                  <w:vAlign w:val="center"/>
                </w:tcPr>
                <w:p w14:paraId="306CCA33">
                  <w:pPr>
                    <w:adjustRightInd w:val="0"/>
                    <w:snapToGrid w:val="0"/>
                    <w:jc w:val="cente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t>最大</w:t>
                  </w:r>
                  <w:r>
                    <w:rPr>
                      <w:rFonts w:hint="default" w:ascii="Times New Roman" w:hAnsi="Times New Roman" w:eastAsia="宋体" w:cs="Times New Roman"/>
                      <w:b/>
                      <w:caps w:val="0"/>
                      <w:color w:val="000000" w:themeColor="text1"/>
                      <w:kern w:val="0"/>
                      <w:szCs w:val="20"/>
                      <w:highlight w:val="none"/>
                      <w:lang w:val="en-US" w:eastAsia="zh-CN"/>
                      <w14:textFill>
                        <w14:solidFill>
                          <w14:schemeClr w14:val="tx1"/>
                        </w14:solidFill>
                      </w14:textFill>
                    </w:rPr>
                    <w:t>存在量</w:t>
                  </w:r>
                  <w: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t>（t）</w:t>
                  </w:r>
                </w:p>
              </w:tc>
              <w:tc>
                <w:tcPr>
                  <w:tcW w:w="574" w:type="pct"/>
                  <w:tcBorders>
                    <w:tl2br w:val="nil"/>
                    <w:tr2bl w:val="nil"/>
                  </w:tcBorders>
                  <w:vAlign w:val="center"/>
                </w:tcPr>
                <w:p w14:paraId="43B93220">
                  <w:pPr>
                    <w:adjustRightInd w:val="0"/>
                    <w:snapToGrid w:val="0"/>
                    <w:jc w:val="cente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t>临界量（t）</w:t>
                  </w:r>
                </w:p>
              </w:tc>
              <w:tc>
                <w:tcPr>
                  <w:tcW w:w="703" w:type="pct"/>
                  <w:tcBorders>
                    <w:tl2br w:val="nil"/>
                    <w:tr2bl w:val="nil"/>
                  </w:tcBorders>
                  <w:vAlign w:val="center"/>
                </w:tcPr>
                <w:p w14:paraId="2421D6DD">
                  <w:pPr>
                    <w:adjustRightInd w:val="0"/>
                    <w:snapToGrid w:val="0"/>
                    <w:jc w:val="cente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0"/>
                      <w:highlight w:val="none"/>
                      <w14:textFill>
                        <w14:solidFill>
                          <w14:schemeClr w14:val="tx1"/>
                        </w14:solidFill>
                      </w14:textFill>
                    </w:rPr>
                    <w:t>Q值</w:t>
                  </w:r>
                </w:p>
              </w:tc>
            </w:tr>
            <w:tr w14:paraId="2392B9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3" w:type="pct"/>
                  <w:vMerge w:val="restart"/>
                  <w:tcBorders>
                    <w:tl2br w:val="nil"/>
                    <w:tr2bl w:val="nil"/>
                  </w:tcBorders>
                  <w:vAlign w:val="center"/>
                </w:tcPr>
                <w:p w14:paraId="207C4692">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原料</w:t>
                  </w: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库</w:t>
                  </w:r>
                </w:p>
              </w:tc>
              <w:tc>
                <w:tcPr>
                  <w:tcW w:w="884" w:type="pct"/>
                  <w:tcBorders>
                    <w:tl2br w:val="nil"/>
                    <w:tr2bl w:val="nil"/>
                  </w:tcBorders>
                  <w:vAlign w:val="center"/>
                </w:tcPr>
                <w:p w14:paraId="56F5F708">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lang w:val="en-US" w:eastAsia="zh-CN"/>
                      <w14:textFill>
                        <w14:solidFill>
                          <w14:schemeClr w14:val="tx1"/>
                        </w14:solidFill>
                      </w14:textFill>
                    </w:rPr>
                    <w:t>切削液</w:t>
                  </w:r>
                </w:p>
              </w:tc>
              <w:tc>
                <w:tcPr>
                  <w:tcW w:w="964" w:type="pct"/>
                  <w:tcBorders>
                    <w:tl2br w:val="nil"/>
                    <w:tr2bl w:val="nil"/>
                  </w:tcBorders>
                  <w:vAlign w:val="center"/>
                </w:tcPr>
                <w:p w14:paraId="1FA7E846">
                  <w:pPr>
                    <w:adjustRightInd w:val="0"/>
                    <w:snapToGrid w:val="0"/>
                    <w:jc w:val="center"/>
                    <w:rPr>
                      <w:rFonts w:hint="default" w:ascii="Times New Roman" w:hAnsi="Times New Roman" w:eastAsia="宋体" w:cs="Times New Roman"/>
                      <w:caps w:val="0"/>
                      <w:color w:val="000000" w:themeColor="text1"/>
                      <w:kern w:val="0"/>
                      <w:szCs w:val="20"/>
                      <w:highlight w:val="none"/>
                      <w:lang w:eastAsia="zh-CN"/>
                      <w14:textFill>
                        <w14:solidFill>
                          <w14:schemeClr w14:val="tx1"/>
                        </w14:solidFill>
                      </w14:textFill>
                    </w:rPr>
                  </w:pP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w:t>
                  </w:r>
                </w:p>
              </w:tc>
              <w:tc>
                <w:tcPr>
                  <w:tcW w:w="1019" w:type="pct"/>
                  <w:tcBorders>
                    <w:tl2br w:val="nil"/>
                    <w:tr2bl w:val="nil"/>
                  </w:tcBorders>
                  <w:vAlign w:val="center"/>
                </w:tcPr>
                <w:p w14:paraId="005CA516">
                  <w:pPr>
                    <w:adjustRightInd w:val="0"/>
                    <w:snapToGrid w:val="0"/>
                    <w:jc w:val="center"/>
                    <w:rPr>
                      <w:rFonts w:hint="default" w:ascii="Times New Roman" w:hAnsi="Times New Roman" w:eastAsia="宋体" w:cs="Times New Roman"/>
                      <w:caps w:val="0"/>
                      <w:color w:val="000000" w:themeColor="text1"/>
                      <w:kern w:val="0"/>
                      <w:szCs w:val="20"/>
                      <w:highlight w:val="none"/>
                      <w:lang w:val="en-US" w:eastAsia="zh-CN"/>
                      <w14:textFill>
                        <w14:solidFill>
                          <w14:schemeClr w14:val="tx1"/>
                        </w14:solidFill>
                      </w14:textFill>
                    </w:rPr>
                  </w:pP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0.0</w:t>
                  </w:r>
                  <w:r>
                    <w:rPr>
                      <w:rFonts w:hint="eastAsia" w:cs="Times New Roman"/>
                      <w:caps w:val="0"/>
                      <w:color w:val="000000" w:themeColor="text1"/>
                      <w:kern w:val="0"/>
                      <w:szCs w:val="20"/>
                      <w:highlight w:val="none"/>
                      <w:lang w:val="en-US" w:eastAsia="zh-CN"/>
                      <w14:textFill>
                        <w14:solidFill>
                          <w14:schemeClr w14:val="tx1"/>
                        </w14:solidFill>
                      </w14:textFill>
                    </w:rPr>
                    <w:t>1</w:t>
                  </w:r>
                </w:p>
              </w:tc>
              <w:tc>
                <w:tcPr>
                  <w:tcW w:w="574" w:type="pct"/>
                  <w:tcBorders>
                    <w:tl2br w:val="nil"/>
                    <w:tr2bl w:val="nil"/>
                  </w:tcBorders>
                  <w:vAlign w:val="center"/>
                </w:tcPr>
                <w:p w14:paraId="1E8A0B21">
                  <w:pPr>
                    <w:adjustRightInd w:val="0"/>
                    <w:snapToGrid w:val="0"/>
                    <w:jc w:val="center"/>
                    <w:rPr>
                      <w:rFonts w:hint="default" w:ascii="Times New Roman" w:hAnsi="Times New Roman" w:eastAsia="宋体" w:cs="Times New Roman"/>
                      <w:caps w:val="0"/>
                      <w:color w:val="000000" w:themeColor="text1"/>
                      <w:kern w:val="0"/>
                      <w:szCs w:val="20"/>
                      <w:highlight w:val="none"/>
                      <w:lang w:val="en-US" w:eastAsia="zh-CN"/>
                      <w14:textFill>
                        <w14:solidFill>
                          <w14:schemeClr w14:val="tx1"/>
                        </w14:solidFill>
                      </w14:textFill>
                    </w:rPr>
                  </w:pP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2500</w:t>
                  </w:r>
                </w:p>
              </w:tc>
              <w:tc>
                <w:tcPr>
                  <w:tcW w:w="703" w:type="pct"/>
                  <w:tcBorders>
                    <w:tl2br w:val="nil"/>
                    <w:tr2bl w:val="nil"/>
                  </w:tcBorders>
                  <w:vAlign w:val="center"/>
                </w:tcPr>
                <w:p w14:paraId="504D5405">
                  <w:pPr>
                    <w:adjustRightInd w:val="0"/>
                    <w:snapToGrid w:val="0"/>
                    <w:jc w:val="center"/>
                    <w:rPr>
                      <w:rFonts w:hint="default" w:ascii="Times New Roman" w:hAnsi="Times New Roman" w:eastAsia="宋体" w:cs="Times New Roman"/>
                      <w:caps w:val="0"/>
                      <w:color w:val="000000" w:themeColor="text1"/>
                      <w:kern w:val="0"/>
                      <w:szCs w:val="20"/>
                      <w:highlight w:val="none"/>
                      <w:lang w:val="en-US" w:eastAsia="zh-CN"/>
                      <w14:textFill>
                        <w14:solidFill>
                          <w14:schemeClr w14:val="tx1"/>
                        </w14:solidFill>
                      </w14:textFill>
                    </w:rPr>
                  </w:pP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0.0000</w:t>
                  </w:r>
                  <w:r>
                    <w:rPr>
                      <w:rFonts w:hint="eastAsia" w:cs="Times New Roman"/>
                      <w:caps w:val="0"/>
                      <w:color w:val="000000" w:themeColor="text1"/>
                      <w:kern w:val="0"/>
                      <w:szCs w:val="20"/>
                      <w:highlight w:val="none"/>
                      <w:lang w:val="en-US" w:eastAsia="zh-CN"/>
                      <w14:textFill>
                        <w14:solidFill>
                          <w14:schemeClr w14:val="tx1"/>
                        </w14:solidFill>
                      </w14:textFill>
                    </w:rPr>
                    <w:t>04</w:t>
                  </w:r>
                </w:p>
              </w:tc>
            </w:tr>
            <w:tr w14:paraId="04315C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3" w:type="pct"/>
                  <w:vMerge w:val="continue"/>
                  <w:tcBorders>
                    <w:tl2br w:val="nil"/>
                    <w:tr2bl w:val="nil"/>
                  </w:tcBorders>
                  <w:vAlign w:val="center"/>
                </w:tcPr>
                <w:p w14:paraId="1D6840DD">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p>
              </w:tc>
              <w:tc>
                <w:tcPr>
                  <w:tcW w:w="884" w:type="pct"/>
                  <w:tcBorders>
                    <w:tl2br w:val="nil"/>
                    <w:tr2bl w:val="nil"/>
                  </w:tcBorders>
                  <w:vAlign w:val="center"/>
                </w:tcPr>
                <w:p w14:paraId="6BDEFFD3">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润滑油</w:t>
                  </w:r>
                </w:p>
              </w:tc>
              <w:tc>
                <w:tcPr>
                  <w:tcW w:w="964" w:type="pct"/>
                  <w:tcBorders>
                    <w:tl2br w:val="nil"/>
                    <w:tr2bl w:val="nil"/>
                  </w:tcBorders>
                  <w:vAlign w:val="center"/>
                </w:tcPr>
                <w:p w14:paraId="65F936E2">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w:t>
                  </w: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 xml:space="preserve"> </w:t>
                  </w:r>
                </w:p>
              </w:tc>
              <w:tc>
                <w:tcPr>
                  <w:tcW w:w="1019" w:type="pct"/>
                  <w:tcBorders>
                    <w:tl2br w:val="nil"/>
                    <w:tr2bl w:val="nil"/>
                  </w:tcBorders>
                  <w:vAlign w:val="center"/>
                </w:tcPr>
                <w:p w14:paraId="4728D9B6">
                  <w:pPr>
                    <w:adjustRightInd w:val="0"/>
                    <w:snapToGrid w:val="0"/>
                    <w:jc w:val="center"/>
                    <w:rPr>
                      <w:rFonts w:hint="default" w:ascii="Times New Roman" w:hAnsi="Times New Roman" w:eastAsia="宋体" w:cs="Times New Roman"/>
                      <w:caps w:val="0"/>
                      <w:color w:val="000000" w:themeColor="text1"/>
                      <w:kern w:val="0"/>
                      <w:szCs w:val="20"/>
                      <w:highlight w:val="none"/>
                      <w:lang w:val="en-US"/>
                      <w14:textFill>
                        <w14:solidFill>
                          <w14:schemeClr w14:val="tx1"/>
                        </w14:solidFill>
                      </w14:textFill>
                    </w:rPr>
                  </w:pP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0.9</w:t>
                  </w:r>
                </w:p>
              </w:tc>
              <w:tc>
                <w:tcPr>
                  <w:tcW w:w="574" w:type="pct"/>
                  <w:tcBorders>
                    <w:tl2br w:val="nil"/>
                    <w:tr2bl w:val="nil"/>
                  </w:tcBorders>
                  <w:vAlign w:val="center"/>
                </w:tcPr>
                <w:p w14:paraId="0919628D">
                  <w:pPr>
                    <w:adjustRightInd w:val="0"/>
                    <w:snapToGrid w:val="0"/>
                    <w:jc w:val="center"/>
                    <w:rPr>
                      <w:rFonts w:hint="default" w:ascii="Times New Roman" w:hAnsi="Times New Roman" w:eastAsia="宋体" w:cs="Times New Roman"/>
                      <w:caps w:val="0"/>
                      <w:color w:val="000000" w:themeColor="text1"/>
                      <w:kern w:val="0"/>
                      <w:szCs w:val="20"/>
                      <w:highlight w:val="none"/>
                      <w:lang w:val="en-US" w:eastAsia="zh-CN"/>
                      <w14:textFill>
                        <w14:solidFill>
                          <w14:schemeClr w14:val="tx1"/>
                        </w14:solidFill>
                      </w14:textFill>
                    </w:rPr>
                  </w:pP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2500</w:t>
                  </w:r>
                </w:p>
              </w:tc>
              <w:tc>
                <w:tcPr>
                  <w:tcW w:w="703" w:type="pct"/>
                  <w:tcBorders>
                    <w:tl2br w:val="nil"/>
                    <w:tr2bl w:val="nil"/>
                  </w:tcBorders>
                  <w:vAlign w:val="center"/>
                </w:tcPr>
                <w:p w14:paraId="584E1C8D">
                  <w:pPr>
                    <w:adjustRightInd w:val="0"/>
                    <w:snapToGrid w:val="0"/>
                    <w:jc w:val="center"/>
                    <w:rPr>
                      <w:rFonts w:hint="default" w:ascii="Times New Roman" w:hAnsi="Times New Roman" w:eastAsia="宋体" w:cs="Times New Roman"/>
                      <w:caps w:val="0"/>
                      <w:color w:val="000000" w:themeColor="text1"/>
                      <w:kern w:val="0"/>
                      <w:szCs w:val="20"/>
                      <w:highlight w:val="none"/>
                      <w:lang w:val="en-US"/>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0.00</w:t>
                  </w: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036</w:t>
                  </w:r>
                </w:p>
              </w:tc>
            </w:tr>
            <w:tr w14:paraId="0FC1AA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3" w:type="pct"/>
                  <w:tcBorders>
                    <w:tl2br w:val="nil"/>
                    <w:tr2bl w:val="nil"/>
                  </w:tcBorders>
                  <w:vAlign w:val="center"/>
                </w:tcPr>
                <w:p w14:paraId="2B9DC1E5">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危废暂存库</w:t>
                  </w:r>
                </w:p>
              </w:tc>
              <w:tc>
                <w:tcPr>
                  <w:tcW w:w="884" w:type="pct"/>
                  <w:tcBorders>
                    <w:tl2br w:val="nil"/>
                    <w:tr2bl w:val="nil"/>
                  </w:tcBorders>
                  <w:vAlign w:val="center"/>
                </w:tcPr>
                <w:p w14:paraId="466A55F8">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危险废物</w:t>
                  </w:r>
                </w:p>
              </w:tc>
              <w:tc>
                <w:tcPr>
                  <w:tcW w:w="964" w:type="pct"/>
                  <w:tcBorders>
                    <w:tl2br w:val="nil"/>
                    <w:tr2bl w:val="nil"/>
                  </w:tcBorders>
                  <w:vAlign w:val="center"/>
                </w:tcPr>
                <w:p w14:paraId="73C66EE6">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w:t>
                  </w:r>
                </w:p>
              </w:tc>
              <w:tc>
                <w:tcPr>
                  <w:tcW w:w="1019" w:type="pct"/>
                  <w:tcBorders>
                    <w:tl2br w:val="nil"/>
                    <w:tr2bl w:val="nil"/>
                  </w:tcBorders>
                  <w:vAlign w:val="center"/>
                </w:tcPr>
                <w:p w14:paraId="55C46828">
                  <w:pPr>
                    <w:adjustRightInd w:val="0"/>
                    <w:snapToGrid w:val="0"/>
                    <w:jc w:val="center"/>
                    <w:rPr>
                      <w:rFonts w:hint="default" w:ascii="Times New Roman" w:hAnsi="Times New Roman" w:eastAsia="宋体" w:cs="Times New Roman"/>
                      <w:caps w:val="0"/>
                      <w:color w:val="000000" w:themeColor="text1"/>
                      <w:kern w:val="0"/>
                      <w:szCs w:val="20"/>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lang w:val="en-US" w:eastAsia="zh-CN"/>
                      <w14:textFill>
                        <w14:solidFill>
                          <w14:schemeClr w14:val="tx1"/>
                        </w14:solidFill>
                      </w14:textFill>
                    </w:rPr>
                    <w:t>7</w:t>
                  </w: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w:t>
                  </w:r>
                  <w:r>
                    <w:rPr>
                      <w:rFonts w:hint="eastAsia" w:cs="Times New Roman"/>
                      <w:caps w:val="0"/>
                      <w:color w:val="000000" w:themeColor="text1"/>
                      <w:kern w:val="0"/>
                      <w:szCs w:val="20"/>
                      <w:highlight w:val="none"/>
                      <w:lang w:val="en-US" w:eastAsia="zh-CN"/>
                      <w14:textFill>
                        <w14:solidFill>
                          <w14:schemeClr w14:val="tx1"/>
                        </w14:solidFill>
                      </w14:textFill>
                    </w:rPr>
                    <w:t>7</w:t>
                  </w: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36</w:t>
                  </w:r>
                </w:p>
              </w:tc>
              <w:tc>
                <w:tcPr>
                  <w:tcW w:w="574" w:type="pct"/>
                  <w:tcBorders>
                    <w:tl2br w:val="nil"/>
                    <w:tr2bl w:val="nil"/>
                  </w:tcBorders>
                  <w:vAlign w:val="center"/>
                </w:tcPr>
                <w:p w14:paraId="5B51ABA7">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50</w:t>
                  </w:r>
                </w:p>
              </w:tc>
              <w:tc>
                <w:tcPr>
                  <w:tcW w:w="703" w:type="pct"/>
                  <w:tcBorders>
                    <w:tl2br w:val="nil"/>
                    <w:tr2bl w:val="nil"/>
                  </w:tcBorders>
                  <w:vAlign w:val="center"/>
                </w:tcPr>
                <w:p w14:paraId="3E1AF776">
                  <w:pPr>
                    <w:adjustRightInd w:val="0"/>
                    <w:snapToGrid w:val="0"/>
                    <w:jc w:val="center"/>
                    <w:rPr>
                      <w:rFonts w:hint="default" w:ascii="Times New Roman" w:hAnsi="Times New Roman" w:eastAsia="宋体" w:cs="Times New Roman"/>
                      <w:caps w:val="0"/>
                      <w:color w:val="000000" w:themeColor="text1"/>
                      <w:kern w:val="0"/>
                      <w:szCs w:val="20"/>
                      <w:highlight w:val="none"/>
                      <w:lang w:val="en-US" w:eastAsia="zh-CN"/>
                      <w14:textFill>
                        <w14:solidFill>
                          <w14:schemeClr w14:val="tx1"/>
                        </w14:solidFill>
                      </w14:textFill>
                    </w:rPr>
                  </w:pPr>
                  <w:r>
                    <w:rPr>
                      <w:rFonts w:hint="eastAsia" w:cs="Times New Roman"/>
                      <w:caps w:val="0"/>
                      <w:color w:val="000000" w:themeColor="text1"/>
                      <w:kern w:val="0"/>
                      <w:szCs w:val="20"/>
                      <w:highlight w:val="none"/>
                      <w:lang w:val="en-US" w:eastAsia="zh-CN"/>
                      <w14:textFill>
                        <w14:solidFill>
                          <w14:schemeClr w14:val="tx1"/>
                        </w14:solidFill>
                      </w14:textFill>
                    </w:rPr>
                    <w:t>0.155</w:t>
                  </w:r>
                </w:p>
              </w:tc>
            </w:tr>
            <w:tr w14:paraId="0459B4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6" w:type="pct"/>
                  <w:gridSpan w:val="5"/>
                  <w:tcBorders>
                    <w:tl2br w:val="nil"/>
                    <w:tr2bl w:val="nil"/>
                  </w:tcBorders>
                  <w:vAlign w:val="center"/>
                </w:tcPr>
                <w:p w14:paraId="3FAB258B">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合计</w:t>
                  </w:r>
                </w:p>
              </w:tc>
              <w:tc>
                <w:tcPr>
                  <w:tcW w:w="703" w:type="pct"/>
                  <w:tcBorders>
                    <w:tl2br w:val="nil"/>
                    <w:tr2bl w:val="nil"/>
                  </w:tcBorders>
                  <w:vAlign w:val="center"/>
                </w:tcPr>
                <w:p w14:paraId="3B45899A">
                  <w:pPr>
                    <w:adjustRightInd w:val="0"/>
                    <w:snapToGrid w:val="0"/>
                    <w:jc w:val="center"/>
                    <w:rPr>
                      <w:rFonts w:hint="default" w:ascii="Times New Roman" w:hAnsi="Times New Roman" w:eastAsia="宋体" w:cs="Times New Roman"/>
                      <w:caps w:val="0"/>
                      <w:color w:val="000000" w:themeColor="text1"/>
                      <w:kern w:val="0"/>
                      <w:szCs w:val="20"/>
                      <w:highlight w:val="none"/>
                      <w:lang w:val="en-US" w:eastAsia="zh-CN"/>
                      <w14:textFill>
                        <w14:solidFill>
                          <w14:schemeClr w14:val="tx1"/>
                        </w14:solidFill>
                      </w14:textFill>
                    </w:rPr>
                  </w:pPr>
                  <w:r>
                    <w:rPr>
                      <w:rFonts w:hint="default" w:ascii="Times New Roman" w:hAnsi="Times New Roman" w:cs="Times New Roman"/>
                      <w:caps w:val="0"/>
                      <w:color w:val="000000" w:themeColor="text1"/>
                      <w:kern w:val="0"/>
                      <w:szCs w:val="20"/>
                      <w:highlight w:val="none"/>
                      <w:lang w:val="en-US" w:eastAsia="zh-CN"/>
                      <w14:textFill>
                        <w14:solidFill>
                          <w14:schemeClr w14:val="tx1"/>
                        </w14:solidFill>
                      </w14:textFill>
                    </w:rPr>
                    <w:t>0.</w:t>
                  </w:r>
                  <w:r>
                    <w:rPr>
                      <w:rFonts w:hint="eastAsia" w:cs="Times New Roman"/>
                      <w:caps w:val="0"/>
                      <w:color w:val="000000" w:themeColor="text1"/>
                      <w:kern w:val="0"/>
                      <w:szCs w:val="20"/>
                      <w:highlight w:val="none"/>
                      <w:lang w:val="en-US" w:eastAsia="zh-CN"/>
                      <w14:textFill>
                        <w14:solidFill>
                          <w14:schemeClr w14:val="tx1"/>
                        </w14:solidFill>
                      </w14:textFill>
                    </w:rPr>
                    <w:t>55364</w:t>
                  </w:r>
                </w:p>
              </w:tc>
            </w:tr>
          </w:tbl>
          <w:p w14:paraId="4E13EC17">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eastAsia="宋体" w:cs="Times New Roman"/>
                <w:caps w:val="0"/>
                <w:color w:val="000000" w:themeColor="text1"/>
                <w:sz w:val="24"/>
                <w:szCs w:val="22"/>
                <w:highlight w:val="none"/>
                <w:lang w:val="en-US" w:eastAsia="zh-CN"/>
                <w14:textFill>
                  <w14:solidFill>
                    <w14:schemeClr w14:val="tx1"/>
                  </w14:solidFill>
                </w14:textFill>
              </w:rPr>
            </w:pPr>
            <w:r>
              <w:rPr>
                <w:rFonts w:hint="eastAsia" w:cs="Times New Roman"/>
                <w:caps w:val="0"/>
                <w:color w:val="000000" w:themeColor="text1"/>
                <w:sz w:val="24"/>
                <w:szCs w:val="22"/>
                <w:highlight w:val="none"/>
                <w:lang w:val="en-US" w:eastAsia="zh-CN"/>
                <w14:textFill>
                  <w14:solidFill>
                    <w14:schemeClr w14:val="tx1"/>
                  </w14:solidFill>
                </w14:textFill>
              </w:rPr>
              <w:t>由上表可知，项目Q</w:t>
            </w:r>
            <w:r>
              <w:rPr>
                <w:rFonts w:hint="eastAsia" w:ascii="微软雅黑" w:hAnsi="微软雅黑" w:eastAsia="微软雅黑" w:cs="微软雅黑"/>
                <w:caps w:val="0"/>
                <w:color w:val="000000" w:themeColor="text1"/>
                <w:sz w:val="24"/>
                <w:szCs w:val="22"/>
                <w:highlight w:val="none"/>
                <w:lang w:val="en-US" w:eastAsia="zh-CN"/>
                <w14:textFill>
                  <w14:solidFill>
                    <w14:schemeClr w14:val="tx1"/>
                  </w14:solidFill>
                </w14:textFill>
              </w:rPr>
              <w:t>&lt;</w:t>
            </w:r>
            <w:r>
              <w:rPr>
                <w:rFonts w:hint="eastAsia" w:cs="Times New Roman"/>
                <w:caps w:val="0"/>
                <w:color w:val="000000" w:themeColor="text1"/>
                <w:sz w:val="24"/>
                <w:szCs w:val="22"/>
                <w:highlight w:val="none"/>
                <w:lang w:val="en-US" w:eastAsia="zh-CN"/>
                <w14:textFill>
                  <w14:solidFill>
                    <w14:schemeClr w14:val="tx1"/>
                  </w14:solidFill>
                </w14:textFill>
              </w:rPr>
              <w:t>1，风险等级为简单分析。</w:t>
            </w:r>
          </w:p>
          <w:p w14:paraId="7ED7E520">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2"/>
                <w:highlight w:val="none"/>
                <w:lang w:val="en-US" w:eastAsia="zh-CN"/>
                <w14:textFill>
                  <w14:solidFill>
                    <w14:schemeClr w14:val="tx1"/>
                  </w14:solidFill>
                </w14:textFill>
              </w:rPr>
              <w:t>厂区</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生产设施风险因素，见下表。</w:t>
            </w:r>
          </w:p>
          <w:p w14:paraId="49CF95F7">
            <w:pPr>
              <w:widowControl/>
              <w:ind w:firstLine="482" w:firstLineChars="200"/>
              <w:jc w:val="cente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表4-</w:t>
            </w:r>
            <w:r>
              <w:rPr>
                <w:rFonts w:hint="default" w:ascii="Times New Roman" w:hAnsi="Times New Roman" w:eastAsia="宋体" w:cs="Times New Roman"/>
                <w:b/>
                <w:caps w:val="0"/>
                <w:color w:val="000000" w:themeColor="text1"/>
                <w:kern w:val="0"/>
                <w:sz w:val="24"/>
                <w:szCs w:val="20"/>
                <w:highlight w:val="none"/>
                <w:lang w:val="en-US" w:eastAsia="zh-CN"/>
                <w14:textFill>
                  <w14:solidFill>
                    <w14:schemeClr w14:val="tx1"/>
                  </w14:solidFill>
                </w14:textFill>
              </w:rPr>
              <w:t>2</w:t>
            </w:r>
            <w:r>
              <w:rPr>
                <w:rFonts w:hint="eastAsia" w:ascii="Times New Roman" w:hAnsi="Times New Roman" w:cs="Times New Roman"/>
                <w:b/>
                <w:caps w:val="0"/>
                <w:color w:val="000000" w:themeColor="text1"/>
                <w:kern w:val="0"/>
                <w:sz w:val="24"/>
                <w:szCs w:val="20"/>
                <w:highlight w:val="none"/>
                <w:lang w:val="en-US" w:eastAsia="zh-CN"/>
                <w14:textFill>
                  <w14:solidFill>
                    <w14:schemeClr w14:val="tx1"/>
                  </w14:solidFill>
                </w14:textFill>
              </w:rPr>
              <w:t>1</w:t>
            </w: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 xml:space="preserve">  </w:t>
            </w:r>
            <w:r>
              <w:rPr>
                <w:rFonts w:hint="default" w:ascii="Times New Roman" w:hAnsi="Times New Roman" w:eastAsia="宋体" w:cs="Times New Roman"/>
                <w:b/>
                <w:caps w:val="0"/>
                <w:color w:val="000000" w:themeColor="text1"/>
                <w:kern w:val="0"/>
                <w:sz w:val="24"/>
                <w:szCs w:val="20"/>
                <w:highlight w:val="none"/>
                <w:lang w:val="en-US" w:eastAsia="zh-CN"/>
                <w14:textFill>
                  <w14:solidFill>
                    <w14:schemeClr w14:val="tx1"/>
                  </w14:solidFill>
                </w14:textFill>
              </w:rPr>
              <w:t>厂区</w:t>
            </w:r>
            <w:r>
              <w:rPr>
                <w:rFonts w:hint="default" w:ascii="Times New Roman" w:hAnsi="Times New Roman" w:eastAsia="宋体" w:cs="Times New Roman"/>
                <w:b/>
                <w:caps w:val="0"/>
                <w:color w:val="000000" w:themeColor="text1"/>
                <w:kern w:val="0"/>
                <w:sz w:val="24"/>
                <w:szCs w:val="20"/>
                <w:highlight w:val="none"/>
                <w14:textFill>
                  <w14:solidFill>
                    <w14:schemeClr w14:val="tx1"/>
                  </w14:solidFill>
                </w14:textFill>
              </w:rPr>
              <w:t>环境风险识别表</w:t>
            </w:r>
          </w:p>
          <w:tbl>
            <w:tblPr>
              <w:tblStyle w:val="21"/>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95"/>
              <w:gridCol w:w="774"/>
              <w:gridCol w:w="1518"/>
              <w:gridCol w:w="1611"/>
              <w:gridCol w:w="1477"/>
              <w:gridCol w:w="2089"/>
            </w:tblGrid>
            <w:tr w14:paraId="556EBC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blHeader/>
              </w:trPr>
              <w:tc>
                <w:tcPr>
                  <w:tcW w:w="251" w:type="pct"/>
                  <w:tcBorders>
                    <w:tl2br w:val="nil"/>
                    <w:tr2bl w:val="nil"/>
                  </w:tcBorders>
                  <w:vAlign w:val="center"/>
                </w:tcPr>
                <w:p w14:paraId="18CE23D6">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序号</w:t>
                  </w:r>
                </w:p>
              </w:tc>
              <w:tc>
                <w:tcPr>
                  <w:tcW w:w="492" w:type="pct"/>
                  <w:tcBorders>
                    <w:tl2br w:val="nil"/>
                    <w:tr2bl w:val="nil"/>
                  </w:tcBorders>
                  <w:vAlign w:val="center"/>
                </w:tcPr>
                <w:p w14:paraId="4537B3F1">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风险单元</w:t>
                  </w:r>
                </w:p>
              </w:tc>
              <w:tc>
                <w:tcPr>
                  <w:tcW w:w="965" w:type="pct"/>
                  <w:tcBorders>
                    <w:tl2br w:val="nil"/>
                    <w:tr2bl w:val="nil"/>
                  </w:tcBorders>
                  <w:vAlign w:val="center"/>
                </w:tcPr>
                <w:p w14:paraId="4B6C29BD">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主要危险物质</w:t>
                  </w:r>
                </w:p>
              </w:tc>
              <w:tc>
                <w:tcPr>
                  <w:tcW w:w="1024" w:type="pct"/>
                  <w:tcBorders>
                    <w:tl2br w:val="nil"/>
                    <w:tr2bl w:val="nil"/>
                  </w:tcBorders>
                  <w:vAlign w:val="center"/>
                </w:tcPr>
                <w:p w14:paraId="59348A1C">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环境风险类型</w:t>
                  </w:r>
                </w:p>
              </w:tc>
              <w:tc>
                <w:tcPr>
                  <w:tcW w:w="939" w:type="pct"/>
                  <w:tcBorders>
                    <w:tl2br w:val="nil"/>
                    <w:tr2bl w:val="nil"/>
                  </w:tcBorders>
                  <w:vAlign w:val="center"/>
                </w:tcPr>
                <w:p w14:paraId="00D9F8E7">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环境影响途径</w:t>
                  </w:r>
                </w:p>
              </w:tc>
              <w:tc>
                <w:tcPr>
                  <w:tcW w:w="1328" w:type="pct"/>
                  <w:tcBorders>
                    <w:tl2br w:val="nil"/>
                    <w:tr2bl w:val="nil"/>
                  </w:tcBorders>
                  <w:vAlign w:val="center"/>
                </w:tcPr>
                <w:p w14:paraId="5EE31D53">
                  <w:pPr>
                    <w:adjustRightInd w:val="0"/>
                    <w:snapToGrid w:val="0"/>
                    <w:jc w:val="cente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b/>
                      <w:caps w:val="0"/>
                      <w:color w:val="000000" w:themeColor="text1"/>
                      <w:kern w:val="0"/>
                      <w:szCs w:val="21"/>
                      <w:highlight w:val="none"/>
                      <w14:textFill>
                        <w14:solidFill>
                          <w14:schemeClr w14:val="tx1"/>
                        </w14:solidFill>
                      </w14:textFill>
                    </w:rPr>
                    <w:t>可能受影响的环境敏感</w:t>
                  </w:r>
                </w:p>
              </w:tc>
            </w:tr>
            <w:tr w14:paraId="4B93ED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251" w:type="pct"/>
                  <w:tcBorders>
                    <w:tl2br w:val="nil"/>
                    <w:tr2bl w:val="nil"/>
                  </w:tcBorders>
                  <w:vAlign w:val="center"/>
                </w:tcPr>
                <w:p w14:paraId="3339F015">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1</w:t>
                  </w:r>
                </w:p>
              </w:tc>
              <w:tc>
                <w:tcPr>
                  <w:tcW w:w="492" w:type="pct"/>
                  <w:tcBorders>
                    <w:tl2br w:val="nil"/>
                    <w:tr2bl w:val="nil"/>
                  </w:tcBorders>
                  <w:vAlign w:val="center"/>
                </w:tcPr>
                <w:p w14:paraId="2E2E7B2E">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cs="Times New Roman"/>
                      <w:caps w:val="0"/>
                      <w:color w:val="000000" w:themeColor="text1"/>
                      <w:kern w:val="0"/>
                      <w:szCs w:val="21"/>
                      <w:highlight w:val="none"/>
                      <w:lang w:val="en-US" w:eastAsia="zh-CN"/>
                      <w14:textFill>
                        <w14:solidFill>
                          <w14:schemeClr w14:val="tx1"/>
                        </w14:solidFill>
                      </w14:textFill>
                    </w:rPr>
                    <w:t>原料</w:t>
                  </w: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库</w:t>
                  </w:r>
                </w:p>
              </w:tc>
              <w:tc>
                <w:tcPr>
                  <w:tcW w:w="965" w:type="pct"/>
                  <w:tcBorders>
                    <w:tl2br w:val="nil"/>
                    <w:tr2bl w:val="nil"/>
                  </w:tcBorders>
                  <w:vAlign w:val="center"/>
                </w:tcPr>
                <w:p w14:paraId="4D205148">
                  <w:pPr>
                    <w:adjustRightInd w:val="0"/>
                    <w:snapToGrid w:val="0"/>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切削液、润滑油</w:t>
                  </w:r>
                </w:p>
              </w:tc>
              <w:tc>
                <w:tcPr>
                  <w:tcW w:w="1024" w:type="pct"/>
                  <w:tcBorders>
                    <w:tl2br w:val="nil"/>
                    <w:tr2bl w:val="nil"/>
                  </w:tcBorders>
                  <w:vAlign w:val="center"/>
                </w:tcPr>
                <w:p w14:paraId="7CDA833F">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939" w:type="pct"/>
                  <w:tcBorders>
                    <w:tl2br w:val="nil"/>
                    <w:tr2bl w:val="nil"/>
                  </w:tcBorders>
                  <w:vAlign w:val="center"/>
                </w:tcPr>
                <w:p w14:paraId="402AFC88">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1328" w:type="pct"/>
                  <w:tcBorders>
                    <w:tl2br w:val="nil"/>
                    <w:tr2bl w:val="nil"/>
                  </w:tcBorders>
                  <w:vAlign w:val="center"/>
                </w:tcPr>
                <w:p w14:paraId="7803360A">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周围环境空气、地下水环境、土壤环境</w:t>
                  </w:r>
                </w:p>
              </w:tc>
            </w:tr>
            <w:tr w14:paraId="5DA434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251" w:type="pct"/>
                  <w:tcBorders>
                    <w:tl2br w:val="nil"/>
                    <w:tr2bl w:val="nil"/>
                  </w:tcBorders>
                  <w:vAlign w:val="center"/>
                </w:tcPr>
                <w:p w14:paraId="6CB92806">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2</w:t>
                  </w:r>
                </w:p>
              </w:tc>
              <w:tc>
                <w:tcPr>
                  <w:tcW w:w="492" w:type="pct"/>
                  <w:tcBorders>
                    <w:tl2br w:val="nil"/>
                    <w:tr2bl w:val="nil"/>
                  </w:tcBorders>
                  <w:vAlign w:val="center"/>
                </w:tcPr>
                <w:p w14:paraId="4F848399">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危废暂存库</w:t>
                  </w:r>
                </w:p>
              </w:tc>
              <w:tc>
                <w:tcPr>
                  <w:tcW w:w="965" w:type="pct"/>
                  <w:tcBorders>
                    <w:tl2br w:val="nil"/>
                    <w:tr2bl w:val="nil"/>
                  </w:tcBorders>
                  <w:vAlign w:val="center"/>
                </w:tcPr>
                <w:p w14:paraId="5F4BD580">
                  <w:pPr>
                    <w:adjustRightInd w:val="0"/>
                    <w:snapToGrid w:val="0"/>
                    <w:jc w:val="center"/>
                    <w:rPr>
                      <w:rFonts w:hint="default" w:ascii="Times New Roman" w:hAnsi="Times New Roman" w:eastAsia="宋体" w:cs="Times New Roman"/>
                      <w:caps w:val="0"/>
                      <w:color w:val="000000" w:themeColor="text1"/>
                      <w:kern w:val="0"/>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0"/>
                      <w:highlight w:val="none"/>
                      <w14:textFill>
                        <w14:solidFill>
                          <w14:schemeClr w14:val="tx1"/>
                        </w14:solidFill>
                      </w14:textFill>
                    </w:rPr>
                    <w:t>危险废物</w:t>
                  </w:r>
                </w:p>
              </w:tc>
              <w:tc>
                <w:tcPr>
                  <w:tcW w:w="1024" w:type="pct"/>
                  <w:tcBorders>
                    <w:tl2br w:val="nil"/>
                    <w:tr2bl w:val="nil"/>
                  </w:tcBorders>
                  <w:vAlign w:val="center"/>
                </w:tcPr>
                <w:p w14:paraId="2FC373D2">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939" w:type="pct"/>
                  <w:tcBorders>
                    <w:tl2br w:val="nil"/>
                    <w:tr2bl w:val="nil"/>
                  </w:tcBorders>
                  <w:vAlign w:val="center"/>
                </w:tcPr>
                <w:p w14:paraId="0263219E">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发生泄漏、火灾、爆炸事故</w:t>
                  </w:r>
                </w:p>
              </w:tc>
              <w:tc>
                <w:tcPr>
                  <w:tcW w:w="1328" w:type="pct"/>
                  <w:tcBorders>
                    <w:tl2br w:val="nil"/>
                    <w:tr2bl w:val="nil"/>
                  </w:tcBorders>
                  <w:vAlign w:val="center"/>
                </w:tcPr>
                <w:p w14:paraId="732BA37F">
                  <w:pPr>
                    <w:adjustRightInd w:val="0"/>
                    <w:snapToGrid w:val="0"/>
                    <w:jc w:val="center"/>
                    <w:rPr>
                      <w:rFonts w:hint="default" w:ascii="Times New Roman" w:hAnsi="Times New Roman" w:eastAsia="宋体" w:cs="Times New Roman"/>
                      <w:caps w:val="0"/>
                      <w:color w:val="000000" w:themeColor="text1"/>
                      <w:kern w:val="0"/>
                      <w:szCs w:val="21"/>
                      <w:highlight w:val="none"/>
                      <w14:textFill>
                        <w14:solidFill>
                          <w14:schemeClr w14:val="tx1"/>
                        </w14:solidFill>
                      </w14:textFill>
                    </w:rPr>
                  </w:pPr>
                  <w:r>
                    <w:rPr>
                      <w:rFonts w:hint="default" w:ascii="Times New Roman" w:hAnsi="Times New Roman" w:eastAsia="宋体" w:cs="Times New Roman"/>
                      <w:caps w:val="0"/>
                      <w:color w:val="000000" w:themeColor="text1"/>
                      <w:kern w:val="0"/>
                      <w:szCs w:val="21"/>
                      <w:highlight w:val="none"/>
                      <w14:textFill>
                        <w14:solidFill>
                          <w14:schemeClr w14:val="tx1"/>
                        </w14:solidFill>
                      </w14:textFill>
                    </w:rPr>
                    <w:t>周围环境空气、地下水环境、土壤环境</w:t>
                  </w:r>
                </w:p>
              </w:tc>
            </w:tr>
          </w:tbl>
          <w:p w14:paraId="3D51A713">
            <w:pPr>
              <w:adjustRightInd w:val="0"/>
              <w:snapToGrid w:val="0"/>
              <w:spacing w:before="120" w:beforeLines="50" w:line="360" w:lineRule="auto"/>
              <w:ind w:firstLine="480" w:firstLineChars="200"/>
              <w:jc w:val="left"/>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（2）环境风险分析</w:t>
            </w:r>
          </w:p>
          <w:p w14:paraId="282C59D4">
            <w:pPr>
              <w:adjustRightInd w:val="0"/>
              <w:snapToGrid w:val="0"/>
              <w:spacing w:line="360" w:lineRule="auto"/>
              <w:ind w:firstLine="480" w:firstLineChars="200"/>
              <w:jc w:val="left"/>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2"/>
                <w:highlight w:val="none"/>
                <w:lang w:val="en-US" w:eastAsia="zh-CN"/>
                <w14:textFill>
                  <w14:solidFill>
                    <w14:schemeClr w14:val="tx1"/>
                  </w14:solidFill>
                </w14:textFill>
              </w:rPr>
              <w:t>厂区</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涉及的风险物质为</w:t>
            </w:r>
            <w:r>
              <w:rPr>
                <w:rFonts w:hint="default" w:ascii="Times New Roman" w:hAnsi="Times New Roman" w:eastAsia="宋体" w:cs="Times New Roman"/>
                <w:caps w:val="0"/>
                <w:color w:val="000000" w:themeColor="text1"/>
                <w:sz w:val="24"/>
                <w:szCs w:val="22"/>
                <w:highlight w:val="none"/>
                <w:lang w:val="en-US" w:eastAsia="zh-CN"/>
                <w14:textFill>
                  <w14:solidFill>
                    <w14:schemeClr w14:val="tx1"/>
                  </w14:solidFill>
                </w14:textFill>
              </w:rPr>
              <w:t>切削液、</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润滑油</w:t>
            </w:r>
            <w:r>
              <w:rPr>
                <w:rFonts w:hint="default" w:ascii="Times New Roman" w:hAnsi="Times New Roman" w:cs="Times New Roman"/>
                <w:caps w:val="0"/>
                <w:color w:val="000000" w:themeColor="text1"/>
                <w:sz w:val="24"/>
                <w:szCs w:val="22"/>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 w:val="24"/>
                <w:highlight w:val="none"/>
                <w14:textFill>
                  <w14:solidFill>
                    <w14:schemeClr w14:val="tx1"/>
                  </w14:solidFill>
                </w14:textFill>
              </w:rPr>
              <w:t>危险废物</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等物质。</w:t>
            </w:r>
          </w:p>
          <w:p w14:paraId="7F33F20C">
            <w:pPr>
              <w:adjustRightInd w:val="0"/>
              <w:snapToGrid w:val="0"/>
              <w:spacing w:line="360" w:lineRule="auto"/>
              <w:ind w:firstLine="480" w:firstLineChars="200"/>
              <w:jc w:val="left"/>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fldChar w:fldCharType="begin"/>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instrText xml:space="preserve"> = 1 \* GB3 </w:instrTex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fldChar w:fldCharType="separate"/>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①</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fldChar w:fldCharType="end"/>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物料泄露环境影响后果分析</w:t>
            </w:r>
          </w:p>
          <w:p w14:paraId="26AB2514">
            <w:pPr>
              <w:adjustRightInd w:val="0"/>
              <w:snapToGrid w:val="0"/>
              <w:spacing w:line="360" w:lineRule="auto"/>
              <w:ind w:firstLine="480" w:firstLineChars="200"/>
              <w:jc w:val="left"/>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当发生液体化学品物料泄</w:t>
            </w:r>
            <w:r>
              <w:rPr>
                <w:rFonts w:hint="default" w:ascii="Times New Roman" w:hAnsi="Times New Roman" w:cs="Times New Roman"/>
                <w:caps w:val="0"/>
                <w:color w:val="000000" w:themeColor="text1"/>
                <w:sz w:val="24"/>
                <w:szCs w:val="22"/>
                <w:highlight w:val="none"/>
                <w:lang w:val="en-US" w:eastAsia="zh-CN"/>
                <w14:textFill>
                  <w14:solidFill>
                    <w14:schemeClr w14:val="tx1"/>
                  </w14:solidFill>
                </w14:textFill>
              </w:rPr>
              <w:t>漏</w:t>
            </w: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时，易挥发性化学品将会挥发至大气环境中，造成大气环境污染；若未做好防腐防渗措施，液体物料将会下渗，污染地下水和土壤。</w:t>
            </w:r>
          </w:p>
          <w:p w14:paraId="21491552">
            <w:pPr>
              <w:adjustRightInd w:val="0"/>
              <w:snapToGrid w:val="0"/>
              <w:spacing w:line="360" w:lineRule="auto"/>
              <w:ind w:firstLine="480" w:firstLineChars="200"/>
              <w:jc w:val="left"/>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②火灾、爆炸环境影响后果分析</w:t>
            </w:r>
          </w:p>
          <w:p w14:paraId="2DD757D5">
            <w:pPr>
              <w:adjustRightInd w:val="0"/>
              <w:snapToGrid w:val="0"/>
              <w:spacing w:line="360" w:lineRule="auto"/>
              <w:ind w:firstLine="480" w:firstLineChars="200"/>
              <w:jc w:val="left"/>
              <w:rPr>
                <w:rFonts w:hint="default" w:ascii="Times New Roman" w:hAnsi="Times New Roman" w:eastAsia="宋体" w:cs="Times New Roman"/>
                <w:caps w:val="0"/>
                <w:color w:val="000000" w:themeColor="text1"/>
                <w:sz w:val="24"/>
                <w:szCs w:val="22"/>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2"/>
                <w:highlight w:val="none"/>
                <w14:textFill>
                  <w14:solidFill>
                    <w14:schemeClr w14:val="tx1"/>
                  </w14:solidFill>
                </w14:textFill>
              </w:rPr>
              <w:t>当火灾较小时影响在厂区内，火灾较大时影响在开发区内，对大气环境造成较大影响。当发生爆炸时，易燃物质燃烧引起更大火灾，燃烧废气造成大气环境污染。</w:t>
            </w:r>
          </w:p>
          <w:p w14:paraId="6DF8FCE4">
            <w:pPr>
              <w:adjustRightInd w:val="0"/>
              <w:snapToGrid w:val="0"/>
              <w:spacing w:line="360" w:lineRule="auto"/>
              <w:ind w:firstLine="480" w:firstLineChars="200"/>
              <w:jc w:val="left"/>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（3）环境防范措施</w:t>
            </w:r>
          </w:p>
          <w:p w14:paraId="02DABD02">
            <w:pPr>
              <w:adjustRightInd w:val="0"/>
              <w:snapToGrid w:val="0"/>
              <w:spacing w:line="360" w:lineRule="auto"/>
              <w:ind w:firstLine="480" w:firstLineChars="200"/>
              <w:jc w:val="left"/>
              <w:textAlignment w:val="baseline"/>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①选址、总图布置和建筑安全防范措施</w:t>
            </w:r>
          </w:p>
          <w:p w14:paraId="62933166">
            <w:pPr>
              <w:adjustRightInd w:val="0"/>
              <w:snapToGrid w:val="0"/>
              <w:spacing w:line="360" w:lineRule="auto"/>
              <w:ind w:firstLine="480" w:firstLineChars="200"/>
              <w:jc w:val="left"/>
              <w:textAlignment w:val="baseline"/>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0"/>
                <w:highlight w:val="none"/>
                <w14:textFill>
                  <w14:solidFill>
                    <w14:schemeClr w14:val="tx1"/>
                  </w14:solidFill>
                </w14:textFill>
              </w:rPr>
              <w:t>本项目不属于环境敏感区。项目所在区域内无水源保护区等环境敏感点，从选址上可在一定程度上避免对周围的环境影响。</w:t>
            </w:r>
          </w:p>
          <w:p w14:paraId="5EA1BC96">
            <w:pPr>
              <w:tabs>
                <w:tab w:val="left" w:pos="0"/>
              </w:tabs>
              <w:adjustRightInd w:val="0"/>
              <w:snapToGrid w:val="0"/>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项目在总图设计时须设置一定的安全防护距离和防火间距，应有应急救援设施及救援通道、应急疏散及避难所，符合防范事故要求。</w:t>
            </w:r>
          </w:p>
          <w:p w14:paraId="2C41CF24">
            <w:pPr>
              <w:tabs>
                <w:tab w:val="left" w:pos="0"/>
              </w:tabs>
              <w:adjustRightInd w:val="0"/>
              <w:snapToGrid w:val="0"/>
              <w:spacing w:line="360" w:lineRule="auto"/>
              <w:ind w:left="317" w:leftChars="151" w:firstLine="120" w:firstLineChars="5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②危险品贮运安全防范措施</w:t>
            </w:r>
          </w:p>
          <w:p w14:paraId="50820034">
            <w:pPr>
              <w:adjustRightInd w:val="0"/>
              <w:snapToGrid w:val="0"/>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企业设置</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原料</w:t>
            </w:r>
            <w:r>
              <w:rPr>
                <w:rFonts w:hint="default" w:ascii="Times New Roman" w:hAnsi="Times New Roman" w:eastAsia="宋体" w:cs="Times New Roman"/>
                <w:caps w:val="0"/>
                <w:color w:val="000000" w:themeColor="text1"/>
                <w:sz w:val="24"/>
                <w:highlight w:val="none"/>
                <w14:textFill>
                  <w14:solidFill>
                    <w14:schemeClr w14:val="tx1"/>
                  </w14:solidFill>
                </w14:textFill>
              </w:rPr>
              <w:t>库，对易燃易爆的辅料单独、分区存放，并有明显的界限，严禁将含化学品的物料混合储存。库房明显处应悬挂防火、禁火的标牌。本项目辅料的贮存量较小，危险废物储存处采取防腐防渗措施。</w:t>
            </w:r>
          </w:p>
          <w:p w14:paraId="1D331B08">
            <w:pPr>
              <w:adjustRightInd w:val="0"/>
              <w:snapToGrid w:val="0"/>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③物料泄漏事故的防范措施</w:t>
            </w:r>
          </w:p>
          <w:p w14:paraId="71D7EC6F">
            <w:pPr>
              <w:adjustRightInd w:val="0"/>
              <w:snapToGrid w:val="0"/>
              <w:spacing w:line="360" w:lineRule="auto"/>
              <w:ind w:firstLine="482"/>
              <w:rPr>
                <w:rFonts w:hint="default" w:ascii="Times New Roman" w:hAnsi="Times New Roman" w:eastAsia="宋体" w:cs="Times New Roman"/>
                <w:caps w:val="0"/>
                <w:color w:val="000000" w:themeColor="text1"/>
                <w:sz w:val="24"/>
                <w:szCs w:val="20"/>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0"/>
                <w:highlight w:val="none"/>
                <w14:textFill>
                  <w14:solidFill>
                    <w14:schemeClr w14:val="tx1"/>
                  </w14:solidFill>
                </w14:textFill>
              </w:rPr>
              <w:t>桶体泄漏时及时用木楔或胶块堵漏，将泄漏的液料用黄沙、毛毡、海绵等具有可吸附性的材料清理。大量泄漏时，要立即向“119”报警，划定警戒区，控制火种和无关人员进入，用泥土或塑料等物将流出的液体围住，防止流散。</w:t>
            </w:r>
          </w:p>
          <w:p w14:paraId="302B7168">
            <w:pPr>
              <w:adjustRightInd w:val="0"/>
              <w:snapToGrid w:val="0"/>
              <w:spacing w:line="360" w:lineRule="auto"/>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④火灾和爆炸事故的防范措施</w:t>
            </w:r>
          </w:p>
          <w:p w14:paraId="1F7FF1B4">
            <w:pPr>
              <w:adjustRightInd w:val="0"/>
              <w:snapToGrid w:val="0"/>
              <w:spacing w:line="360" w:lineRule="auto"/>
              <w:ind w:firstLine="480" w:firstLineChars="200"/>
              <w:textAlignment w:val="baseline"/>
              <w:rPr>
                <w:rFonts w:hint="default" w:ascii="Times New Roman" w:hAnsi="Times New Roman" w:eastAsia="宋体" w:cs="Times New Roman"/>
                <w:caps w:val="0"/>
                <w:color w:val="000000" w:themeColor="text1"/>
                <w:kern w:val="24"/>
                <w:sz w:val="24"/>
                <w:highlight w:val="none"/>
                <w14:textFill>
                  <w14:solidFill>
                    <w14:schemeClr w14:val="tx1"/>
                  </w14:solidFill>
                </w14:textFill>
              </w:rPr>
            </w:pPr>
            <w:r>
              <w:rPr>
                <w:rFonts w:hint="default" w:ascii="Times New Roman" w:hAnsi="Times New Roman" w:eastAsia="宋体" w:cs="Times New Roman"/>
                <w:caps w:val="0"/>
                <w:color w:val="000000" w:themeColor="text1"/>
                <w:kern w:val="24"/>
                <w:sz w:val="24"/>
                <w:highlight w:val="none"/>
                <w14:textFill>
                  <w14:solidFill>
                    <w14:schemeClr w14:val="tx1"/>
                  </w14:solidFill>
                </w14:textFill>
              </w:rPr>
              <w:t>必须严格按照相关防火、防爆设计要求进行设计和施工，并配备相应的保护工程；加强工艺系统的自动控制的应用，同时应加强对系统设备的维护保养；应设立专人进行仓库的巡视、检查、维护工作；严格岗位操作规程，加强操作人员的岗位培训和职业素质教育，提高安全意识，实施规范核查；配备足够的救灾防毒器具、消防器及防护用品。</w:t>
            </w:r>
          </w:p>
          <w:p w14:paraId="7809AA60">
            <w:pPr>
              <w:tabs>
                <w:tab w:val="left" w:pos="0"/>
              </w:tabs>
              <w:adjustRightInd w:val="0"/>
              <w:snapToGrid w:val="0"/>
              <w:spacing w:line="360" w:lineRule="auto"/>
              <w:ind w:left="-106"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⑤电气、电讯安全防范措施</w:t>
            </w:r>
          </w:p>
          <w:p w14:paraId="7ED5CA72">
            <w:pPr>
              <w:tabs>
                <w:tab w:val="left" w:pos="0"/>
              </w:tabs>
              <w:adjustRightInd w:val="0"/>
              <w:snapToGrid w:val="0"/>
              <w:spacing w:line="360" w:lineRule="auto"/>
              <w:ind w:left="-106"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项目生产车间及附属设施用电装置均须设置漏电保护装置。电力电缆不与热力管道敷设在同一管沟内，配电线路敷设在有可燃物的闷顶内时，采用穿金属管等防火保护措施。</w:t>
            </w:r>
          </w:p>
          <w:p w14:paraId="3872893A">
            <w:pPr>
              <w:tabs>
                <w:tab w:val="left" w:pos="0"/>
              </w:tabs>
              <w:adjustRightInd w:val="0"/>
              <w:snapToGrid w:val="0"/>
              <w:spacing w:line="360" w:lineRule="auto"/>
              <w:ind w:left="-106"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危废暂存库内使用低温照明灯具，对灯具的发热部件采取隔热等防火保护措施，配电箱及开关设置在仓库外。供电变压器、配电箱开关等设施外壳，除接零外还应设置可靠的触电保护接地装置及安全围栏，并在现场挂警示标志。</w:t>
            </w:r>
          </w:p>
          <w:p w14:paraId="5AE89B5E">
            <w:pPr>
              <w:tabs>
                <w:tab w:val="left" w:pos="0"/>
              </w:tabs>
              <w:adjustRightInd w:val="0"/>
              <w:snapToGrid w:val="0"/>
              <w:spacing w:line="360" w:lineRule="auto"/>
              <w:ind w:left="-106"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⑥消防及火灾报警设施</w:t>
            </w:r>
          </w:p>
          <w:p w14:paraId="0E5BAE7D">
            <w:pPr>
              <w:tabs>
                <w:tab w:val="left" w:pos="0"/>
              </w:tabs>
              <w:adjustRightInd w:val="0"/>
              <w:snapToGrid w:val="0"/>
              <w:spacing w:line="360" w:lineRule="auto"/>
              <w:ind w:left="-106"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项目在生产车间外部配备室外消防装置，在内部设置火灾自动报警系统、消防栓和自动消防喷头等装置。</w:t>
            </w:r>
          </w:p>
          <w:p w14:paraId="24D8CD33">
            <w:pPr>
              <w:tabs>
                <w:tab w:val="left" w:pos="0"/>
              </w:tabs>
              <w:adjustRightInd w:val="0"/>
              <w:snapToGrid w:val="0"/>
              <w:spacing w:line="360" w:lineRule="auto"/>
              <w:ind w:left="-106"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⑦安全管理</w:t>
            </w:r>
          </w:p>
          <w:p w14:paraId="0E7A8BED">
            <w:pPr>
              <w:tabs>
                <w:tab w:val="left" w:pos="0"/>
              </w:tabs>
              <w:adjustRightInd w:val="0"/>
              <w:snapToGrid w:val="0"/>
              <w:spacing w:line="360" w:lineRule="auto"/>
              <w:ind w:left="-106"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项目在管理上应设置专业安全监督机构，建立严格的规章制度和安全生产措施，所有工作人员必须培训上岗，绝不容许引入不安全因素到生产作业中去。加强监测，杜绝意外泄漏事故造成的危害。采用密封性能良好的阀门、泵等设备和配件。生产区、仓库等均设禁止吸烟标志，防止人为吸烟引起明火火灾等事故。</w:t>
            </w:r>
          </w:p>
          <w:p w14:paraId="706C637D">
            <w:pPr>
              <w:keepNext w:val="0"/>
              <w:keepLines w:val="0"/>
              <w:pageBreakBefore w:val="0"/>
              <w:kinsoku/>
              <w:wordWrap/>
              <w:overflowPunct/>
              <w:topLinePunct w:val="0"/>
              <w:autoSpaceDE/>
              <w:autoSpaceDN/>
              <w:bidi w:val="0"/>
              <w:adjustRightInd w:val="0"/>
              <w:snapToGrid w:val="0"/>
              <w:spacing w:line="360" w:lineRule="auto"/>
              <w:ind w:firstLine="498"/>
              <w:textAlignment w:val="auto"/>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综上所述，厂区主要环境风险来自原料库的</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切削液</w:t>
            </w:r>
            <w:r>
              <w:rPr>
                <w:rFonts w:hint="default" w:ascii="Times New Roman" w:hAnsi="Times New Roman" w:eastAsia="宋体" w:cs="Times New Roman"/>
                <w:caps w:val="0"/>
                <w:color w:val="000000" w:themeColor="text1"/>
                <w:sz w:val="24"/>
                <w:highlight w:val="none"/>
                <w14:textFill>
                  <w14:solidFill>
                    <w14:schemeClr w14:val="tx1"/>
                  </w14:solidFill>
                </w14:textFill>
              </w:rPr>
              <w:t>、润滑油等及危废暂存库的危险废物在储存过程发生意外泄</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漏</w:t>
            </w:r>
            <w:r>
              <w:rPr>
                <w:rFonts w:hint="default" w:ascii="Times New Roman" w:hAnsi="Times New Roman" w:eastAsia="宋体" w:cs="Times New Roman"/>
                <w:caps w:val="0"/>
                <w:color w:val="000000" w:themeColor="text1"/>
                <w:sz w:val="24"/>
                <w:highlight w:val="none"/>
                <w14:textFill>
                  <w14:solidFill>
                    <w14:schemeClr w14:val="tx1"/>
                  </w14:solidFill>
                </w14:textFill>
              </w:rPr>
              <w:t>，并由此引起的火灾爆炸及次生危害带来的环境影响。企业采取必要的风险防范措施和事故应急措施，加大风险管理措施，在加强监控、采取必要的风险防范措施的情况下，本项目的环境风险是可控的。</w:t>
            </w:r>
          </w:p>
          <w:p w14:paraId="16DB6964">
            <w:pPr>
              <w:keepNext w:val="0"/>
              <w:keepLines w:val="0"/>
              <w:pageBreakBefore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caps w:val="0"/>
                <w:color w:val="000000" w:themeColor="text1"/>
                <w:sz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highlight w:val="none"/>
                <w14:textFill>
                  <w14:solidFill>
                    <w14:schemeClr w14:val="tx1"/>
                  </w14:solidFill>
                </w14:textFill>
              </w:rPr>
              <w:t>八、环保投资估算</w:t>
            </w:r>
          </w:p>
          <w:p w14:paraId="3A605C9D">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本项目环保投资约</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40</w:t>
            </w:r>
            <w:r>
              <w:rPr>
                <w:rFonts w:hint="default" w:ascii="Times New Roman" w:hAnsi="Times New Roman" w:eastAsia="宋体" w:cs="Times New Roman"/>
                <w:caps w:val="0"/>
                <w:color w:val="000000" w:themeColor="text1"/>
                <w:sz w:val="24"/>
                <w:highlight w:val="none"/>
                <w14:textFill>
                  <w14:solidFill>
                    <w14:schemeClr w14:val="tx1"/>
                  </w14:solidFill>
                </w14:textFill>
              </w:rPr>
              <w:t>万元，环境保护投资估算详见表4-</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2</w:t>
            </w:r>
            <w:r>
              <w:rPr>
                <w:rFonts w:hint="eastAsia" w:ascii="Times New Roman" w:hAnsi="Times New Roman" w:cs="Times New Roman"/>
                <w:caps w:val="0"/>
                <w:color w:val="000000" w:themeColor="text1"/>
                <w:sz w:val="24"/>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sz w:val="24"/>
                <w:highlight w:val="none"/>
                <w14:textFill>
                  <w14:solidFill>
                    <w14:schemeClr w14:val="tx1"/>
                  </w14:solidFill>
                </w14:textFill>
              </w:rPr>
              <w:t>。</w:t>
            </w:r>
          </w:p>
          <w:p w14:paraId="1E595BD7">
            <w:pPr>
              <w:pStyle w:val="56"/>
              <w:keepNext w:val="0"/>
              <w:keepLines w:val="0"/>
              <w:pageBreakBefore w:val="0"/>
              <w:kinsoku/>
              <w:wordWrap/>
              <w:overflowPunct/>
              <w:topLinePunct w:val="0"/>
              <w:autoSpaceDE/>
              <w:autoSpaceDN/>
              <w:bidi w:val="0"/>
              <w:spacing w:beforeLines="0" w:afterLines="0" w:line="360" w:lineRule="auto"/>
              <w:ind w:left="643" w:hanging="643" w:hangingChars="267"/>
              <w:textAlignment w:val="auto"/>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highlight w:val="none"/>
                <w14:textFill>
                  <w14:solidFill>
                    <w14:schemeClr w14:val="tx1"/>
                  </w14:solidFill>
                </w14:textFill>
              </w:rPr>
              <w:t>表4-</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2</w:t>
            </w:r>
            <w:r>
              <w:rPr>
                <w:rFonts w:hint="eastAsia" w:ascii="Times New Roman" w:hAnsi="Times New Roman" w:cs="Times New Roman"/>
                <w:caps w:val="0"/>
                <w:color w:val="000000" w:themeColor="text1"/>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highlight w:val="non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highlight w:val="none"/>
                <w14:textFill>
                  <w14:solidFill>
                    <w14:schemeClr w14:val="tx1"/>
                  </w14:solidFill>
                </w14:textFill>
              </w:rPr>
              <w:t>环境保护投资估算表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93"/>
              <w:gridCol w:w="1417"/>
              <w:gridCol w:w="4646"/>
              <w:gridCol w:w="1208"/>
            </w:tblGrid>
            <w:tr w14:paraId="62EE6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77" w:type="pct"/>
                  <w:tcBorders>
                    <w:tl2br w:val="nil"/>
                    <w:tr2bl w:val="nil"/>
                  </w:tcBorders>
                  <w:vAlign w:val="center"/>
                </w:tcPr>
                <w:p w14:paraId="6AD769FA">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序号</w:t>
                  </w:r>
                </w:p>
              </w:tc>
              <w:tc>
                <w:tcPr>
                  <w:tcW w:w="900" w:type="pct"/>
                  <w:tcBorders>
                    <w:tl2br w:val="nil"/>
                    <w:tr2bl w:val="nil"/>
                  </w:tcBorders>
                  <w:vAlign w:val="center"/>
                </w:tcPr>
                <w:p w14:paraId="3DD165C4">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污染源</w:t>
                  </w:r>
                </w:p>
              </w:tc>
              <w:tc>
                <w:tcPr>
                  <w:tcW w:w="2953" w:type="pct"/>
                  <w:tcBorders>
                    <w:tl2br w:val="nil"/>
                    <w:tr2bl w:val="nil"/>
                  </w:tcBorders>
                  <w:vAlign w:val="center"/>
                </w:tcPr>
                <w:p w14:paraId="0A6BD3C0">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采取的环保措施</w:t>
                  </w:r>
                </w:p>
              </w:tc>
              <w:tc>
                <w:tcPr>
                  <w:tcW w:w="768" w:type="pct"/>
                  <w:tcBorders>
                    <w:tl2br w:val="nil"/>
                    <w:tr2bl w:val="nil"/>
                  </w:tcBorders>
                  <w:tcMar>
                    <w:top w:w="0" w:type="dxa"/>
                    <w:left w:w="68" w:type="dxa"/>
                    <w:bottom w:w="0" w:type="dxa"/>
                    <w:right w:w="68" w:type="dxa"/>
                  </w:tcMar>
                  <w:vAlign w:val="center"/>
                </w:tcPr>
                <w:p w14:paraId="34EAA340">
                  <w:pPr>
                    <w:jc w:val="center"/>
                    <w:rPr>
                      <w:rFonts w:hint="default" w:ascii="Times New Roman" w:hAnsi="Times New Roman" w:eastAsia="宋体" w:cs="Times New Roman"/>
                      <w:b/>
                      <w:caps w:val="0"/>
                      <w:color w:val="000000" w:themeColor="text1"/>
                      <w:szCs w:val="21"/>
                      <w:highlight w:val="none"/>
                      <w14:textFill>
                        <w14:solidFill>
                          <w14:schemeClr w14:val="tx1"/>
                        </w14:solidFill>
                      </w14:textFill>
                    </w:rPr>
                  </w:pPr>
                  <w:r>
                    <w:rPr>
                      <w:rFonts w:hint="default" w:ascii="Times New Roman" w:hAnsi="Times New Roman" w:eastAsia="宋体" w:cs="Times New Roman"/>
                      <w:b/>
                      <w:caps w:val="0"/>
                      <w:color w:val="000000" w:themeColor="text1"/>
                      <w:szCs w:val="21"/>
                      <w:highlight w:val="none"/>
                      <w14:textFill>
                        <w14:solidFill>
                          <w14:schemeClr w14:val="tx1"/>
                        </w14:solidFill>
                      </w14:textFill>
                    </w:rPr>
                    <w:t>环保投资费用（万元）</w:t>
                  </w:r>
                </w:p>
              </w:tc>
            </w:tr>
            <w:tr w14:paraId="310615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377" w:type="pct"/>
                  <w:vMerge w:val="restart"/>
                  <w:tcBorders>
                    <w:tl2br w:val="nil"/>
                    <w:tr2bl w:val="nil"/>
                  </w:tcBorders>
                  <w:vAlign w:val="center"/>
                </w:tcPr>
                <w:p w14:paraId="7CAA4CF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废气</w:t>
                  </w:r>
                </w:p>
              </w:tc>
              <w:tc>
                <w:tcPr>
                  <w:tcW w:w="900" w:type="pct"/>
                  <w:tcBorders>
                    <w:tl2br w:val="nil"/>
                    <w:tr2bl w:val="nil"/>
                  </w:tcBorders>
                  <w:vAlign w:val="center"/>
                </w:tcPr>
                <w:p w14:paraId="1747A9A4">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注塑废气</w:t>
                  </w:r>
                </w:p>
              </w:tc>
              <w:tc>
                <w:tcPr>
                  <w:tcW w:w="2953" w:type="pct"/>
                  <w:tcBorders>
                    <w:tl2br w:val="nil"/>
                    <w:tr2bl w:val="nil"/>
                  </w:tcBorders>
                  <w:vAlign w:val="center"/>
                </w:tcPr>
                <w:p w14:paraId="7622C42B">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集气罩</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收集+</w:t>
                  </w:r>
                  <w:r>
                    <w:rPr>
                      <w:rFonts w:hint="default" w:ascii="Times New Roman" w:hAnsi="Times New Roman" w:eastAsia="宋体" w:cs="Times New Roman"/>
                      <w:caps w:val="0"/>
                      <w:color w:val="000000" w:themeColor="text1"/>
                      <w:szCs w:val="21"/>
                      <w:highlight w:val="none"/>
                      <w14:textFill>
                        <w14:solidFill>
                          <w14:schemeClr w14:val="tx1"/>
                        </w14:solidFill>
                      </w14:textFill>
                    </w:rPr>
                    <w:t>二级活性炭吸附装置+15m高排气筒（DA00</w:t>
                  </w: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szCs w:val="21"/>
                      <w:highlight w:val="none"/>
                      <w14:textFill>
                        <w14:solidFill>
                          <w14:schemeClr w14:val="tx1"/>
                        </w14:solidFill>
                      </w14:textFill>
                    </w:rPr>
                    <w:t>）</w:t>
                  </w:r>
                </w:p>
              </w:tc>
              <w:tc>
                <w:tcPr>
                  <w:tcW w:w="768" w:type="pct"/>
                  <w:tcBorders>
                    <w:tl2br w:val="nil"/>
                    <w:tr2bl w:val="nil"/>
                  </w:tcBorders>
                  <w:tcMar>
                    <w:top w:w="0" w:type="dxa"/>
                    <w:left w:w="68" w:type="dxa"/>
                    <w:bottom w:w="0" w:type="dxa"/>
                    <w:right w:w="68" w:type="dxa"/>
                  </w:tcMar>
                  <w:vAlign w:val="center"/>
                </w:tcPr>
                <w:p w14:paraId="3EC782F5">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szCs w:val="21"/>
                      <w:highlight w:val="none"/>
                      <w14:textFill>
                        <w14:solidFill>
                          <w14:schemeClr w14:val="tx1"/>
                        </w14:solidFill>
                      </w14:textFill>
                    </w:rPr>
                    <w:t>0</w:t>
                  </w:r>
                </w:p>
              </w:tc>
            </w:tr>
            <w:tr w14:paraId="2DB01D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2" w:hRule="atLeast"/>
                <w:jc w:val="center"/>
              </w:trPr>
              <w:tc>
                <w:tcPr>
                  <w:tcW w:w="377" w:type="pct"/>
                  <w:vMerge w:val="continue"/>
                  <w:tcBorders>
                    <w:tl2br w:val="nil"/>
                    <w:tr2bl w:val="nil"/>
                  </w:tcBorders>
                  <w:vAlign w:val="center"/>
                </w:tcPr>
                <w:p w14:paraId="126C915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0" w:type="pct"/>
                  <w:tcBorders>
                    <w:tl2br w:val="nil"/>
                    <w:tr2bl w:val="nil"/>
                  </w:tcBorders>
                  <w:vAlign w:val="center"/>
                </w:tcPr>
                <w:p w14:paraId="258AEDD8">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破碎粉尘</w:t>
                  </w:r>
                </w:p>
              </w:tc>
              <w:tc>
                <w:tcPr>
                  <w:tcW w:w="2953" w:type="pct"/>
                  <w:tcBorders>
                    <w:tl2br w:val="nil"/>
                    <w:tr2bl w:val="nil"/>
                  </w:tcBorders>
                  <w:vAlign w:val="center"/>
                </w:tcPr>
                <w:p w14:paraId="648996C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滤筒除尘器</w:t>
                  </w:r>
                </w:p>
              </w:tc>
              <w:tc>
                <w:tcPr>
                  <w:tcW w:w="768" w:type="pct"/>
                  <w:tcBorders>
                    <w:tl2br w:val="nil"/>
                    <w:tr2bl w:val="nil"/>
                  </w:tcBorders>
                  <w:tcMar>
                    <w:top w:w="0" w:type="dxa"/>
                    <w:left w:w="68" w:type="dxa"/>
                    <w:bottom w:w="0" w:type="dxa"/>
                    <w:right w:w="68" w:type="dxa"/>
                  </w:tcMar>
                  <w:vAlign w:val="center"/>
                </w:tcPr>
                <w:p w14:paraId="6A74374D">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5</w:t>
                  </w:r>
                </w:p>
              </w:tc>
            </w:tr>
            <w:tr w14:paraId="6BD4B9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2" w:hRule="atLeast"/>
                <w:jc w:val="center"/>
              </w:trPr>
              <w:tc>
                <w:tcPr>
                  <w:tcW w:w="377" w:type="pct"/>
                  <w:vMerge w:val="restart"/>
                  <w:tcBorders>
                    <w:tl2br w:val="nil"/>
                    <w:tr2bl w:val="nil"/>
                  </w:tcBorders>
                  <w:vAlign w:val="center"/>
                </w:tcPr>
                <w:p w14:paraId="4357C50A">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废水</w:t>
                  </w:r>
                </w:p>
              </w:tc>
              <w:tc>
                <w:tcPr>
                  <w:tcW w:w="900" w:type="pct"/>
                  <w:tcBorders>
                    <w:tl2br w:val="nil"/>
                    <w:tr2bl w:val="nil"/>
                  </w:tcBorders>
                  <w:vAlign w:val="center"/>
                </w:tcPr>
                <w:p w14:paraId="76F4CF0B">
                  <w:pPr>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生活污水</w:t>
                  </w:r>
                </w:p>
              </w:tc>
              <w:tc>
                <w:tcPr>
                  <w:tcW w:w="2953" w:type="pct"/>
                  <w:tcBorders>
                    <w:tl2br w:val="nil"/>
                    <w:tr2bl w:val="nil"/>
                  </w:tcBorders>
                  <w:vAlign w:val="center"/>
                </w:tcPr>
                <w:p w14:paraId="4F7EDB79">
                  <w:pPr>
                    <w:pStyle w:val="4"/>
                    <w:ind w:firstLine="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化粪池（依托现有）、隔油池（依托现有）</w:t>
                  </w:r>
                </w:p>
              </w:tc>
              <w:tc>
                <w:tcPr>
                  <w:tcW w:w="768" w:type="pct"/>
                  <w:tcBorders>
                    <w:tl2br w:val="nil"/>
                    <w:tr2bl w:val="nil"/>
                  </w:tcBorders>
                  <w:tcMar>
                    <w:top w:w="0" w:type="dxa"/>
                    <w:left w:w="68" w:type="dxa"/>
                    <w:bottom w:w="0" w:type="dxa"/>
                    <w:right w:w="68" w:type="dxa"/>
                  </w:tcMar>
                  <w:vAlign w:val="center"/>
                </w:tcPr>
                <w:p w14:paraId="15EF94BF">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w:t>
                  </w:r>
                </w:p>
              </w:tc>
            </w:tr>
            <w:tr w14:paraId="2E9043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2" w:hRule="atLeast"/>
                <w:jc w:val="center"/>
              </w:trPr>
              <w:tc>
                <w:tcPr>
                  <w:tcW w:w="377" w:type="pct"/>
                  <w:vMerge w:val="continue"/>
                  <w:tcBorders>
                    <w:tl2br w:val="nil"/>
                    <w:tr2bl w:val="nil"/>
                  </w:tcBorders>
                  <w:vAlign w:val="center"/>
                </w:tcPr>
                <w:p w14:paraId="37A71DC2">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0" w:type="pct"/>
                  <w:tcBorders>
                    <w:tl2br w:val="nil"/>
                    <w:tr2bl w:val="nil"/>
                  </w:tcBorders>
                  <w:vAlign w:val="center"/>
                </w:tcPr>
                <w:p w14:paraId="54A4DBC7">
                  <w:pPr>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冷却塔循环水</w:t>
                  </w:r>
                </w:p>
              </w:tc>
              <w:tc>
                <w:tcPr>
                  <w:tcW w:w="2953" w:type="pct"/>
                  <w:tcBorders>
                    <w:tl2br w:val="nil"/>
                    <w:tr2bl w:val="nil"/>
                  </w:tcBorders>
                  <w:vAlign w:val="center"/>
                </w:tcPr>
                <w:p w14:paraId="02C7B139">
                  <w:pPr>
                    <w:pStyle w:val="4"/>
                    <w:ind w:firstLine="0"/>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t>冷却塔</w:t>
                  </w:r>
                </w:p>
              </w:tc>
              <w:tc>
                <w:tcPr>
                  <w:tcW w:w="768" w:type="pct"/>
                  <w:tcBorders>
                    <w:tl2br w:val="nil"/>
                    <w:tr2bl w:val="nil"/>
                  </w:tcBorders>
                  <w:tcMar>
                    <w:top w:w="0" w:type="dxa"/>
                    <w:left w:w="68" w:type="dxa"/>
                    <w:bottom w:w="0" w:type="dxa"/>
                    <w:right w:w="68" w:type="dxa"/>
                  </w:tcMar>
                  <w:vAlign w:val="center"/>
                </w:tcPr>
                <w:p w14:paraId="640ECDE0">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8</w:t>
                  </w:r>
                </w:p>
              </w:tc>
            </w:tr>
            <w:tr w14:paraId="2D41CD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5" w:hRule="atLeast"/>
                <w:jc w:val="center"/>
              </w:trPr>
              <w:tc>
                <w:tcPr>
                  <w:tcW w:w="377" w:type="pct"/>
                  <w:vMerge w:val="continue"/>
                  <w:tcBorders>
                    <w:tl2br w:val="nil"/>
                    <w:tr2bl w:val="nil"/>
                  </w:tcBorders>
                  <w:vAlign w:val="center"/>
                </w:tcPr>
                <w:p w14:paraId="1C959268">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0" w:type="pct"/>
                  <w:tcBorders>
                    <w:tl2br w:val="nil"/>
                    <w:tr2bl w:val="nil"/>
                  </w:tcBorders>
                  <w:vAlign w:val="center"/>
                </w:tcPr>
                <w:p w14:paraId="7F9087FA">
                  <w:pPr>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潮湿废水</w:t>
                  </w:r>
                </w:p>
              </w:tc>
              <w:tc>
                <w:tcPr>
                  <w:tcW w:w="2953" w:type="pct"/>
                  <w:tcBorders>
                    <w:tl2br w:val="nil"/>
                    <w:tr2bl w:val="nil"/>
                  </w:tcBorders>
                  <w:vAlign w:val="center"/>
                </w:tcPr>
                <w:p w14:paraId="0FE9B228">
                  <w:pPr>
                    <w:pStyle w:val="4"/>
                    <w:ind w:firstLine="0"/>
                    <w:jc w:val="center"/>
                    <w:rPr>
                      <w:rFonts w:hint="default" w:ascii="Times New Roman" w:hAnsi="Times New Roman"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 w:val="21"/>
                      <w:szCs w:val="21"/>
                      <w:highlight w:val="none"/>
                      <w:lang w:val="en-US" w:eastAsia="zh-CN"/>
                      <w14:textFill>
                        <w14:solidFill>
                          <w14:schemeClr w14:val="tx1"/>
                        </w14:solidFill>
                      </w14:textFill>
                    </w:rPr>
                    <w:t>沉淀池（依托现有）</w:t>
                  </w:r>
                </w:p>
              </w:tc>
              <w:tc>
                <w:tcPr>
                  <w:tcW w:w="768" w:type="pct"/>
                  <w:tcBorders>
                    <w:tl2br w:val="nil"/>
                    <w:tr2bl w:val="nil"/>
                  </w:tcBorders>
                  <w:tcMar>
                    <w:top w:w="0" w:type="dxa"/>
                    <w:left w:w="68" w:type="dxa"/>
                    <w:bottom w:w="0" w:type="dxa"/>
                    <w:right w:w="68" w:type="dxa"/>
                  </w:tcMar>
                  <w:vAlign w:val="center"/>
                </w:tcPr>
                <w:p w14:paraId="04C69FE6">
                  <w:pPr>
                    <w:jc w:val="center"/>
                    <w:rPr>
                      <w:rFonts w:hint="default" w:ascii="Times New Roman" w:hAnsi="Times New Roman"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0</w:t>
                  </w:r>
                </w:p>
              </w:tc>
            </w:tr>
            <w:tr w14:paraId="060EBD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9" w:hRule="atLeast"/>
                <w:jc w:val="center"/>
              </w:trPr>
              <w:tc>
                <w:tcPr>
                  <w:tcW w:w="377" w:type="pct"/>
                  <w:vMerge w:val="restart"/>
                  <w:tcBorders>
                    <w:tl2br w:val="nil"/>
                    <w:tr2bl w:val="nil"/>
                  </w:tcBorders>
                  <w:vAlign w:val="center"/>
                </w:tcPr>
                <w:p w14:paraId="7473AD3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固废</w:t>
                  </w:r>
                </w:p>
              </w:tc>
              <w:tc>
                <w:tcPr>
                  <w:tcW w:w="900" w:type="pct"/>
                  <w:tcBorders>
                    <w:tl2br w:val="nil"/>
                    <w:tr2bl w:val="nil"/>
                  </w:tcBorders>
                  <w:vAlign w:val="center"/>
                </w:tcPr>
                <w:p w14:paraId="46C5C53F">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一般固废</w:t>
                  </w:r>
                </w:p>
              </w:tc>
              <w:tc>
                <w:tcPr>
                  <w:tcW w:w="2953" w:type="pct"/>
                  <w:tcBorders>
                    <w:tl2br w:val="nil"/>
                    <w:tr2bl w:val="nil"/>
                  </w:tcBorders>
                  <w:vAlign w:val="center"/>
                </w:tcPr>
                <w:p w14:paraId="64805785">
                  <w:pPr>
                    <w:ind w:firstLine="21" w:firstLineChars="1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一般固废暂存处（依托现有）</w:t>
                  </w:r>
                </w:p>
              </w:tc>
              <w:tc>
                <w:tcPr>
                  <w:tcW w:w="768" w:type="pct"/>
                  <w:tcBorders>
                    <w:tl2br w:val="nil"/>
                    <w:tr2bl w:val="nil"/>
                  </w:tcBorders>
                  <w:tcMar>
                    <w:top w:w="0" w:type="dxa"/>
                    <w:left w:w="68" w:type="dxa"/>
                    <w:bottom w:w="0" w:type="dxa"/>
                    <w:right w:w="68" w:type="dxa"/>
                  </w:tcMar>
                  <w:vAlign w:val="center"/>
                </w:tcPr>
                <w:p w14:paraId="4A37B4EC">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0</w:t>
                  </w:r>
                </w:p>
              </w:tc>
            </w:tr>
            <w:tr w14:paraId="2F3E2D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9" w:hRule="atLeast"/>
                <w:jc w:val="center"/>
              </w:trPr>
              <w:tc>
                <w:tcPr>
                  <w:tcW w:w="377" w:type="pct"/>
                  <w:vMerge w:val="continue"/>
                  <w:tcBorders>
                    <w:tl2br w:val="nil"/>
                    <w:tr2bl w:val="nil"/>
                  </w:tcBorders>
                  <w:vAlign w:val="center"/>
                </w:tcPr>
                <w:p w14:paraId="70BAF353">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0" w:type="pct"/>
                  <w:tcBorders>
                    <w:tl2br w:val="nil"/>
                    <w:tr2bl w:val="nil"/>
                  </w:tcBorders>
                  <w:vAlign w:val="center"/>
                </w:tcPr>
                <w:p w14:paraId="4FA48A6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危险固废</w:t>
                  </w:r>
                </w:p>
              </w:tc>
              <w:tc>
                <w:tcPr>
                  <w:tcW w:w="2953" w:type="pct"/>
                  <w:tcBorders>
                    <w:tl2br w:val="nil"/>
                    <w:tr2bl w:val="nil"/>
                  </w:tcBorders>
                  <w:vAlign w:val="center"/>
                </w:tcPr>
                <w:p w14:paraId="48B2519D">
                  <w:pPr>
                    <w:ind w:firstLine="21" w:firstLineChars="10"/>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危险废物暂存处防腐防渗，产生的危废交由有相关资质单位进行处理（依托现有）</w:t>
                  </w:r>
                </w:p>
              </w:tc>
              <w:tc>
                <w:tcPr>
                  <w:tcW w:w="768" w:type="pct"/>
                  <w:tcBorders>
                    <w:tl2br w:val="nil"/>
                    <w:tr2bl w:val="nil"/>
                  </w:tcBorders>
                  <w:tcMar>
                    <w:top w:w="0" w:type="dxa"/>
                    <w:left w:w="68" w:type="dxa"/>
                    <w:bottom w:w="0" w:type="dxa"/>
                    <w:right w:w="68" w:type="dxa"/>
                  </w:tcMar>
                  <w:vAlign w:val="center"/>
                </w:tcPr>
                <w:p w14:paraId="259C70F9">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0</w:t>
                  </w:r>
                </w:p>
              </w:tc>
            </w:tr>
            <w:tr w14:paraId="6DA388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77" w:type="pct"/>
                  <w:vMerge w:val="continue"/>
                  <w:tcBorders>
                    <w:tl2br w:val="nil"/>
                    <w:tr2bl w:val="nil"/>
                  </w:tcBorders>
                  <w:vAlign w:val="center"/>
                </w:tcPr>
                <w:p w14:paraId="00C601D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p>
              </w:tc>
              <w:tc>
                <w:tcPr>
                  <w:tcW w:w="900" w:type="pct"/>
                  <w:tcBorders>
                    <w:tl2br w:val="nil"/>
                    <w:tr2bl w:val="nil"/>
                  </w:tcBorders>
                  <w:vAlign w:val="center"/>
                </w:tcPr>
                <w:p w14:paraId="011CE09A">
                  <w:pPr>
                    <w:jc w:val="cente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生活垃圾</w:t>
                  </w:r>
                </w:p>
              </w:tc>
              <w:tc>
                <w:tcPr>
                  <w:tcW w:w="2953" w:type="pct"/>
                  <w:tcBorders>
                    <w:tl2br w:val="nil"/>
                    <w:tr2bl w:val="nil"/>
                  </w:tcBorders>
                  <w:vAlign w:val="center"/>
                </w:tcPr>
                <w:p w14:paraId="6732D8DE">
                  <w:pPr>
                    <w:ind w:firstLine="21" w:firstLineChars="10"/>
                    <w:jc w:val="cente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垃圾桶</w:t>
                  </w:r>
                </w:p>
              </w:tc>
              <w:tc>
                <w:tcPr>
                  <w:tcW w:w="768" w:type="pct"/>
                  <w:tcBorders>
                    <w:tl2br w:val="nil"/>
                    <w:tr2bl w:val="nil"/>
                  </w:tcBorders>
                  <w:tcMar>
                    <w:top w:w="0" w:type="dxa"/>
                    <w:left w:w="68" w:type="dxa"/>
                    <w:bottom w:w="0" w:type="dxa"/>
                    <w:right w:w="68" w:type="dxa"/>
                  </w:tcMar>
                  <w:vAlign w:val="center"/>
                </w:tcPr>
                <w:p w14:paraId="02B18AAF">
                  <w:pPr>
                    <w:jc w:val="center"/>
                    <w:rPr>
                      <w:rFonts w:hint="eastAsia"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eastAsia" w:ascii="Times New Roman" w:hAnsi="Times New Roman" w:cs="Times New Roman"/>
                      <w:caps w:val="0"/>
                      <w:color w:val="000000" w:themeColor="text1"/>
                      <w:szCs w:val="21"/>
                      <w:highlight w:val="none"/>
                      <w:lang w:val="en-US" w:eastAsia="zh-CN"/>
                      <w14:textFill>
                        <w14:solidFill>
                          <w14:schemeClr w14:val="tx1"/>
                        </w14:solidFill>
                      </w14:textFill>
                    </w:rPr>
                    <w:t>2</w:t>
                  </w:r>
                </w:p>
              </w:tc>
            </w:tr>
            <w:tr w14:paraId="51E05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4" w:hRule="atLeast"/>
                <w:jc w:val="center"/>
              </w:trPr>
              <w:tc>
                <w:tcPr>
                  <w:tcW w:w="377" w:type="pct"/>
                  <w:tcBorders>
                    <w:tl2br w:val="nil"/>
                    <w:tr2bl w:val="nil"/>
                  </w:tcBorders>
                  <w:vAlign w:val="center"/>
                </w:tcPr>
                <w:p w14:paraId="7121F171">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噪声</w:t>
                  </w:r>
                </w:p>
              </w:tc>
              <w:tc>
                <w:tcPr>
                  <w:tcW w:w="900" w:type="pct"/>
                  <w:tcBorders>
                    <w:tl2br w:val="nil"/>
                    <w:tr2bl w:val="nil"/>
                  </w:tcBorders>
                  <w:vAlign w:val="center"/>
                </w:tcPr>
                <w:p w14:paraId="7B3339EC">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噪声</w:t>
                  </w:r>
                </w:p>
              </w:tc>
              <w:tc>
                <w:tcPr>
                  <w:tcW w:w="2953" w:type="pct"/>
                  <w:tcBorders>
                    <w:tl2br w:val="nil"/>
                    <w:tr2bl w:val="nil"/>
                  </w:tcBorders>
                  <w:vAlign w:val="center"/>
                </w:tcPr>
                <w:p w14:paraId="0F1B65C9">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12"/>
                      <w:szCs w:val="21"/>
                      <w:highlight w:val="none"/>
                      <w14:textFill>
                        <w14:solidFill>
                          <w14:schemeClr w14:val="tx1"/>
                        </w14:solidFill>
                      </w14:textFill>
                    </w:rPr>
                    <w:t>低噪声设备、</w:t>
                  </w:r>
                  <w:r>
                    <w:rPr>
                      <w:rFonts w:hint="default" w:ascii="Times New Roman" w:hAnsi="Times New Roman" w:eastAsia="宋体" w:cs="Times New Roman"/>
                      <w:caps w:val="0"/>
                      <w:color w:val="000000" w:themeColor="text1"/>
                      <w:szCs w:val="21"/>
                      <w:highlight w:val="none"/>
                      <w14:textFill>
                        <w14:solidFill>
                          <w14:schemeClr w14:val="tx1"/>
                        </w14:solidFill>
                      </w14:textFill>
                    </w:rPr>
                    <w:t>隔声等</w:t>
                  </w:r>
                </w:p>
              </w:tc>
              <w:tc>
                <w:tcPr>
                  <w:tcW w:w="768" w:type="pct"/>
                  <w:tcBorders>
                    <w:tl2br w:val="nil"/>
                    <w:tr2bl w:val="nil"/>
                  </w:tcBorders>
                  <w:tcMar>
                    <w:top w:w="0" w:type="dxa"/>
                    <w:left w:w="68" w:type="dxa"/>
                    <w:bottom w:w="0" w:type="dxa"/>
                    <w:right w:w="68" w:type="dxa"/>
                  </w:tcMar>
                  <w:vAlign w:val="center"/>
                </w:tcPr>
                <w:p w14:paraId="11BB2E09">
                  <w:pPr>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5</w:t>
                  </w:r>
                </w:p>
              </w:tc>
            </w:tr>
            <w:tr w14:paraId="5321E2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857" w:hRule="atLeast"/>
                <w:jc w:val="center"/>
              </w:trPr>
              <w:tc>
                <w:tcPr>
                  <w:tcW w:w="1277" w:type="pct"/>
                  <w:gridSpan w:val="2"/>
                  <w:tcBorders>
                    <w:tl2br w:val="nil"/>
                    <w:tr2bl w:val="nil"/>
                  </w:tcBorders>
                  <w:vAlign w:val="center"/>
                </w:tcPr>
                <w:p w14:paraId="44498366">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地下水、土壤</w:t>
                  </w:r>
                </w:p>
              </w:tc>
              <w:tc>
                <w:tcPr>
                  <w:tcW w:w="2953" w:type="pct"/>
                  <w:tcBorders>
                    <w:tl2br w:val="nil"/>
                    <w:tr2bl w:val="nil"/>
                  </w:tcBorders>
                  <w:vAlign w:val="center"/>
                </w:tcPr>
                <w:p w14:paraId="210704E3">
                  <w:pPr>
                    <w:jc w:val="center"/>
                    <w:rPr>
                      <w:rFonts w:hint="default" w:ascii="Times New Roman" w:hAnsi="Times New Roman" w:eastAsia="宋体" w:cs="Times New Roman"/>
                      <w:caps w:val="0"/>
                      <w:color w:val="000000" w:themeColor="text1"/>
                      <w:spacing w:val="-12"/>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分区防渗：</w:t>
                  </w:r>
                  <w: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t>原料库</w:t>
                  </w:r>
                  <w:r>
                    <w:rPr>
                      <w:rFonts w:hint="default" w:ascii="Times New Roman" w:hAnsi="Times New Roman" w:cs="Times New Roman"/>
                      <w:caps w:val="0"/>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t>危废暂存库</w:t>
                  </w:r>
                  <w:r>
                    <w:rPr>
                      <w:rFonts w:hint="default" w:ascii="Times New Roman" w:hAnsi="Times New Roman" w:eastAsia="宋体" w:cs="Times New Roman"/>
                      <w:caps w:val="0"/>
                      <w:color w:val="000000" w:themeColor="text1"/>
                      <w:szCs w:val="21"/>
                      <w:highlight w:val="none"/>
                      <w14:textFill>
                        <w14:solidFill>
                          <w14:schemeClr w14:val="tx1"/>
                        </w14:solidFill>
                      </w14:textFill>
                    </w:rPr>
                    <w:t>采取重点防渗；</w:t>
                  </w:r>
                  <w:r>
                    <w:rPr>
                      <w:rFonts w:hint="default" w:ascii="Times New Roman" w:hAnsi="Times New Roman" w:eastAsia="宋体" w:cs="Times New Roman"/>
                      <w:bCs/>
                      <w:caps w:val="0"/>
                      <w:color w:val="000000" w:themeColor="text1"/>
                      <w:szCs w:val="21"/>
                      <w:highlight w:val="none"/>
                      <w14:textFill>
                        <w14:solidFill>
                          <w14:schemeClr w14:val="tx1"/>
                        </w14:solidFill>
                      </w14:textFill>
                    </w:rPr>
                    <w:t>生产区、其他仓库区域</w:t>
                  </w:r>
                  <w:r>
                    <w:rPr>
                      <w:rFonts w:hint="default" w:ascii="Times New Roman" w:hAnsi="Times New Roman" w:eastAsia="宋体" w:cs="Times New Roman"/>
                      <w:caps w:val="0"/>
                      <w:color w:val="000000" w:themeColor="text1"/>
                      <w:szCs w:val="21"/>
                      <w:highlight w:val="none"/>
                      <w14:textFill>
                        <w14:solidFill>
                          <w14:schemeClr w14:val="tx1"/>
                        </w14:solidFill>
                      </w14:textFill>
                    </w:rPr>
                    <w:t>采取一般防渗；除重点防渗区、一般防渗区外的区域采取简单防渗</w:t>
                  </w:r>
                </w:p>
              </w:tc>
              <w:tc>
                <w:tcPr>
                  <w:tcW w:w="768" w:type="pct"/>
                  <w:tcBorders>
                    <w:tl2br w:val="nil"/>
                    <w:tr2bl w:val="nil"/>
                  </w:tcBorders>
                  <w:tcMar>
                    <w:top w:w="0" w:type="dxa"/>
                    <w:left w:w="68" w:type="dxa"/>
                    <w:bottom w:w="0" w:type="dxa"/>
                    <w:right w:w="68" w:type="dxa"/>
                  </w:tcMar>
                  <w:vAlign w:val="center"/>
                </w:tcPr>
                <w:p w14:paraId="68CBCCF9">
                  <w:pPr>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w:t>
                  </w:r>
                </w:p>
              </w:tc>
            </w:tr>
            <w:tr w14:paraId="254E4F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1277" w:type="pct"/>
                  <w:gridSpan w:val="2"/>
                  <w:tcBorders>
                    <w:tl2br w:val="nil"/>
                    <w:tr2bl w:val="nil"/>
                  </w:tcBorders>
                  <w:vAlign w:val="center"/>
                </w:tcPr>
                <w:p w14:paraId="432173CE">
                  <w:pPr>
                    <w:jc w:val="center"/>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环境风险防范及事故应急</w:t>
                  </w:r>
                </w:p>
              </w:tc>
              <w:tc>
                <w:tcPr>
                  <w:tcW w:w="2953" w:type="pct"/>
                  <w:tcBorders>
                    <w:tl2br w:val="nil"/>
                    <w:tr2bl w:val="nil"/>
                  </w:tcBorders>
                  <w:vAlign w:val="center"/>
                </w:tcPr>
                <w:p w14:paraId="2D2D42B4">
                  <w:pPr>
                    <w:jc w:val="center"/>
                    <w:rPr>
                      <w:rFonts w:hint="default" w:ascii="Times New Roman" w:hAnsi="Times New Roman" w:eastAsia="宋体" w:cs="Times New Roman"/>
                      <w:caps w:val="0"/>
                      <w:color w:val="000000" w:themeColor="text1"/>
                      <w:spacing w:val="-12"/>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风险防范物资，完善风险防范措施</w:t>
                  </w:r>
                </w:p>
              </w:tc>
              <w:tc>
                <w:tcPr>
                  <w:tcW w:w="768" w:type="pct"/>
                  <w:tcBorders>
                    <w:tl2br w:val="nil"/>
                    <w:tr2bl w:val="nil"/>
                  </w:tcBorders>
                  <w:tcMar>
                    <w:top w:w="0" w:type="dxa"/>
                    <w:left w:w="68" w:type="dxa"/>
                    <w:bottom w:w="0" w:type="dxa"/>
                    <w:right w:w="68" w:type="dxa"/>
                  </w:tcMar>
                  <w:vAlign w:val="center"/>
                </w:tcPr>
                <w:p w14:paraId="34F7A264">
                  <w:pPr>
                    <w:jc w:val="center"/>
                    <w:rPr>
                      <w:rFonts w:hint="default" w:ascii="Times New Roman" w:hAnsi="Times New Roman" w:eastAsia="宋体" w:cs="Times New Roman"/>
                      <w:caps w:val="0"/>
                      <w:color w:val="000000" w:themeColor="text1"/>
                      <w:szCs w:val="21"/>
                      <w:highlight w:val="none"/>
                      <w:lang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0</w:t>
                  </w:r>
                </w:p>
              </w:tc>
            </w:tr>
            <w:tr w14:paraId="560C96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jc w:val="center"/>
              </w:trPr>
              <w:tc>
                <w:tcPr>
                  <w:tcW w:w="4231" w:type="pct"/>
                  <w:gridSpan w:val="3"/>
                  <w:tcBorders>
                    <w:tl2br w:val="nil"/>
                    <w:tr2bl w:val="nil"/>
                  </w:tcBorders>
                  <w:vAlign w:val="center"/>
                </w:tcPr>
                <w:p w14:paraId="102037E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合计</w:t>
                  </w:r>
                </w:p>
              </w:tc>
              <w:tc>
                <w:tcPr>
                  <w:tcW w:w="768" w:type="pct"/>
                  <w:tcBorders>
                    <w:tl2br w:val="nil"/>
                    <w:tr2bl w:val="nil"/>
                  </w:tcBorders>
                  <w:tcMar>
                    <w:top w:w="0" w:type="dxa"/>
                    <w:left w:w="68" w:type="dxa"/>
                    <w:bottom w:w="0" w:type="dxa"/>
                    <w:right w:w="68" w:type="dxa"/>
                  </w:tcMar>
                  <w:vAlign w:val="center"/>
                </w:tcPr>
                <w:p w14:paraId="547E1017">
                  <w:pPr>
                    <w:jc w:val="center"/>
                    <w:rPr>
                      <w:rFonts w:hint="default" w:ascii="Times New Roman" w:hAnsi="Times New Roman" w:eastAsia="宋体" w:cs="Times New Roman"/>
                      <w:caps w:val="0"/>
                      <w:color w:val="000000" w:themeColor="text1"/>
                      <w:szCs w:val="21"/>
                      <w:highlight w:val="none"/>
                      <w:lang w:val="en-US" w:eastAsia="zh-CN"/>
                      <w14:textFill>
                        <w14:solidFill>
                          <w14:schemeClr w14:val="tx1"/>
                        </w14:solidFill>
                      </w14:textFill>
                    </w:rPr>
                  </w:pPr>
                  <w:r>
                    <w:rPr>
                      <w:rFonts w:hint="default" w:ascii="Times New Roman" w:hAnsi="Times New Roman" w:cs="Times New Roman"/>
                      <w:caps w:val="0"/>
                      <w:color w:val="000000" w:themeColor="text1"/>
                      <w:szCs w:val="21"/>
                      <w:highlight w:val="none"/>
                      <w:lang w:val="en-US" w:eastAsia="zh-CN"/>
                      <w14:textFill>
                        <w14:solidFill>
                          <w14:schemeClr w14:val="tx1"/>
                        </w14:solidFill>
                      </w14:textFill>
                    </w:rPr>
                    <w:t>40</w:t>
                  </w:r>
                </w:p>
              </w:tc>
            </w:tr>
          </w:tbl>
          <w:p w14:paraId="5823CBCE">
            <w:pPr>
              <w:keepNext/>
              <w:keepLines/>
              <w:spacing w:before="120" w:beforeLines="50" w:line="360" w:lineRule="auto"/>
              <w:ind w:firstLine="472" w:firstLineChars="196"/>
              <w:outlineLvl w:val="2"/>
              <w:rPr>
                <w:rFonts w:hint="default" w:ascii="Times New Roman" w:hAnsi="Times New Roman" w:eastAsia="宋体" w:cs="Times New Roman"/>
                <w:b/>
                <w:bCs/>
                <w:caps w:val="0"/>
                <w:color w:val="000000" w:themeColor="text1"/>
                <w:sz w:val="24"/>
                <w:szCs w:val="32"/>
                <w:highlight w:val="none"/>
                <w14:textFill>
                  <w14:solidFill>
                    <w14:schemeClr w14:val="tx1"/>
                  </w14:solidFill>
                </w14:textFill>
              </w:rPr>
            </w:pPr>
          </w:p>
        </w:tc>
      </w:tr>
    </w:tbl>
    <w:p w14:paraId="4A747515">
      <w:pPr>
        <w:adjustRightInd w:val="0"/>
        <w:snapToGrid w:val="0"/>
        <w:spacing w:line="360" w:lineRule="auto"/>
        <w:rPr>
          <w:rFonts w:ascii="Times New Roman" w:hAnsi="Times New Roman" w:eastAsia="宋体" w:cs="宋体"/>
          <w:b/>
          <w:caps w:val="0"/>
          <w:color w:val="000000" w:themeColor="text1"/>
          <w:kern w:val="0"/>
          <w:sz w:val="28"/>
          <w:szCs w:val="28"/>
          <w:highlight w:val="none"/>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6E8B5291">
      <w:pPr>
        <w:pStyle w:val="18"/>
        <w:jc w:val="center"/>
        <w:outlineLvl w:val="0"/>
        <w:rPr>
          <w:rFonts w:ascii="Times New Roman" w:hAnsi="Times New Roman" w:eastAsia="宋体"/>
          <w:caps w:val="0"/>
          <w:snapToGrid w:val="0"/>
          <w:color w:val="000000" w:themeColor="text1"/>
          <w:sz w:val="30"/>
          <w:szCs w:val="30"/>
          <w:highlight w:val="none"/>
          <w14:textFill>
            <w14:solidFill>
              <w14:schemeClr w14:val="tx1"/>
            </w14:solidFill>
          </w14:textFill>
        </w:rPr>
      </w:pPr>
      <w:r>
        <w:rPr>
          <w:rFonts w:hint="eastAsia" w:ascii="Times New Roman" w:hAnsi="Times New Roman" w:eastAsia="宋体"/>
          <w:caps w:val="0"/>
          <w:snapToGrid w:val="0"/>
          <w:color w:val="000000" w:themeColor="text1"/>
          <w:sz w:val="30"/>
          <w:szCs w:val="30"/>
          <w:highlight w:val="none"/>
          <w14:textFill>
            <w14:solidFill>
              <w14:schemeClr w14:val="tx1"/>
            </w14:solidFill>
          </w14:textFill>
        </w:rPr>
        <w:t>五、</w:t>
      </w:r>
      <w:bookmarkStart w:id="16" w:name="_Hlk54167917"/>
      <w:r>
        <w:rPr>
          <w:rFonts w:hint="eastAsia" w:ascii="Times New Roman" w:hAnsi="Times New Roman" w:eastAsia="宋体"/>
          <w:caps w:val="0"/>
          <w:snapToGrid w:val="0"/>
          <w:color w:val="000000" w:themeColor="text1"/>
          <w:sz w:val="30"/>
          <w:szCs w:val="30"/>
          <w:highlight w:val="none"/>
          <w14:textFill>
            <w14:solidFill>
              <w14:schemeClr w14:val="tx1"/>
            </w14:solidFill>
          </w14:textFill>
        </w:rPr>
        <w:t>环境保护措施监督检查清单</w:t>
      </w:r>
      <w:bookmarkEnd w:id="16"/>
    </w:p>
    <w:tbl>
      <w:tblPr>
        <w:tblStyle w:val="21"/>
        <w:tblW w:w="88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8"/>
        <w:gridCol w:w="1701"/>
        <w:gridCol w:w="1417"/>
        <w:gridCol w:w="1458"/>
        <w:gridCol w:w="2686"/>
      </w:tblGrid>
      <w:tr w14:paraId="442E3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38" w:type="dxa"/>
            <w:tcBorders>
              <w:tl2br w:val="single" w:color="auto" w:sz="4" w:space="0"/>
            </w:tcBorders>
          </w:tcPr>
          <w:p w14:paraId="3818C63F">
            <w:pPr>
              <w:adjustRightInd w:val="0"/>
              <w:snapToGrid w:val="0"/>
              <w:ind w:firstLine="840"/>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内容</w:t>
            </w:r>
          </w:p>
          <w:p w14:paraId="6EADF008">
            <w:pPr>
              <w:adjustRightInd w:val="0"/>
              <w:snapToGrid w:val="0"/>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要素</w:t>
            </w:r>
          </w:p>
        </w:tc>
        <w:tc>
          <w:tcPr>
            <w:tcW w:w="1701" w:type="dxa"/>
            <w:vAlign w:val="center"/>
          </w:tcPr>
          <w:p w14:paraId="6CC8B05A">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排放口</w:t>
            </w:r>
            <w:r>
              <w:rPr>
                <w:rFonts w:hint="eastAsia" w:cs="宋体"/>
                <w:caps w:val="0"/>
                <w:color w:val="000000" w:themeColor="text1"/>
                <w:sz w:val="24"/>
                <w:szCs w:val="24"/>
                <w:highlight w:val="none"/>
                <w:lang w:eastAsia="zh-CN"/>
                <w14:textFill>
                  <w14:solidFill>
                    <w14:schemeClr w14:val="tx1"/>
                  </w14:solidFill>
                </w14:textFill>
              </w:rPr>
              <w:t>（</w:t>
            </w:r>
            <w:r>
              <w:rPr>
                <w:rFonts w:hint="eastAsia" w:ascii="Times New Roman" w:hAnsi="Times New Roman" w:eastAsia="宋体" w:cs="宋体"/>
                <w:caps w:val="0"/>
                <w:color w:val="000000" w:themeColor="text1"/>
                <w:sz w:val="24"/>
                <w:szCs w:val="24"/>
                <w:highlight w:val="none"/>
                <w14:textFill>
                  <w14:solidFill>
                    <w14:schemeClr w14:val="tx1"/>
                  </w14:solidFill>
                </w14:textFill>
              </w:rPr>
              <w:t>编号、</w:t>
            </w:r>
          </w:p>
          <w:p w14:paraId="6EB4C9C8">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名称</w:t>
            </w:r>
            <w:r>
              <w:rPr>
                <w:rFonts w:hint="eastAsia" w:cs="宋体"/>
                <w:caps w:val="0"/>
                <w:color w:val="000000" w:themeColor="text1"/>
                <w:sz w:val="24"/>
                <w:szCs w:val="24"/>
                <w:highlight w:val="none"/>
                <w:lang w:eastAsia="zh-CN"/>
                <w14:textFill>
                  <w14:solidFill>
                    <w14:schemeClr w14:val="tx1"/>
                  </w14:solidFill>
                </w14:textFill>
              </w:rPr>
              <w:t>）</w:t>
            </w:r>
            <w:r>
              <w:rPr>
                <w:rFonts w:hint="eastAsia" w:ascii="Times New Roman" w:hAnsi="Times New Roman" w:eastAsia="宋体" w:cs="宋体"/>
                <w:caps w:val="0"/>
                <w:color w:val="000000" w:themeColor="text1"/>
                <w:sz w:val="24"/>
                <w:szCs w:val="24"/>
                <w:highlight w:val="none"/>
                <w14:textFill>
                  <w14:solidFill>
                    <w14:schemeClr w14:val="tx1"/>
                  </w14:solidFill>
                </w14:textFill>
              </w:rPr>
              <w:t>/污染源</w:t>
            </w:r>
          </w:p>
        </w:tc>
        <w:tc>
          <w:tcPr>
            <w:tcW w:w="1417" w:type="dxa"/>
            <w:vAlign w:val="center"/>
          </w:tcPr>
          <w:p w14:paraId="30C1E2EC">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污染物项目</w:t>
            </w:r>
          </w:p>
        </w:tc>
        <w:tc>
          <w:tcPr>
            <w:tcW w:w="1458" w:type="dxa"/>
            <w:vAlign w:val="center"/>
          </w:tcPr>
          <w:p w14:paraId="372FB6F3">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环境保护措施</w:t>
            </w:r>
          </w:p>
        </w:tc>
        <w:tc>
          <w:tcPr>
            <w:tcW w:w="2686" w:type="dxa"/>
            <w:vAlign w:val="center"/>
          </w:tcPr>
          <w:p w14:paraId="34200C6A">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执行标准</w:t>
            </w:r>
          </w:p>
        </w:tc>
      </w:tr>
      <w:tr w14:paraId="35B1F3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538" w:type="dxa"/>
            <w:vMerge w:val="restart"/>
            <w:vAlign w:val="center"/>
          </w:tcPr>
          <w:p w14:paraId="2E6D5BBD">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大气环境</w:t>
            </w:r>
          </w:p>
        </w:tc>
        <w:tc>
          <w:tcPr>
            <w:tcW w:w="1701" w:type="dxa"/>
            <w:vAlign w:val="center"/>
          </w:tcPr>
          <w:p w14:paraId="31D3F507">
            <w:pPr>
              <w:jc w:val="center"/>
              <w:rPr>
                <w:rFonts w:ascii="Times New Roman" w:hAnsi="Times New Roman" w:eastAsia="宋体"/>
                <w:caps w:val="0"/>
                <w:color w:val="000000" w:themeColor="text1"/>
                <w:kern w:val="1"/>
                <w:sz w:val="24"/>
                <w:szCs w:val="24"/>
                <w:highlight w:val="none"/>
                <w14:textFill>
                  <w14:solidFill>
                    <w14:schemeClr w14:val="tx1"/>
                  </w14:solidFill>
                </w14:textFill>
              </w:rPr>
            </w:pPr>
            <w:r>
              <w:rPr>
                <w:rFonts w:hint="eastAsia"/>
                <w:caps w:val="0"/>
                <w:color w:val="000000" w:themeColor="text1"/>
                <w:sz w:val="24"/>
                <w:szCs w:val="24"/>
                <w:highlight w:val="none"/>
                <w:lang w:val="en-US" w:eastAsia="zh-CN"/>
                <w14:textFill>
                  <w14:solidFill>
                    <w14:schemeClr w14:val="tx1"/>
                  </w14:solidFill>
                </w14:textFill>
              </w:rPr>
              <w:t>注塑废气</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（DA00</w:t>
            </w:r>
            <w:r>
              <w:rPr>
                <w:rFonts w:hint="eastAsia"/>
                <w:caps w:val="0"/>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w:t>
            </w:r>
          </w:p>
        </w:tc>
        <w:tc>
          <w:tcPr>
            <w:tcW w:w="1417" w:type="dxa"/>
            <w:vAlign w:val="center"/>
          </w:tcPr>
          <w:p w14:paraId="7F7EB23C">
            <w:pPr>
              <w:snapToGrid w:val="0"/>
              <w:jc w:val="center"/>
              <w:rPr>
                <w:rFonts w:hint="default" w:ascii="Times New Roman" w:hAnsi="Times New Roman" w:eastAsia="宋体"/>
                <w:caps w:val="0"/>
                <w:color w:val="000000" w:themeColor="text1"/>
                <w:kern w:val="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GB"/>
                <w14:textFill>
                  <w14:solidFill>
                    <w14:schemeClr w14:val="tx1"/>
                  </w14:solidFill>
                </w14:textFill>
              </w:rPr>
              <w:t>非甲烷总烃</w:t>
            </w:r>
            <w:r>
              <w:rPr>
                <w:rFonts w:hint="eastAsia" w:ascii="Times New Roman" w:hAnsi="Times New Roman" w:eastAsia="宋体"/>
                <w:caps w:val="0"/>
                <w:color w:val="000000" w:themeColor="text1"/>
                <w:sz w:val="24"/>
                <w:szCs w:val="24"/>
                <w:highlight w:val="none"/>
                <w:lang w:val="en-GB" w:eastAsia="zh-CN"/>
                <w14:textFill>
                  <w14:solidFill>
                    <w14:schemeClr w14:val="tx1"/>
                  </w14:solidFill>
                </w14:textFill>
              </w:rPr>
              <w:t>、</w:t>
            </w:r>
            <w:r>
              <w:rPr>
                <w:rFonts w:hint="eastAsia"/>
                <w:caps w:val="0"/>
                <w:color w:val="000000" w:themeColor="text1"/>
                <w:sz w:val="24"/>
                <w:szCs w:val="24"/>
                <w:highlight w:val="none"/>
                <w:lang w:val="en-US" w:eastAsia="zh-CN"/>
                <w14:textFill>
                  <w14:solidFill>
                    <w14:schemeClr w14:val="tx1"/>
                  </w14:solidFill>
                </w14:textFill>
              </w:rPr>
              <w:t>氨、臭气浓度</w:t>
            </w:r>
          </w:p>
        </w:tc>
        <w:tc>
          <w:tcPr>
            <w:tcW w:w="1458" w:type="dxa"/>
            <w:vAlign w:val="center"/>
          </w:tcPr>
          <w:p w14:paraId="75193292">
            <w:pPr>
              <w:jc w:val="center"/>
              <w:rPr>
                <w:rFonts w:ascii="Times New Roman" w:hAnsi="Times New Roman" w:eastAsia="宋体"/>
                <w:caps w:val="0"/>
                <w:color w:val="000000" w:themeColor="text1"/>
                <w:kern w:val="1"/>
                <w:sz w:val="24"/>
                <w:szCs w:val="24"/>
                <w:highlight w:val="none"/>
                <w14:textFill>
                  <w14:solidFill>
                    <w14:schemeClr w14:val="tx1"/>
                  </w14:solidFill>
                </w14:textFill>
              </w:rPr>
            </w:pPr>
            <w:r>
              <w:rPr>
                <w:rFonts w:hint="eastAsia"/>
                <w:caps w:val="0"/>
                <w:color w:val="000000" w:themeColor="text1"/>
                <w:sz w:val="24"/>
                <w:szCs w:val="24"/>
                <w:highlight w:val="none"/>
                <w:lang w:val="en-US" w:eastAsia="zh-CN"/>
                <w14:textFill>
                  <w14:solidFill>
                    <w14:schemeClr w14:val="tx1"/>
                  </w14:solidFill>
                </w14:textFill>
              </w:rPr>
              <w:t>集气罩</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收集+</w:t>
            </w:r>
            <w:r>
              <w:rPr>
                <w:rFonts w:hint="eastAsia" w:ascii="Times New Roman" w:hAnsi="Times New Roman" w:eastAsia="宋体"/>
                <w:caps w:val="0"/>
                <w:color w:val="000000" w:themeColor="text1"/>
                <w:sz w:val="24"/>
                <w:szCs w:val="24"/>
                <w:highlight w:val="none"/>
                <w14:textFill>
                  <w14:solidFill>
                    <w14:schemeClr w14:val="tx1"/>
                  </w14:solidFill>
                </w14:textFill>
              </w:rPr>
              <w:t>二级活性炭吸附装置+15m高排气筒（D</w:t>
            </w:r>
            <w:r>
              <w:rPr>
                <w:rFonts w:ascii="Times New Roman" w:hAnsi="Times New Roman" w:eastAsia="宋体"/>
                <w:caps w:val="0"/>
                <w:color w:val="000000" w:themeColor="text1"/>
                <w:sz w:val="24"/>
                <w:szCs w:val="24"/>
                <w:highlight w:val="none"/>
                <w14:textFill>
                  <w14:solidFill>
                    <w14:schemeClr w14:val="tx1"/>
                  </w14:solidFill>
                </w14:textFill>
              </w:rPr>
              <w:t>A00</w:t>
            </w:r>
            <w:r>
              <w:rPr>
                <w:rFonts w:hint="eastAsia"/>
                <w:caps w:val="0"/>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aps w:val="0"/>
                <w:color w:val="000000" w:themeColor="text1"/>
                <w:sz w:val="24"/>
                <w:szCs w:val="24"/>
                <w:highlight w:val="none"/>
                <w14:textFill>
                  <w14:solidFill>
                    <w14:schemeClr w14:val="tx1"/>
                  </w14:solidFill>
                </w14:textFill>
              </w:rPr>
              <w:t>）</w:t>
            </w:r>
          </w:p>
        </w:tc>
        <w:tc>
          <w:tcPr>
            <w:tcW w:w="2686" w:type="dxa"/>
            <w:vAlign w:val="center"/>
          </w:tcPr>
          <w:p w14:paraId="264A7591">
            <w:pPr>
              <w:snapToGrid w:val="0"/>
              <w:jc w:val="center"/>
              <w:rPr>
                <w:rFonts w:hint="eastAsia" w:ascii="Times New Roman" w:hAnsi="Times New Roman" w:eastAsia="宋体"/>
                <w:caps w:val="0"/>
                <w:color w:val="000000" w:themeColor="text1"/>
                <w:kern w:val="1"/>
                <w:sz w:val="24"/>
                <w:szCs w:val="24"/>
                <w:highlight w:val="none"/>
                <w:lang w:eastAsia="zh-CN"/>
                <w14:textFill>
                  <w14:solidFill>
                    <w14:schemeClr w14:val="tx1"/>
                  </w14:solidFill>
                </w14:textFill>
              </w:rPr>
            </w:pPr>
            <w:r>
              <w:rPr>
                <w:rFonts w:hint="eastAsia" w:ascii="Times New Roman" w:hAnsi="Times New Roman" w:eastAsia="宋体"/>
                <w:color w:val="000000" w:themeColor="text1"/>
                <w:sz w:val="24"/>
                <w:szCs w:val="20"/>
                <w:highlight w:val="none"/>
                <w14:textFill>
                  <w14:solidFill>
                    <w14:schemeClr w14:val="tx1"/>
                  </w14:solidFill>
                </w14:textFill>
              </w:rPr>
              <w:t>《固定源挥发性有机物综合排放标准 第6部分：其他行业》（DB34/ 4812.6-2024）表1相关标准限值</w:t>
            </w:r>
            <w:r>
              <w:rPr>
                <w:rFonts w:hint="eastAsia"/>
                <w:color w:val="000000" w:themeColor="text1"/>
                <w:sz w:val="24"/>
                <w:szCs w:val="20"/>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0"/>
                <w:highlight w:val="none"/>
                <w14:textFill>
                  <w14:solidFill>
                    <w14:schemeClr w14:val="tx1"/>
                  </w14:solidFill>
                </w14:textFill>
              </w:rPr>
              <w:t>《</w:t>
            </w:r>
            <w:r>
              <w:rPr>
                <w:rFonts w:hint="default"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合成树脂工业污染物排放标准</w:t>
            </w:r>
            <w:r>
              <w:rPr>
                <w:rFonts w:hint="default" w:ascii="Times New Roman" w:hAnsi="Times New Roman" w:eastAsia="宋体" w:cs="Times New Roman"/>
                <w:color w:val="000000" w:themeColor="text1"/>
                <w:sz w:val="24"/>
                <w:szCs w:val="20"/>
                <w:highlight w:val="none"/>
                <w14:textFill>
                  <w14:solidFill>
                    <w14:schemeClr w14:val="tx1"/>
                  </w14:solidFill>
                </w14:textFill>
              </w:rPr>
              <w:t>》（</w:t>
            </w:r>
            <w:r>
              <w:rPr>
                <w:rFonts w:hint="default" w:ascii="Times New Roman" w:hAnsi="Times New Roman" w:cs="Times New Roman"/>
                <w:color w:val="000000" w:themeColor="text1"/>
                <w:sz w:val="24"/>
                <w:szCs w:val="20"/>
                <w:highlight w:val="none"/>
                <w:lang w:val="en-US" w:eastAsia="zh-CN"/>
                <w14:textFill>
                  <w14:solidFill>
                    <w14:schemeClr w14:val="tx1"/>
                  </w14:solidFill>
                </w14:textFill>
              </w:rPr>
              <w:t>GB31572-2015</w:t>
            </w:r>
            <w:r>
              <w:rPr>
                <w:rFonts w:hint="default" w:ascii="Times New Roman" w:hAnsi="Times New Roman" w:eastAsia="宋体" w:cs="Times New Roman"/>
                <w:color w:val="000000" w:themeColor="text1"/>
                <w:sz w:val="24"/>
                <w:szCs w:val="20"/>
                <w:highlight w:val="none"/>
                <w14:textFill>
                  <w14:solidFill>
                    <w14:schemeClr w14:val="tx1"/>
                  </w14:solidFill>
                </w14:textFill>
              </w:rPr>
              <w:t>）</w:t>
            </w:r>
            <w:r>
              <w:rPr>
                <w:rFonts w:hint="eastAsia" w:cs="Times New Roman"/>
                <w:color w:val="000000" w:themeColor="text1"/>
                <w:sz w:val="24"/>
                <w:szCs w:val="20"/>
                <w:highlight w:val="none"/>
                <w:lang w:eastAsia="zh-CN"/>
                <w14:textFill>
                  <w14:solidFill>
                    <w14:schemeClr w14:val="tx1"/>
                  </w14:solidFill>
                </w14:textFill>
              </w:rPr>
              <w:t>（</w:t>
            </w:r>
            <w:r>
              <w:rPr>
                <w:rFonts w:ascii="Times New Roman" w:hAnsi="Times New Roman"/>
                <w:bCs/>
                <w:kern w:val="0"/>
                <w:sz w:val="24"/>
              </w:rPr>
              <w:t>含2024年修改单</w:t>
            </w:r>
            <w:r>
              <w:rPr>
                <w:rFonts w:hint="eastAsia" w:cs="Times New Roman"/>
                <w:color w:val="000000" w:themeColor="text1"/>
                <w:sz w:val="24"/>
                <w:szCs w:val="20"/>
                <w:highlight w:val="none"/>
                <w:lang w:eastAsia="zh-CN"/>
                <w14:textFill>
                  <w14:solidFill>
                    <w14:schemeClr w14:val="tx1"/>
                  </w14:solidFill>
                </w14:textFill>
              </w:rPr>
              <w:t>）；</w:t>
            </w:r>
            <w:r>
              <w:rPr>
                <w:rFonts w:ascii="Times New Roman" w:hAnsi="Times New Roman"/>
                <w:kern w:val="0"/>
                <w:sz w:val="24"/>
              </w:rPr>
              <w:t>《恶臭污染物排放标准》（GB14554-93）表2中标准限值要求</w:t>
            </w:r>
          </w:p>
        </w:tc>
      </w:tr>
      <w:tr w14:paraId="3518FC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538" w:type="dxa"/>
            <w:vMerge w:val="continue"/>
            <w:vAlign w:val="center"/>
          </w:tcPr>
          <w:p w14:paraId="45582C83">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p>
        </w:tc>
        <w:tc>
          <w:tcPr>
            <w:tcW w:w="1701" w:type="dxa"/>
            <w:vMerge w:val="restart"/>
            <w:vAlign w:val="center"/>
          </w:tcPr>
          <w:p w14:paraId="7E962B4B">
            <w:pPr>
              <w:jc w:val="center"/>
            </w:pPr>
          </w:p>
          <w:p w14:paraId="7D5BD241">
            <w:pPr>
              <w:snapToGrid w:val="0"/>
              <w:jc w:val="center"/>
              <w:rPr>
                <w:rFonts w:hint="eastAsia"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eastAsia"/>
                <w:caps w:val="0"/>
                <w:color w:val="000000" w:themeColor="text1"/>
                <w:sz w:val="24"/>
                <w:szCs w:val="24"/>
                <w:highlight w:val="none"/>
                <w:lang w:val="en-US" w:eastAsia="zh-CN"/>
                <w14:textFill>
                  <w14:solidFill>
                    <w14:schemeClr w14:val="tx1"/>
                  </w14:solidFill>
                </w14:textFill>
              </w:rPr>
              <w:t>无组织（厂界）</w:t>
            </w:r>
          </w:p>
        </w:tc>
        <w:tc>
          <w:tcPr>
            <w:tcW w:w="1417" w:type="dxa"/>
            <w:vAlign w:val="center"/>
          </w:tcPr>
          <w:p w14:paraId="4B4F5240">
            <w:pPr>
              <w:snapToGrid w:val="0"/>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颗粒物</w:t>
            </w:r>
          </w:p>
        </w:tc>
        <w:tc>
          <w:tcPr>
            <w:tcW w:w="1458" w:type="dxa"/>
            <w:vAlign w:val="center"/>
          </w:tcPr>
          <w:p w14:paraId="0B7E049D">
            <w:pPr>
              <w:jc w:val="center"/>
              <w:rPr>
                <w:rFonts w:hint="default" w:ascii="Times New Roman" w:hAnsi="Times New Roman" w:eastAsia="宋体"/>
                <w:caps w:val="0"/>
                <w:color w:val="000000" w:themeColor="text1"/>
                <w:sz w:val="24"/>
                <w:szCs w:val="24"/>
                <w:highlight w:val="none"/>
                <w:lang w:val="en-US"/>
                <w14:textFill>
                  <w14:solidFill>
                    <w14:schemeClr w14:val="tx1"/>
                  </w14:solidFill>
                </w14:textFill>
              </w:rPr>
            </w:pPr>
            <w:r>
              <w:rPr>
                <w:rFonts w:hint="eastAsia"/>
                <w:caps w:val="0"/>
                <w:color w:val="000000" w:themeColor="text1"/>
                <w:sz w:val="24"/>
                <w:szCs w:val="24"/>
                <w:highlight w:val="none"/>
                <w:lang w:val="en-US" w:eastAsia="zh-CN"/>
                <w14:textFill>
                  <w14:solidFill>
                    <w14:schemeClr w14:val="tx1"/>
                  </w14:solidFill>
                </w14:textFill>
              </w:rPr>
              <w:t>滤筒除尘器</w:t>
            </w:r>
          </w:p>
        </w:tc>
        <w:tc>
          <w:tcPr>
            <w:tcW w:w="2686" w:type="dxa"/>
            <w:vAlign w:val="center"/>
          </w:tcPr>
          <w:p w14:paraId="00AB2E0B">
            <w:pPr>
              <w:snapToGrid w:val="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0"/>
                <w:highlight w:val="none"/>
                <w14:textFill>
                  <w14:solidFill>
                    <w14:schemeClr w14:val="tx1"/>
                  </w14:solidFill>
                </w14:textFill>
              </w:rPr>
              <w:t>《</w:t>
            </w:r>
            <w:r>
              <w:rPr>
                <w:rFonts w:hint="default"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合成树脂工业污染物排放标准</w:t>
            </w:r>
            <w:r>
              <w:rPr>
                <w:rFonts w:hint="default" w:ascii="Times New Roman" w:hAnsi="Times New Roman" w:eastAsia="宋体" w:cs="Times New Roman"/>
                <w:color w:val="000000" w:themeColor="text1"/>
                <w:sz w:val="24"/>
                <w:szCs w:val="20"/>
                <w:highlight w:val="none"/>
                <w14:textFill>
                  <w14:solidFill>
                    <w14:schemeClr w14:val="tx1"/>
                  </w14:solidFill>
                </w14:textFill>
              </w:rPr>
              <w:t>》（</w:t>
            </w:r>
            <w:r>
              <w:rPr>
                <w:rFonts w:hint="default" w:ascii="Times New Roman" w:hAnsi="Times New Roman" w:cs="Times New Roman"/>
                <w:color w:val="000000" w:themeColor="text1"/>
                <w:sz w:val="24"/>
                <w:szCs w:val="20"/>
                <w:highlight w:val="none"/>
                <w:lang w:val="en-US" w:eastAsia="zh-CN"/>
                <w14:textFill>
                  <w14:solidFill>
                    <w14:schemeClr w14:val="tx1"/>
                  </w14:solidFill>
                </w14:textFill>
              </w:rPr>
              <w:t>GB31572-2015</w:t>
            </w:r>
            <w:r>
              <w:rPr>
                <w:rFonts w:hint="default" w:ascii="Times New Roman" w:hAnsi="Times New Roman" w:eastAsia="宋体" w:cs="Times New Roman"/>
                <w:color w:val="000000" w:themeColor="text1"/>
                <w:sz w:val="24"/>
                <w:szCs w:val="20"/>
                <w:highlight w:val="none"/>
                <w14:textFill>
                  <w14:solidFill>
                    <w14:schemeClr w14:val="tx1"/>
                  </w14:solidFill>
                </w14:textFill>
              </w:rPr>
              <w:t>）</w:t>
            </w:r>
            <w:r>
              <w:rPr>
                <w:rFonts w:hint="eastAsia" w:cs="Times New Roman"/>
                <w:color w:val="000000" w:themeColor="text1"/>
                <w:sz w:val="24"/>
                <w:szCs w:val="20"/>
                <w:highlight w:val="none"/>
                <w:lang w:eastAsia="zh-CN"/>
                <w14:textFill>
                  <w14:solidFill>
                    <w14:schemeClr w14:val="tx1"/>
                  </w14:solidFill>
                </w14:textFill>
              </w:rPr>
              <w:t>（</w:t>
            </w:r>
            <w:r>
              <w:rPr>
                <w:rFonts w:ascii="Times New Roman" w:hAnsi="Times New Roman"/>
                <w:bCs/>
                <w:kern w:val="0"/>
                <w:sz w:val="24"/>
              </w:rPr>
              <w:t>含2024年修改单</w:t>
            </w:r>
            <w:r>
              <w:rPr>
                <w:rFonts w:hint="eastAsia" w:cs="Times New Roman"/>
                <w:color w:val="000000" w:themeColor="text1"/>
                <w:sz w:val="24"/>
                <w:szCs w:val="20"/>
                <w:highlight w:val="none"/>
                <w:lang w:eastAsia="zh-CN"/>
                <w14:textFill>
                  <w14:solidFill>
                    <w14:schemeClr w14:val="tx1"/>
                  </w14:solidFill>
                </w14:textFill>
              </w:rPr>
              <w:t>）</w:t>
            </w:r>
            <w:r>
              <w:rPr>
                <w:rFonts w:ascii="Times New Roman" w:hAnsi="Times New Roman"/>
                <w:kern w:val="0"/>
                <w:sz w:val="24"/>
              </w:rPr>
              <w:t>表9企业边界大气污染物浓度限值</w:t>
            </w:r>
          </w:p>
        </w:tc>
      </w:tr>
      <w:tr w14:paraId="134B41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538" w:type="dxa"/>
            <w:vMerge w:val="continue"/>
            <w:vAlign w:val="center"/>
          </w:tcPr>
          <w:p w14:paraId="78F159F6">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p>
        </w:tc>
        <w:tc>
          <w:tcPr>
            <w:tcW w:w="1701" w:type="dxa"/>
            <w:vMerge w:val="continue"/>
            <w:vAlign w:val="center"/>
          </w:tcPr>
          <w:p w14:paraId="73DAF021">
            <w:pPr>
              <w:snapToGrid w:val="0"/>
              <w:jc w:val="center"/>
              <w:rPr>
                <w:rFonts w:hint="eastAsia"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p>
        </w:tc>
        <w:tc>
          <w:tcPr>
            <w:tcW w:w="1417" w:type="dxa"/>
            <w:vAlign w:val="center"/>
          </w:tcPr>
          <w:p w14:paraId="6AFF0483">
            <w:pPr>
              <w:snapToGrid w:val="0"/>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aps w:val="0"/>
                <w:color w:val="000000" w:themeColor="text1"/>
                <w:sz w:val="24"/>
                <w:szCs w:val="24"/>
                <w:highlight w:val="none"/>
                <w:lang w:val="en-GB"/>
                <w14:textFill>
                  <w14:solidFill>
                    <w14:schemeClr w14:val="tx1"/>
                  </w14:solidFill>
                </w14:textFill>
              </w:rPr>
              <w:t>非甲烷总烃、氨</w:t>
            </w:r>
            <w:r>
              <w:rPr>
                <w:rFonts w:hint="eastAsia"/>
                <w:caps w:val="0"/>
                <w:color w:val="000000" w:themeColor="text1"/>
                <w:sz w:val="24"/>
                <w:szCs w:val="24"/>
                <w:highlight w:val="none"/>
                <w:lang w:val="en-GB" w:eastAsia="zh-CN"/>
                <w14:textFill>
                  <w14:solidFill>
                    <w14:schemeClr w14:val="tx1"/>
                  </w14:solidFill>
                </w14:textFill>
              </w:rPr>
              <w:t>、</w:t>
            </w:r>
            <w:r>
              <w:rPr>
                <w:rFonts w:hint="eastAsia"/>
                <w:caps w:val="0"/>
                <w:color w:val="000000" w:themeColor="text1"/>
                <w:sz w:val="24"/>
                <w:szCs w:val="24"/>
                <w:highlight w:val="none"/>
                <w:lang w:val="en-US" w:eastAsia="zh-CN"/>
                <w14:textFill>
                  <w14:solidFill>
                    <w14:schemeClr w14:val="tx1"/>
                  </w14:solidFill>
                </w14:textFill>
              </w:rPr>
              <w:t>臭气浓度</w:t>
            </w:r>
          </w:p>
        </w:tc>
        <w:tc>
          <w:tcPr>
            <w:tcW w:w="1458" w:type="dxa"/>
            <w:vAlign w:val="center"/>
          </w:tcPr>
          <w:p w14:paraId="6A3F7587">
            <w:pPr>
              <w:snapToGrid w:val="0"/>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加强收集效率</w:t>
            </w:r>
          </w:p>
        </w:tc>
        <w:tc>
          <w:tcPr>
            <w:tcW w:w="2686" w:type="dxa"/>
            <w:vAlign w:val="center"/>
          </w:tcPr>
          <w:p w14:paraId="4E34204E">
            <w:pPr>
              <w:snapToGrid w:val="0"/>
              <w:jc w:val="center"/>
              <w:rPr>
                <w:rFonts w:hint="eastAsia"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0"/>
                <w:highlight w:val="none"/>
                <w14:textFill>
                  <w14:solidFill>
                    <w14:schemeClr w14:val="tx1"/>
                  </w14:solidFill>
                </w14:textFill>
              </w:rPr>
              <w:t>《</w:t>
            </w:r>
            <w:r>
              <w:rPr>
                <w:rFonts w:hint="default" w:ascii="Times New Roman" w:hAnsi="Times New Roman" w:cs="Times New Roman"/>
                <w:b w:val="0"/>
                <w:bCs w:val="0"/>
                <w:color w:val="000000" w:themeColor="text1"/>
                <w:kern w:val="2"/>
                <w:sz w:val="24"/>
                <w:szCs w:val="24"/>
                <w:highlight w:val="none"/>
                <w:lang w:val="en-US" w:eastAsia="zh-CN" w:bidi="ar-SA"/>
                <w14:textFill>
                  <w14:solidFill>
                    <w14:schemeClr w14:val="tx1"/>
                  </w14:solidFill>
                </w14:textFill>
              </w:rPr>
              <w:t>合成树脂工业污染物排放标准</w:t>
            </w:r>
            <w:r>
              <w:rPr>
                <w:rFonts w:hint="default" w:ascii="Times New Roman" w:hAnsi="Times New Roman" w:eastAsia="宋体" w:cs="Times New Roman"/>
                <w:color w:val="000000" w:themeColor="text1"/>
                <w:sz w:val="24"/>
                <w:szCs w:val="20"/>
                <w:highlight w:val="none"/>
                <w14:textFill>
                  <w14:solidFill>
                    <w14:schemeClr w14:val="tx1"/>
                  </w14:solidFill>
                </w14:textFill>
              </w:rPr>
              <w:t>》（</w:t>
            </w:r>
            <w:r>
              <w:rPr>
                <w:rFonts w:hint="default" w:ascii="Times New Roman" w:hAnsi="Times New Roman" w:cs="Times New Roman"/>
                <w:color w:val="000000" w:themeColor="text1"/>
                <w:sz w:val="24"/>
                <w:szCs w:val="20"/>
                <w:highlight w:val="none"/>
                <w:lang w:val="en-US" w:eastAsia="zh-CN"/>
                <w14:textFill>
                  <w14:solidFill>
                    <w14:schemeClr w14:val="tx1"/>
                  </w14:solidFill>
                </w14:textFill>
              </w:rPr>
              <w:t>GB31572-2015</w:t>
            </w:r>
            <w:r>
              <w:rPr>
                <w:rFonts w:hint="default" w:ascii="Times New Roman" w:hAnsi="Times New Roman" w:eastAsia="宋体" w:cs="Times New Roman"/>
                <w:color w:val="000000" w:themeColor="text1"/>
                <w:sz w:val="24"/>
                <w:szCs w:val="20"/>
                <w:highlight w:val="none"/>
                <w14:textFill>
                  <w14:solidFill>
                    <w14:schemeClr w14:val="tx1"/>
                  </w14:solidFill>
                </w14:textFill>
              </w:rPr>
              <w:t>）</w:t>
            </w:r>
            <w:r>
              <w:rPr>
                <w:rFonts w:hint="eastAsia" w:cs="Times New Roman"/>
                <w:color w:val="000000" w:themeColor="text1"/>
                <w:sz w:val="24"/>
                <w:szCs w:val="20"/>
                <w:highlight w:val="none"/>
                <w:lang w:eastAsia="zh-CN"/>
                <w14:textFill>
                  <w14:solidFill>
                    <w14:schemeClr w14:val="tx1"/>
                  </w14:solidFill>
                </w14:textFill>
              </w:rPr>
              <w:t>（</w:t>
            </w:r>
            <w:r>
              <w:rPr>
                <w:rFonts w:ascii="Times New Roman" w:hAnsi="Times New Roman"/>
                <w:bCs/>
                <w:kern w:val="0"/>
                <w:sz w:val="24"/>
              </w:rPr>
              <w:t>含2024年修改单</w:t>
            </w:r>
            <w:r>
              <w:rPr>
                <w:rFonts w:hint="eastAsia" w:cs="Times New Roman"/>
                <w:color w:val="000000" w:themeColor="text1"/>
                <w:sz w:val="24"/>
                <w:szCs w:val="20"/>
                <w:highlight w:val="none"/>
                <w:lang w:eastAsia="zh-CN"/>
                <w14:textFill>
                  <w14:solidFill>
                    <w14:schemeClr w14:val="tx1"/>
                  </w14:solidFill>
                </w14:textFill>
              </w:rPr>
              <w:t>）</w:t>
            </w:r>
            <w:r>
              <w:rPr>
                <w:rFonts w:ascii="Times New Roman" w:hAnsi="Times New Roman"/>
                <w:kern w:val="0"/>
                <w:sz w:val="24"/>
              </w:rPr>
              <w:t>表9企业边界大气污染物浓度限值</w:t>
            </w:r>
            <w:r>
              <w:rPr>
                <w:rFonts w:hint="eastAsia" w:ascii="Times New Roman" w:hAnsi="Times New Roman" w:eastAsia="宋体"/>
                <w:caps w:val="0"/>
                <w:color w:val="000000" w:themeColor="text1"/>
                <w:sz w:val="24"/>
                <w:highlight w:val="none"/>
                <w:lang w:eastAsia="zh-CN"/>
                <w14:textFill>
                  <w14:solidFill>
                    <w14:schemeClr w14:val="tx1"/>
                  </w14:solidFill>
                </w14:textFill>
              </w:rPr>
              <w:t>；</w:t>
            </w:r>
            <w:r>
              <w:rPr>
                <w:rFonts w:hint="default" w:ascii="Times New Roman" w:hAnsi="Times New Roman" w:cs="Times New Roman"/>
                <w:caps w:val="0"/>
                <w:color w:val="000000" w:themeColor="text1"/>
                <w:sz w:val="24"/>
                <w:szCs w:val="20"/>
                <w:highlight w:val="none"/>
                <w:lang w:val="en-US" w:eastAsia="zh-CN"/>
                <w14:textFill>
                  <w14:solidFill>
                    <w14:schemeClr w14:val="tx1"/>
                  </w14:solidFill>
                </w14:textFill>
              </w:rPr>
              <w:t>《恶臭污染物排放标准》（GB14554-93）中表1限值要求</w:t>
            </w:r>
            <w:r>
              <w:rPr>
                <w:rFonts w:hint="default" w:ascii="Times New Roman" w:hAnsi="Times New Roman" w:eastAsia="宋体" w:cs="Times New Roman"/>
                <w:caps w:val="0"/>
                <w:color w:val="000000" w:themeColor="text1"/>
                <w:sz w:val="24"/>
                <w:szCs w:val="20"/>
                <w:highlight w:val="none"/>
                <w:lang w:eastAsia="zh-CN"/>
                <w14:textFill>
                  <w14:solidFill>
                    <w14:schemeClr w14:val="tx1"/>
                  </w14:solidFill>
                </w14:textFill>
              </w:rPr>
              <w:t>。</w:t>
            </w:r>
          </w:p>
        </w:tc>
      </w:tr>
      <w:tr w14:paraId="207717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538" w:type="dxa"/>
            <w:vMerge w:val="continue"/>
            <w:vAlign w:val="center"/>
          </w:tcPr>
          <w:p w14:paraId="45E86BA3">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p>
        </w:tc>
        <w:tc>
          <w:tcPr>
            <w:tcW w:w="1701" w:type="dxa"/>
            <w:vAlign w:val="center"/>
          </w:tcPr>
          <w:p w14:paraId="0EB58BC7">
            <w:pPr>
              <w:snapToGrid w:val="0"/>
              <w:jc w:val="center"/>
              <w:rPr>
                <w:rFonts w:hint="default"/>
                <w:caps w:val="0"/>
                <w:color w:val="000000" w:themeColor="text1"/>
                <w:sz w:val="24"/>
                <w:szCs w:val="24"/>
                <w:highlight w:val="none"/>
                <w:lang w:val="en-US" w:eastAsia="zh-CN"/>
                <w14:textFill>
                  <w14:solidFill>
                    <w14:schemeClr w14:val="tx1"/>
                  </w14:solidFill>
                </w14:textFill>
              </w:rPr>
            </w:pPr>
            <w:r>
              <w:rPr>
                <w:rFonts w:hint="eastAsia"/>
                <w:caps w:val="0"/>
                <w:color w:val="000000" w:themeColor="text1"/>
                <w:sz w:val="24"/>
                <w:szCs w:val="24"/>
                <w:highlight w:val="none"/>
                <w:lang w:val="en-US" w:eastAsia="zh-CN"/>
                <w14:textFill>
                  <w14:solidFill>
                    <w14:schemeClr w14:val="tx1"/>
                  </w14:solidFill>
                </w14:textFill>
              </w:rPr>
              <w:t>无组织（厂区内）</w:t>
            </w:r>
          </w:p>
        </w:tc>
        <w:tc>
          <w:tcPr>
            <w:tcW w:w="1417" w:type="dxa"/>
            <w:vAlign w:val="center"/>
          </w:tcPr>
          <w:p w14:paraId="52F8BD2B">
            <w:pPr>
              <w:snapToGrid w:val="0"/>
              <w:jc w:val="center"/>
              <w:rPr>
                <w:rFonts w:hint="eastAsia" w:ascii="Times New Roman" w:hAnsi="Times New Roman" w:eastAsia="宋体"/>
                <w:caps w:val="0"/>
                <w:color w:val="000000" w:themeColor="text1"/>
                <w:sz w:val="24"/>
                <w:szCs w:val="24"/>
                <w:highlight w:val="none"/>
                <w:lang w:val="en-GB"/>
                <w14:textFill>
                  <w14:solidFill>
                    <w14:schemeClr w14:val="tx1"/>
                  </w14:solidFill>
                </w14:textFill>
              </w:rPr>
            </w:pPr>
            <w:r>
              <w:rPr>
                <w:rFonts w:ascii="Times New Roman" w:hAnsi="Times New Roman" w:eastAsia="宋体"/>
                <w:caps w:val="0"/>
                <w:color w:val="000000" w:themeColor="text1"/>
                <w:sz w:val="24"/>
                <w:szCs w:val="24"/>
                <w:highlight w:val="none"/>
                <w:lang w:val="en-GB"/>
                <w14:textFill>
                  <w14:solidFill>
                    <w14:schemeClr w14:val="tx1"/>
                  </w14:solidFill>
                </w14:textFill>
              </w:rPr>
              <w:t>非甲烷总烃</w:t>
            </w:r>
          </w:p>
        </w:tc>
        <w:tc>
          <w:tcPr>
            <w:tcW w:w="1458" w:type="dxa"/>
            <w:shd w:val="clear" w:color="auto" w:fill="auto"/>
            <w:vAlign w:val="center"/>
          </w:tcPr>
          <w:p w14:paraId="19E82973">
            <w:pPr>
              <w:snapToGrid w:val="0"/>
              <w:jc w:val="center"/>
              <w:rPr>
                <w:rFonts w:hint="eastAsia"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加强收集效率</w:t>
            </w:r>
          </w:p>
        </w:tc>
        <w:tc>
          <w:tcPr>
            <w:tcW w:w="2686" w:type="dxa"/>
            <w:shd w:val="clear" w:color="auto" w:fill="auto"/>
            <w:vAlign w:val="center"/>
          </w:tcPr>
          <w:p w14:paraId="7DC317E3">
            <w:pPr>
              <w:snapToGrid w:val="0"/>
              <w:jc w:val="center"/>
              <w:rPr>
                <w:rFonts w:hint="eastAsia"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eastAsia"/>
                <w:color w:val="000000"/>
                <w:sz w:val="24"/>
                <w:szCs w:val="20"/>
                <w:highlight w:val="none"/>
              </w:rPr>
              <w:t>《固定源挥发性有机物综合排放标准 第6部分：其他行业》（DB34/ 4812.6-2024）表4相关标准限值</w:t>
            </w:r>
          </w:p>
        </w:tc>
      </w:tr>
      <w:tr w14:paraId="11E6A6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38" w:type="dxa"/>
            <w:vAlign w:val="center"/>
          </w:tcPr>
          <w:p w14:paraId="16490217">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地表水环境</w:t>
            </w:r>
          </w:p>
        </w:tc>
        <w:tc>
          <w:tcPr>
            <w:tcW w:w="1701" w:type="dxa"/>
            <w:vAlign w:val="center"/>
          </w:tcPr>
          <w:p w14:paraId="75E6719F">
            <w:pPr>
              <w:adjustRightInd w:val="0"/>
              <w:snapToGrid w:val="0"/>
              <w:jc w:val="center"/>
              <w:rPr>
                <w:rFonts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综合废水</w:t>
            </w:r>
            <w:r>
              <w:rPr>
                <w:rFonts w:ascii="Times New Roman" w:hAnsi="Times New Roman" w:eastAsia="宋体"/>
                <w:caps w:val="0"/>
                <w:color w:val="000000" w:themeColor="text1"/>
                <w:sz w:val="24"/>
                <w:szCs w:val="24"/>
                <w:highlight w:val="none"/>
                <w14:textFill>
                  <w14:solidFill>
                    <w14:schemeClr w14:val="tx1"/>
                  </w14:solidFill>
                </w14:textFill>
              </w:rPr>
              <w:t>（DW001）</w:t>
            </w:r>
          </w:p>
        </w:tc>
        <w:tc>
          <w:tcPr>
            <w:tcW w:w="1417" w:type="dxa"/>
            <w:vAlign w:val="center"/>
          </w:tcPr>
          <w:p w14:paraId="2ED38567">
            <w:pPr>
              <w:adjustRightInd w:val="0"/>
              <w:snapToGrid w:val="0"/>
              <w:jc w:val="center"/>
              <w:rPr>
                <w:rFonts w:hint="default" w:ascii="Times New Roman" w:hAnsi="Times New Roman" w:eastAsia="宋体" w:cs="Times New Roman"/>
                <w:bCs/>
                <w:cap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pH、</w:t>
            </w:r>
            <w:r>
              <w:rPr>
                <w:rFonts w:ascii="Times New Roman" w:hAnsi="Times New Roman" w:eastAsia="宋体"/>
                <w:caps w:val="0"/>
                <w:color w:val="000000" w:themeColor="text1"/>
                <w:kern w:val="0"/>
                <w:sz w:val="24"/>
                <w:szCs w:val="24"/>
                <w:highlight w:val="none"/>
                <w14:textFill>
                  <w14:solidFill>
                    <w14:schemeClr w14:val="tx1"/>
                  </w14:solidFill>
                </w14:textFill>
              </w:rPr>
              <w:t>COD、</w:t>
            </w: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BOD</w:t>
            </w:r>
            <w:r>
              <w:rPr>
                <w:rFonts w:hint="eastAsia" w:ascii="Times New Roman" w:hAnsi="Times New Roman" w:eastAsia="宋体"/>
                <w:caps w:val="0"/>
                <w:color w:val="000000" w:themeColor="text1"/>
                <w:kern w:val="0"/>
                <w:sz w:val="24"/>
                <w:szCs w:val="24"/>
                <w:highlight w:val="none"/>
                <w:vertAlign w:val="subscript"/>
                <w:lang w:val="en-US" w:eastAsia="zh-CN"/>
                <w14:textFill>
                  <w14:solidFill>
                    <w14:schemeClr w14:val="tx1"/>
                  </w14:solidFill>
                </w14:textFill>
              </w:rPr>
              <w:t>5</w:t>
            </w:r>
            <w:r>
              <w:rPr>
                <w:rFonts w:ascii="Times New Roman" w:hAnsi="Times New Roman" w:eastAsia="宋体"/>
                <w:caps w:val="0"/>
                <w:color w:val="000000" w:themeColor="text1"/>
                <w:kern w:val="0"/>
                <w:sz w:val="24"/>
                <w:szCs w:val="24"/>
                <w:highlight w:val="none"/>
                <w14:textFill>
                  <w14:solidFill>
                    <w14:schemeClr w14:val="tx1"/>
                  </w14:solidFill>
                </w14:textFill>
              </w:rPr>
              <w:t>、SS</w:t>
            </w: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w:t>
            </w:r>
            <w:r>
              <w:rPr>
                <w:rFonts w:ascii="Times New Roman" w:hAnsi="Times New Roman" w:eastAsia="宋体"/>
                <w:caps w:val="0"/>
                <w:color w:val="000000" w:themeColor="text1"/>
                <w:kern w:val="0"/>
                <w:sz w:val="24"/>
                <w:szCs w:val="24"/>
                <w:highlight w:val="none"/>
                <w14:textFill>
                  <w14:solidFill>
                    <w14:schemeClr w14:val="tx1"/>
                  </w14:solidFill>
                </w14:textFill>
              </w:rPr>
              <w:t>氨氮</w:t>
            </w:r>
            <w:r>
              <w:rPr>
                <w:rFonts w:hint="eastAsia" w:ascii="Times New Roman" w:hAnsi="Times New Roman" w:eastAsia="宋体"/>
                <w:caps w:val="0"/>
                <w:color w:val="000000" w:themeColor="text1"/>
                <w:kern w:val="0"/>
                <w:sz w:val="24"/>
                <w:szCs w:val="24"/>
                <w:highlight w:val="none"/>
                <w:lang w:eastAsia="zh-CN"/>
                <w14:textFill>
                  <w14:solidFill>
                    <w14:schemeClr w14:val="tx1"/>
                  </w14:solidFill>
                </w14:textFill>
              </w:rPr>
              <w:t>、</w:t>
            </w: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动植物油</w:t>
            </w:r>
          </w:p>
        </w:tc>
        <w:tc>
          <w:tcPr>
            <w:tcW w:w="1458" w:type="dxa"/>
            <w:vAlign w:val="center"/>
          </w:tcPr>
          <w:p w14:paraId="701D8D51">
            <w:pPr>
              <w:adjustRightInd w:val="0"/>
              <w:snapToGrid w:val="0"/>
              <w:jc w:val="center"/>
              <w:rPr>
                <w:rFonts w:hint="eastAsia"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化粪池、隔油池、</w:t>
            </w:r>
            <w:r>
              <w:rPr>
                <w:rFonts w:hint="eastAsia"/>
                <w:caps w:val="0"/>
                <w:color w:val="000000" w:themeColor="text1"/>
                <w:sz w:val="24"/>
                <w:szCs w:val="24"/>
                <w:highlight w:val="none"/>
                <w:lang w:val="en-US" w:eastAsia="zh-CN"/>
                <w14:textFill>
                  <w14:solidFill>
                    <w14:schemeClr w14:val="tx1"/>
                  </w14:solidFill>
                </w14:textFill>
              </w:rPr>
              <w:t>沉淀池、</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市政管网</w:t>
            </w:r>
          </w:p>
        </w:tc>
        <w:tc>
          <w:tcPr>
            <w:tcW w:w="2686" w:type="dxa"/>
            <w:vAlign w:val="center"/>
          </w:tcPr>
          <w:p w14:paraId="47D7CE75">
            <w:pPr>
              <w:adjustRightInd w:val="0"/>
              <w:snapToGrid w:val="0"/>
              <w:jc w:val="center"/>
              <w:rPr>
                <w:rFonts w:hint="eastAsia"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《污水综合排放标准》</w:t>
            </w:r>
            <w:r>
              <w:rPr>
                <w:rFonts w:hint="eastAsia"/>
                <w:caps w:val="0"/>
                <w:color w:val="000000" w:themeColor="text1"/>
                <w:sz w:val="24"/>
                <w:szCs w:val="24"/>
                <w:highlight w:val="none"/>
                <w:lang w:eastAsia="zh-CN"/>
                <w14:textFill>
                  <w14:solidFill>
                    <w14:schemeClr w14:val="tx1"/>
                  </w14:solidFill>
                </w14:textFill>
              </w:rPr>
              <w:t>（</w:t>
            </w:r>
            <w:r>
              <w:rPr>
                <w:rFonts w:ascii="Times New Roman" w:hAnsi="Times New Roman" w:eastAsia="宋体"/>
                <w:caps w:val="0"/>
                <w:color w:val="000000" w:themeColor="text1"/>
                <w:sz w:val="24"/>
                <w:szCs w:val="24"/>
                <w:highlight w:val="none"/>
                <w14:textFill>
                  <w14:solidFill>
                    <w14:schemeClr w14:val="tx1"/>
                  </w14:solidFill>
                </w14:textFill>
              </w:rPr>
              <w:t>GB8978-1996</w:t>
            </w:r>
            <w:r>
              <w:rPr>
                <w:rFonts w:hint="eastAsia"/>
                <w:caps w:val="0"/>
                <w:color w:val="000000" w:themeColor="text1"/>
                <w:sz w:val="24"/>
                <w:szCs w:val="24"/>
                <w:highlight w:val="none"/>
                <w:lang w:eastAsia="zh-CN"/>
                <w14:textFill>
                  <w14:solidFill>
                    <w14:schemeClr w14:val="tx1"/>
                  </w14:solidFill>
                </w14:textFill>
              </w:rPr>
              <w:t>）</w:t>
            </w:r>
            <w:r>
              <w:rPr>
                <w:rFonts w:ascii="Times New Roman" w:hAnsi="Times New Roman" w:eastAsia="宋体"/>
                <w:caps w:val="0"/>
                <w:color w:val="000000" w:themeColor="text1"/>
                <w:sz w:val="24"/>
                <w:szCs w:val="24"/>
                <w:highlight w:val="none"/>
                <w14:textFill>
                  <w14:solidFill>
                    <w14:schemeClr w14:val="tx1"/>
                  </w14:solidFill>
                </w14:textFill>
              </w:rPr>
              <w:t>表4中三级标准</w:t>
            </w:r>
          </w:p>
        </w:tc>
      </w:tr>
      <w:tr w14:paraId="09F788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38" w:type="dxa"/>
            <w:vAlign w:val="center"/>
          </w:tcPr>
          <w:p w14:paraId="1BBEB50D">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声环境</w:t>
            </w:r>
          </w:p>
        </w:tc>
        <w:tc>
          <w:tcPr>
            <w:tcW w:w="1701" w:type="dxa"/>
            <w:vAlign w:val="center"/>
          </w:tcPr>
          <w:p w14:paraId="2C37BC7A">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设备噪声</w:t>
            </w:r>
          </w:p>
        </w:tc>
        <w:tc>
          <w:tcPr>
            <w:tcW w:w="1417" w:type="dxa"/>
            <w:vAlign w:val="center"/>
          </w:tcPr>
          <w:p w14:paraId="4517A6BD">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噪声</w:t>
            </w:r>
          </w:p>
        </w:tc>
        <w:tc>
          <w:tcPr>
            <w:tcW w:w="1458" w:type="dxa"/>
            <w:vAlign w:val="center"/>
          </w:tcPr>
          <w:p w14:paraId="33E3F76D">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采取选购低噪声设备、加强管理、减振、隔声和距离的衰减以降低噪声值</w:t>
            </w:r>
          </w:p>
        </w:tc>
        <w:tc>
          <w:tcPr>
            <w:tcW w:w="2686" w:type="dxa"/>
            <w:vAlign w:val="center"/>
          </w:tcPr>
          <w:p w14:paraId="7E7F14E7">
            <w:pPr>
              <w:adjustRightInd w:val="0"/>
              <w:snapToGrid w:val="0"/>
              <w:jc w:val="center"/>
              <w:rPr>
                <w:rFonts w:hint="default" w:ascii="Times New Roman" w:hAnsi="Times New Roman" w:eastAsia="宋体" w:cs="宋体"/>
                <w:caps w:val="0"/>
                <w:color w:val="000000" w:themeColor="text1"/>
                <w:sz w:val="24"/>
                <w:szCs w:val="24"/>
                <w:highlight w:val="none"/>
                <w:lang w:val="en-US" w:eastAsia="zh-CN"/>
                <w14:textFill>
                  <w14:solidFill>
                    <w14:schemeClr w14:val="tx1"/>
                  </w14:solidFill>
                </w14:textFill>
              </w:rPr>
            </w:pPr>
            <w:r>
              <w:rPr>
                <w:rFonts w:hint="eastAsia" w:cs="宋体"/>
                <w:caps w:val="0"/>
                <w:color w:val="000000" w:themeColor="text1"/>
                <w:sz w:val="24"/>
                <w:szCs w:val="24"/>
                <w:highlight w:val="none"/>
                <w:lang w:val="en-US" w:eastAsia="zh-CN"/>
                <w14:textFill>
                  <w14:solidFill>
                    <w14:schemeClr w14:val="tx1"/>
                  </w14:solidFill>
                </w14:textFill>
              </w:rPr>
              <w:t>东、南、北侧噪声执行</w:t>
            </w:r>
            <w:r>
              <w:rPr>
                <w:rFonts w:hint="eastAsia" w:ascii="Times New Roman" w:hAnsi="Times New Roman" w:eastAsia="宋体" w:cs="宋体"/>
                <w:caps w:val="0"/>
                <w:color w:val="000000" w:themeColor="text1"/>
                <w:sz w:val="24"/>
                <w:szCs w:val="24"/>
                <w:highlight w:val="none"/>
                <w14:textFill>
                  <w14:solidFill>
                    <w14:schemeClr w14:val="tx1"/>
                  </w14:solidFill>
                </w14:textFill>
              </w:rPr>
              <w:t>《工业企业厂界环境噪声排放标准》（</w:t>
            </w:r>
            <w:r>
              <w:rPr>
                <w:rFonts w:ascii="Times New Roman" w:hAnsi="Times New Roman" w:eastAsia="宋体" w:cs="宋体"/>
                <w:caps w:val="0"/>
                <w:color w:val="000000" w:themeColor="text1"/>
                <w:sz w:val="24"/>
                <w:szCs w:val="24"/>
                <w:highlight w:val="none"/>
                <w14:textFill>
                  <w14:solidFill>
                    <w14:schemeClr w14:val="tx1"/>
                  </w14:solidFill>
                </w14:textFill>
              </w:rPr>
              <w:t>GB12348-2008</w:t>
            </w:r>
            <w:r>
              <w:rPr>
                <w:rFonts w:hint="eastAsia" w:ascii="Times New Roman" w:hAnsi="Times New Roman" w:eastAsia="宋体" w:cs="宋体"/>
                <w:caps w:val="0"/>
                <w:color w:val="000000" w:themeColor="text1"/>
                <w:sz w:val="24"/>
                <w:szCs w:val="24"/>
                <w:highlight w:val="none"/>
                <w14:textFill>
                  <w14:solidFill>
                    <w14:schemeClr w14:val="tx1"/>
                  </w14:solidFill>
                </w14:textFill>
              </w:rPr>
              <w:t>）中</w:t>
            </w:r>
            <w:r>
              <w:rPr>
                <w:rFonts w:ascii="Times New Roman" w:hAnsi="Times New Roman" w:eastAsia="宋体" w:cs="宋体"/>
                <w:caps w:val="0"/>
                <w:color w:val="000000" w:themeColor="text1"/>
                <w:sz w:val="24"/>
                <w:szCs w:val="24"/>
                <w:highlight w:val="none"/>
                <w14:textFill>
                  <w14:solidFill>
                    <w14:schemeClr w14:val="tx1"/>
                  </w14:solidFill>
                </w14:textFill>
              </w:rPr>
              <w:t>3</w:t>
            </w:r>
            <w:r>
              <w:rPr>
                <w:rFonts w:hint="eastAsia" w:ascii="Times New Roman" w:hAnsi="Times New Roman" w:eastAsia="宋体" w:cs="宋体"/>
                <w:caps w:val="0"/>
                <w:color w:val="000000" w:themeColor="text1"/>
                <w:sz w:val="24"/>
                <w:szCs w:val="24"/>
                <w:highlight w:val="none"/>
                <w14:textFill>
                  <w14:solidFill>
                    <w14:schemeClr w14:val="tx1"/>
                  </w14:solidFill>
                </w14:textFill>
              </w:rPr>
              <w:t>类标准</w:t>
            </w:r>
            <w:r>
              <w:rPr>
                <w:rFonts w:hint="eastAsia" w:cs="宋体"/>
                <w:caps w:val="0"/>
                <w:color w:val="000000" w:themeColor="text1"/>
                <w:sz w:val="24"/>
                <w:szCs w:val="24"/>
                <w:highlight w:val="none"/>
                <w:lang w:eastAsia="zh-CN"/>
                <w14:textFill>
                  <w14:solidFill>
                    <w14:schemeClr w14:val="tx1"/>
                  </w14:solidFill>
                </w14:textFill>
              </w:rPr>
              <w:t>；</w:t>
            </w:r>
            <w:r>
              <w:rPr>
                <w:rFonts w:hint="eastAsia" w:cs="宋体"/>
                <w:caps w:val="0"/>
                <w:color w:val="000000" w:themeColor="text1"/>
                <w:sz w:val="24"/>
                <w:szCs w:val="24"/>
                <w:highlight w:val="none"/>
                <w:lang w:val="en-US" w:eastAsia="zh-CN"/>
                <w14:textFill>
                  <w14:solidFill>
                    <w14:schemeClr w14:val="tx1"/>
                  </w14:solidFill>
                </w14:textFill>
              </w:rPr>
              <w:t>西侧噪声执行</w:t>
            </w:r>
            <w:r>
              <w:rPr>
                <w:rFonts w:hint="eastAsia" w:ascii="Times New Roman" w:hAnsi="Times New Roman" w:eastAsia="宋体" w:cs="宋体"/>
                <w:caps w:val="0"/>
                <w:color w:val="000000" w:themeColor="text1"/>
                <w:sz w:val="24"/>
                <w:szCs w:val="24"/>
                <w:highlight w:val="none"/>
                <w14:textFill>
                  <w14:solidFill>
                    <w14:schemeClr w14:val="tx1"/>
                  </w14:solidFill>
                </w14:textFill>
              </w:rPr>
              <w:t>《工业企业厂界环境噪声排放标准》（</w:t>
            </w:r>
            <w:r>
              <w:rPr>
                <w:rFonts w:ascii="Times New Roman" w:hAnsi="Times New Roman" w:eastAsia="宋体" w:cs="宋体"/>
                <w:caps w:val="0"/>
                <w:color w:val="000000" w:themeColor="text1"/>
                <w:sz w:val="24"/>
                <w:szCs w:val="24"/>
                <w:highlight w:val="none"/>
                <w14:textFill>
                  <w14:solidFill>
                    <w14:schemeClr w14:val="tx1"/>
                  </w14:solidFill>
                </w14:textFill>
              </w:rPr>
              <w:t>GB12348-2008</w:t>
            </w:r>
            <w:r>
              <w:rPr>
                <w:rFonts w:hint="eastAsia" w:ascii="Times New Roman" w:hAnsi="Times New Roman" w:eastAsia="宋体" w:cs="宋体"/>
                <w:caps w:val="0"/>
                <w:color w:val="000000" w:themeColor="text1"/>
                <w:sz w:val="24"/>
                <w:szCs w:val="24"/>
                <w:highlight w:val="none"/>
                <w14:textFill>
                  <w14:solidFill>
                    <w14:schemeClr w14:val="tx1"/>
                  </w14:solidFill>
                </w14:textFill>
              </w:rPr>
              <w:t>）中</w:t>
            </w:r>
            <w:r>
              <w:rPr>
                <w:rFonts w:hint="eastAsia" w:cs="宋体"/>
                <w:caps w:val="0"/>
                <w:color w:val="000000" w:themeColor="text1"/>
                <w:sz w:val="24"/>
                <w:szCs w:val="24"/>
                <w:highlight w:val="none"/>
                <w:lang w:val="en-US" w:eastAsia="zh-CN"/>
                <w14:textFill>
                  <w14:solidFill>
                    <w14:schemeClr w14:val="tx1"/>
                  </w14:solidFill>
                </w14:textFill>
              </w:rPr>
              <w:t>4a</w:t>
            </w:r>
            <w:r>
              <w:rPr>
                <w:rFonts w:hint="eastAsia" w:ascii="Times New Roman" w:hAnsi="Times New Roman" w:eastAsia="宋体" w:cs="宋体"/>
                <w:caps w:val="0"/>
                <w:color w:val="000000" w:themeColor="text1"/>
                <w:sz w:val="24"/>
                <w:szCs w:val="24"/>
                <w:highlight w:val="none"/>
                <w14:textFill>
                  <w14:solidFill>
                    <w14:schemeClr w14:val="tx1"/>
                  </w14:solidFill>
                </w14:textFill>
              </w:rPr>
              <w:t>类标准</w:t>
            </w:r>
            <w:r>
              <w:rPr>
                <w:rFonts w:hint="eastAsia" w:cs="宋体"/>
                <w:caps w:val="0"/>
                <w:color w:val="000000" w:themeColor="text1"/>
                <w:sz w:val="24"/>
                <w:szCs w:val="24"/>
                <w:highlight w:val="none"/>
                <w:lang w:eastAsia="zh-CN"/>
                <w14:textFill>
                  <w14:solidFill>
                    <w14:schemeClr w14:val="tx1"/>
                  </w14:solidFill>
                </w14:textFill>
              </w:rPr>
              <w:t>；</w:t>
            </w:r>
          </w:p>
        </w:tc>
      </w:tr>
      <w:tr w14:paraId="76F4BF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38" w:type="dxa"/>
            <w:vAlign w:val="center"/>
          </w:tcPr>
          <w:p w14:paraId="569526AF">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电磁辐射</w:t>
            </w:r>
          </w:p>
        </w:tc>
        <w:tc>
          <w:tcPr>
            <w:tcW w:w="1701" w:type="dxa"/>
            <w:vAlign w:val="center"/>
          </w:tcPr>
          <w:p w14:paraId="0549D8AE">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w:t>
            </w:r>
          </w:p>
        </w:tc>
        <w:tc>
          <w:tcPr>
            <w:tcW w:w="1417" w:type="dxa"/>
            <w:vAlign w:val="center"/>
          </w:tcPr>
          <w:p w14:paraId="0BB84C1A">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w:t>
            </w:r>
          </w:p>
        </w:tc>
        <w:tc>
          <w:tcPr>
            <w:tcW w:w="1458" w:type="dxa"/>
            <w:vAlign w:val="center"/>
          </w:tcPr>
          <w:p w14:paraId="590121BC">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w:t>
            </w:r>
          </w:p>
        </w:tc>
        <w:tc>
          <w:tcPr>
            <w:tcW w:w="2686" w:type="dxa"/>
            <w:vAlign w:val="center"/>
          </w:tcPr>
          <w:p w14:paraId="3C1EE50F">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w:t>
            </w:r>
          </w:p>
        </w:tc>
      </w:tr>
      <w:tr w14:paraId="17DB5D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538" w:type="dxa"/>
            <w:vAlign w:val="center"/>
          </w:tcPr>
          <w:p w14:paraId="0906695A">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固体废物</w:t>
            </w:r>
          </w:p>
        </w:tc>
        <w:tc>
          <w:tcPr>
            <w:tcW w:w="7262" w:type="dxa"/>
            <w:gridSpan w:val="4"/>
            <w:vAlign w:val="center"/>
          </w:tcPr>
          <w:p w14:paraId="3956BDFD">
            <w:pPr>
              <w:spacing w:line="340" w:lineRule="exact"/>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caps w:val="0"/>
                <w:color w:val="000000" w:themeColor="text1"/>
                <w:kern w:val="21"/>
                <w:sz w:val="24"/>
                <w:szCs w:val="24"/>
                <w:highlight w:val="none"/>
                <w:lang w:val="en-US" w:eastAsia="zh-CN"/>
                <w14:textFill>
                  <w14:solidFill>
                    <w14:schemeClr w14:val="tx1"/>
                  </w14:solidFill>
                </w14:textFill>
              </w:rPr>
              <w:t>塑料边角料、塑料不合格品</w:t>
            </w:r>
            <w:r>
              <w:rPr>
                <w:rFonts w:hint="eastAsia" w:ascii="Times New Roman" w:hAnsi="Times New Roman" w:eastAsia="宋体"/>
                <w:caps w:val="0"/>
                <w:color w:val="000000" w:themeColor="text1"/>
                <w:kern w:val="21"/>
                <w:sz w:val="24"/>
                <w:szCs w:val="24"/>
                <w:highlight w:val="none"/>
                <w14:textFill>
                  <w14:solidFill>
                    <w14:schemeClr w14:val="tx1"/>
                  </w14:solidFill>
                </w14:textFill>
              </w:rPr>
              <w:t>经</w:t>
            </w:r>
            <w:r>
              <w:rPr>
                <w:rFonts w:hint="eastAsia"/>
                <w:caps w:val="0"/>
                <w:color w:val="000000" w:themeColor="text1"/>
                <w:kern w:val="21"/>
                <w:sz w:val="24"/>
                <w:szCs w:val="24"/>
                <w:highlight w:val="none"/>
                <w:lang w:val="en-US" w:eastAsia="zh-CN"/>
                <w14:textFill>
                  <w14:solidFill>
                    <w14:schemeClr w14:val="tx1"/>
                  </w14:solidFill>
                </w14:textFill>
              </w:rPr>
              <w:t>破碎后回用</w:t>
            </w:r>
            <w:r>
              <w:rPr>
                <w:rFonts w:hint="eastAsia" w:ascii="Times New Roman" w:hAnsi="Times New Roman" w:eastAsia="宋体"/>
                <w:caps w:val="0"/>
                <w:color w:val="000000" w:themeColor="text1"/>
                <w:kern w:val="21"/>
                <w:sz w:val="24"/>
                <w:szCs w:val="24"/>
                <w:highlight w:val="none"/>
                <w14:textFill>
                  <w14:solidFill>
                    <w14:schemeClr w14:val="tx1"/>
                  </w14:solidFill>
                </w14:textFill>
              </w:rPr>
              <w:t>；</w:t>
            </w:r>
            <w:r>
              <w:rPr>
                <w:rFonts w:hint="eastAsia"/>
                <w:caps w:val="0"/>
                <w:color w:val="000000" w:themeColor="text1"/>
                <w:sz w:val="24"/>
                <w:highlight w:val="none"/>
                <w:lang w:val="en-US" w:eastAsia="zh-CN"/>
                <w14:textFill>
                  <w14:solidFill>
                    <w14:schemeClr w14:val="tx1"/>
                  </w14:solidFill>
                </w14:textFill>
              </w:rPr>
              <w:t>废包装材料、废金属碎屑、废金属边角料、不合格高压连接器</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经收集后外售物资回收公司综合利用；</w:t>
            </w:r>
            <w:r>
              <w:rPr>
                <w:rFonts w:hint="eastAsia"/>
                <w:caps w:val="0"/>
                <w:color w:val="000000" w:themeColor="text1"/>
                <w:kern w:val="0"/>
                <w:sz w:val="24"/>
                <w:highlight w:val="none"/>
                <w:lang w:val="en-US" w:eastAsia="zh-CN"/>
                <w14:textFill>
                  <w14:solidFill>
                    <w14:schemeClr w14:val="tx1"/>
                  </w14:solidFill>
                </w14:textFill>
              </w:rPr>
              <w:t>沉淀池污泥交由一般固废处置公司处理；废切削液、废润滑油、废包装桶、废活性炭</w:t>
            </w:r>
            <w:r>
              <w:rPr>
                <w:rFonts w:hint="eastAsia" w:ascii="Times New Roman" w:hAnsi="Times New Roman" w:eastAsia="宋体"/>
                <w:caps w:val="0"/>
                <w:color w:val="000000" w:themeColor="text1"/>
                <w:kern w:val="21"/>
                <w:sz w:val="24"/>
                <w:szCs w:val="24"/>
                <w:highlight w:val="none"/>
                <w14:textFill>
                  <w14:solidFill>
                    <w14:schemeClr w14:val="tx1"/>
                  </w14:solidFill>
                </w14:textFill>
              </w:rPr>
              <w:t>储存于危废暂存库内，定期交由有资质单位处置。</w:t>
            </w:r>
          </w:p>
        </w:tc>
      </w:tr>
      <w:tr w14:paraId="4F6826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1" w:hRule="atLeast"/>
          <w:jc w:val="center"/>
        </w:trPr>
        <w:tc>
          <w:tcPr>
            <w:tcW w:w="1538" w:type="dxa"/>
            <w:vAlign w:val="center"/>
          </w:tcPr>
          <w:p w14:paraId="4E010C5B">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土壤及地下水污染防治措施</w:t>
            </w:r>
          </w:p>
        </w:tc>
        <w:tc>
          <w:tcPr>
            <w:tcW w:w="7262" w:type="dxa"/>
            <w:gridSpan w:val="4"/>
            <w:vAlign w:val="center"/>
          </w:tcPr>
          <w:p w14:paraId="0B03FBB6">
            <w:pPr>
              <w:spacing w:line="340" w:lineRule="exact"/>
              <w:rPr>
                <w:rFonts w:ascii="Times New Roman" w:hAnsi="Times New Roman" w:eastAsia="宋体" w:cs="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分区防渗：</w:t>
            </w:r>
            <w:r>
              <w:rPr>
                <w:rFonts w:hint="eastAsia"/>
                <w:caps w:val="0"/>
                <w:color w:val="000000" w:themeColor="text1"/>
                <w:sz w:val="24"/>
                <w:szCs w:val="24"/>
                <w:highlight w:val="none"/>
                <w:lang w:val="en-US" w:eastAsia="zh-CN"/>
                <w14:textFill>
                  <w14:solidFill>
                    <w14:schemeClr w14:val="tx1"/>
                  </w14:solidFill>
                </w14:textFill>
              </w:rPr>
              <w:t>原料库</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、危废暂存库</w:t>
            </w:r>
            <w:r>
              <w:rPr>
                <w:rFonts w:ascii="Times New Roman" w:hAnsi="Times New Roman" w:eastAsia="宋体"/>
                <w:caps w:val="0"/>
                <w:color w:val="000000" w:themeColor="text1"/>
                <w:sz w:val="24"/>
                <w:szCs w:val="24"/>
                <w:highlight w:val="none"/>
                <w14:textFill>
                  <w14:solidFill>
                    <w14:schemeClr w14:val="tx1"/>
                  </w14:solidFill>
                </w14:textFill>
              </w:rPr>
              <w:t>采取重点防渗；</w:t>
            </w:r>
            <w:r>
              <w:rPr>
                <w:rFonts w:hint="eastAsia" w:ascii="Times New Roman" w:hAnsi="Times New Roman" w:eastAsia="宋体"/>
                <w:bCs/>
                <w:caps w:val="0"/>
                <w:color w:val="000000" w:themeColor="text1"/>
                <w:sz w:val="24"/>
                <w:szCs w:val="24"/>
                <w:highlight w:val="none"/>
                <w14:textFill>
                  <w14:solidFill>
                    <w14:schemeClr w14:val="tx1"/>
                  </w14:solidFill>
                </w14:textFill>
              </w:rPr>
              <w:t>生产区、其他仓库区域</w:t>
            </w:r>
            <w:r>
              <w:rPr>
                <w:rFonts w:ascii="Times New Roman" w:hAnsi="Times New Roman" w:eastAsia="宋体"/>
                <w:caps w:val="0"/>
                <w:color w:val="000000" w:themeColor="text1"/>
                <w:sz w:val="24"/>
                <w:szCs w:val="24"/>
                <w:highlight w:val="none"/>
                <w14:textFill>
                  <w14:solidFill>
                    <w14:schemeClr w14:val="tx1"/>
                  </w14:solidFill>
                </w14:textFill>
              </w:rPr>
              <w:t>采取一般防渗</w:t>
            </w:r>
            <w:r>
              <w:rPr>
                <w:rFonts w:hint="eastAsia" w:ascii="Times New Roman" w:hAnsi="Times New Roman" w:eastAsia="宋体"/>
                <w:caps w:val="0"/>
                <w:color w:val="000000" w:themeColor="text1"/>
                <w:sz w:val="24"/>
                <w:szCs w:val="24"/>
                <w:highlight w:val="none"/>
                <w14:textFill>
                  <w14:solidFill>
                    <w14:schemeClr w14:val="tx1"/>
                  </w14:solidFill>
                </w14:textFill>
              </w:rPr>
              <w:t>；</w:t>
            </w:r>
            <w:r>
              <w:rPr>
                <w:rFonts w:ascii="Times New Roman" w:hAnsi="Times New Roman" w:eastAsia="宋体"/>
                <w:caps w:val="0"/>
                <w:color w:val="000000" w:themeColor="text1"/>
                <w:sz w:val="24"/>
                <w:szCs w:val="24"/>
                <w:highlight w:val="none"/>
                <w14:textFill>
                  <w14:solidFill>
                    <w14:schemeClr w14:val="tx1"/>
                  </w14:solidFill>
                </w14:textFill>
              </w:rPr>
              <w:t>除重点防渗区、一般防渗区外的区域</w:t>
            </w:r>
            <w:r>
              <w:rPr>
                <w:rFonts w:hint="eastAsia" w:ascii="Times New Roman" w:hAnsi="Times New Roman" w:eastAsia="宋体"/>
                <w:caps w:val="0"/>
                <w:color w:val="000000" w:themeColor="text1"/>
                <w:sz w:val="24"/>
                <w:szCs w:val="24"/>
                <w:highlight w:val="none"/>
                <w14:textFill>
                  <w14:solidFill>
                    <w14:schemeClr w14:val="tx1"/>
                  </w14:solidFill>
                </w14:textFill>
              </w:rPr>
              <w:t>采取</w:t>
            </w:r>
            <w:r>
              <w:rPr>
                <w:rFonts w:ascii="Times New Roman" w:hAnsi="Times New Roman" w:eastAsia="宋体"/>
                <w:caps w:val="0"/>
                <w:color w:val="000000" w:themeColor="text1"/>
                <w:sz w:val="24"/>
                <w:szCs w:val="24"/>
                <w:highlight w:val="none"/>
                <w14:textFill>
                  <w14:solidFill>
                    <w14:schemeClr w14:val="tx1"/>
                  </w14:solidFill>
                </w14:textFill>
              </w:rPr>
              <w:t>简单防渗</w:t>
            </w:r>
          </w:p>
        </w:tc>
      </w:tr>
      <w:tr w14:paraId="1C21D9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538" w:type="dxa"/>
            <w:vAlign w:val="center"/>
          </w:tcPr>
          <w:p w14:paraId="01C2F3F6">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生态保护措施</w:t>
            </w:r>
          </w:p>
        </w:tc>
        <w:tc>
          <w:tcPr>
            <w:tcW w:w="7262" w:type="dxa"/>
            <w:gridSpan w:val="4"/>
            <w:vAlign w:val="center"/>
          </w:tcPr>
          <w:p w14:paraId="6593B6C4">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无</w:t>
            </w:r>
          </w:p>
        </w:tc>
      </w:tr>
      <w:tr w14:paraId="0CC748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538" w:type="dxa"/>
            <w:vAlign w:val="center"/>
          </w:tcPr>
          <w:p w14:paraId="3B70A5BD">
            <w:pPr>
              <w:adjustRightInd w:val="0"/>
              <w:snapToGrid w:val="0"/>
              <w:jc w:val="center"/>
              <w:rPr>
                <w:rFonts w:ascii="Times New Roman" w:hAnsi="Times New Roman" w:eastAsia="宋体" w:cs="宋体"/>
                <w:caps w:val="0"/>
                <w:color w:val="000000" w:themeColor="text1"/>
                <w:spacing w:val="-8"/>
                <w:sz w:val="24"/>
                <w:szCs w:val="24"/>
                <w:highlight w:val="none"/>
                <w14:textFill>
                  <w14:solidFill>
                    <w14:schemeClr w14:val="tx1"/>
                  </w14:solidFill>
                </w14:textFill>
              </w:rPr>
            </w:pPr>
            <w:r>
              <w:rPr>
                <w:rFonts w:hint="eastAsia" w:ascii="Times New Roman" w:hAnsi="Times New Roman" w:eastAsia="宋体" w:cs="宋体"/>
                <w:caps w:val="0"/>
                <w:color w:val="000000" w:themeColor="text1"/>
                <w:spacing w:val="-8"/>
                <w:sz w:val="24"/>
                <w:szCs w:val="24"/>
                <w:highlight w:val="none"/>
                <w14:textFill>
                  <w14:solidFill>
                    <w14:schemeClr w14:val="tx1"/>
                  </w14:solidFill>
                </w14:textFill>
              </w:rPr>
              <w:t>环境风险</w:t>
            </w:r>
          </w:p>
          <w:p w14:paraId="60892B1C">
            <w:pPr>
              <w:adjustRightInd w:val="0"/>
              <w:snapToGrid w:val="0"/>
              <w:jc w:val="center"/>
              <w:rPr>
                <w:rFonts w:ascii="Times New Roman" w:hAnsi="Times New Roman" w:eastAsia="宋体" w:cs="宋体"/>
                <w:caps w:val="0"/>
                <w:color w:val="000000" w:themeColor="text1"/>
                <w:spacing w:val="-8"/>
                <w:sz w:val="24"/>
                <w:szCs w:val="24"/>
                <w:highlight w:val="none"/>
                <w14:textFill>
                  <w14:solidFill>
                    <w14:schemeClr w14:val="tx1"/>
                  </w14:solidFill>
                </w14:textFill>
              </w:rPr>
            </w:pPr>
            <w:r>
              <w:rPr>
                <w:rFonts w:hint="eastAsia" w:ascii="Times New Roman" w:hAnsi="Times New Roman" w:eastAsia="宋体" w:cs="宋体"/>
                <w:caps w:val="0"/>
                <w:color w:val="000000" w:themeColor="text1"/>
                <w:spacing w:val="-8"/>
                <w:sz w:val="24"/>
                <w:szCs w:val="24"/>
                <w:highlight w:val="none"/>
                <w14:textFill>
                  <w14:solidFill>
                    <w14:schemeClr w14:val="tx1"/>
                  </w14:solidFill>
                </w14:textFill>
              </w:rPr>
              <w:t>防范措施</w:t>
            </w:r>
          </w:p>
        </w:tc>
        <w:tc>
          <w:tcPr>
            <w:tcW w:w="7262" w:type="dxa"/>
            <w:gridSpan w:val="4"/>
            <w:vAlign w:val="center"/>
          </w:tcPr>
          <w:p w14:paraId="026950EF">
            <w:pPr>
              <w:adjustRightInd w:val="0"/>
              <w:snapToGrid w:val="0"/>
              <w:jc w:val="center"/>
              <w:rPr>
                <w:rFonts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14:textFill>
                  <w14:solidFill>
                    <w14:schemeClr w14:val="tx1"/>
                  </w14:solidFill>
                </w14:textFill>
              </w:rPr>
              <w:t>配备风险防范物资，完善风险防范措施</w:t>
            </w:r>
          </w:p>
        </w:tc>
      </w:tr>
      <w:tr w14:paraId="00B40C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1538" w:type="dxa"/>
            <w:vAlign w:val="center"/>
          </w:tcPr>
          <w:p w14:paraId="09A8EE09">
            <w:pPr>
              <w:adjustRightInd w:val="0"/>
              <w:snapToGrid w:val="0"/>
              <w:jc w:val="center"/>
              <w:rPr>
                <w:rFonts w:hint="default" w:ascii="Times New Roman" w:hAnsi="Times New Roman" w:eastAsia="宋体" w:cs="Times New Roman"/>
                <w:caps w:val="0"/>
                <w:color w:val="000000" w:themeColor="text1"/>
                <w:spacing w:val="-8"/>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pacing w:val="-8"/>
                <w:sz w:val="24"/>
                <w:szCs w:val="24"/>
                <w:highlight w:val="none"/>
                <w14:textFill>
                  <w14:solidFill>
                    <w14:schemeClr w14:val="tx1"/>
                  </w14:solidFill>
                </w14:textFill>
              </w:rPr>
              <w:t>其他环境</w:t>
            </w:r>
          </w:p>
          <w:p w14:paraId="57347051">
            <w:pPr>
              <w:adjustRightInd w:val="0"/>
              <w:snapToGrid w:val="0"/>
              <w:jc w:val="center"/>
              <w:rPr>
                <w:rFonts w:hint="default" w:ascii="Times New Roman" w:hAnsi="Times New Roman" w:eastAsia="宋体" w:cs="Times New Roman"/>
                <w:caps w:val="0"/>
                <w:color w:val="000000" w:themeColor="text1"/>
                <w:spacing w:val="-8"/>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pacing w:val="-8"/>
                <w:sz w:val="24"/>
                <w:szCs w:val="24"/>
                <w:highlight w:val="none"/>
                <w14:textFill>
                  <w14:solidFill>
                    <w14:schemeClr w14:val="tx1"/>
                  </w14:solidFill>
                </w14:textFill>
              </w:rPr>
              <w:t>管理要求</w:t>
            </w:r>
          </w:p>
        </w:tc>
        <w:tc>
          <w:tcPr>
            <w:tcW w:w="7262" w:type="dxa"/>
            <w:gridSpan w:val="4"/>
            <w:vAlign w:val="center"/>
          </w:tcPr>
          <w:p w14:paraId="311C53FC">
            <w:pPr>
              <w:pStyle w:val="18"/>
              <w:spacing w:before="0" w:beforeAutospacing="0" w:after="0" w:afterAutospacing="0"/>
              <w:jc w:val="both"/>
              <w:rPr>
                <w:rFonts w:ascii="Times New Roman" w:hAnsi="Times New Roman" w:eastAsia="宋体"/>
                <w:caps w:val="0"/>
                <w:snapToGrid w:val="0"/>
                <w:color w:val="000000"/>
                <w:sz w:val="24"/>
                <w:szCs w:val="24"/>
              </w:rPr>
            </w:pPr>
            <w:r>
              <w:rPr>
                <w:rFonts w:ascii="Times New Roman" w:hAnsi="Times New Roman" w:eastAsia="宋体"/>
                <w:caps w:val="0"/>
                <w:color w:val="000000"/>
                <w:sz w:val="24"/>
                <w:szCs w:val="24"/>
              </w:rPr>
              <w:t>①根据《固定污染源排污许可分类管理名录（2019年版）》，本项目实行排污许可</w:t>
            </w:r>
            <w:r>
              <w:rPr>
                <w:rFonts w:hint="eastAsia" w:ascii="Times New Roman" w:hAnsi="Times New Roman"/>
                <w:caps w:val="0"/>
                <w:color w:val="000000"/>
                <w:sz w:val="24"/>
                <w:szCs w:val="24"/>
                <w:lang w:val="en-US" w:eastAsia="zh-CN"/>
              </w:rPr>
              <w:t>登记</w:t>
            </w:r>
            <w:r>
              <w:rPr>
                <w:rFonts w:ascii="Times New Roman" w:hAnsi="Times New Roman" w:eastAsia="宋体"/>
                <w:caps w:val="0"/>
                <w:color w:val="000000"/>
                <w:sz w:val="24"/>
                <w:szCs w:val="24"/>
              </w:rPr>
              <w:t>管理。</w:t>
            </w:r>
            <w:r>
              <w:rPr>
                <w:rFonts w:hint="eastAsia" w:ascii="Times New Roman" w:hAnsi="Times New Roman" w:eastAsia="宋体"/>
                <w:caps w:val="0"/>
                <w:color w:val="000000" w:themeColor="text1"/>
                <w:sz w:val="24"/>
                <w:highlight w:val="none"/>
                <w14:textFill>
                  <w14:solidFill>
                    <w14:schemeClr w14:val="tx1"/>
                  </w14:solidFill>
                </w14:textFill>
              </w:rPr>
              <w:t>本项目应当在启动生产设施或实际排污前对现有项目的排污许可证进行重新申报。</w:t>
            </w:r>
          </w:p>
          <w:p w14:paraId="0BD1F915">
            <w:pPr>
              <w:adjustRightInd w:val="0"/>
              <w:snapToGrid w:val="0"/>
              <w:jc w:val="both"/>
              <w:rPr>
                <w:rFonts w:hint="default"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sz w:val="24"/>
                <w:szCs w:val="24"/>
              </w:rPr>
              <w:t>②根据《建设项目竣工环境保护验收暂行办法》的规定，项目竣工后，应依法进行竣工环境保护验收。</w:t>
            </w:r>
          </w:p>
        </w:tc>
      </w:tr>
    </w:tbl>
    <w:p w14:paraId="5CCE5D63">
      <w:pPr>
        <w:pStyle w:val="18"/>
        <w:jc w:val="center"/>
        <w:outlineLvl w:val="0"/>
        <w:rPr>
          <w:rFonts w:ascii="Times New Roman" w:hAnsi="Times New Roman" w:eastAsia="宋体"/>
          <w:caps w:val="0"/>
          <w:snapToGrid w:val="0"/>
          <w:color w:val="000000" w:themeColor="text1"/>
          <w:sz w:val="30"/>
          <w:szCs w:val="30"/>
          <w:highlight w:val="none"/>
          <w14:textFill>
            <w14:solidFill>
              <w14:schemeClr w14:val="tx1"/>
            </w14:solidFill>
          </w14:textFill>
        </w:rPr>
      </w:pPr>
      <w:r>
        <w:rPr>
          <w:rFonts w:ascii="Times New Roman" w:hAnsi="Times New Roman" w:eastAsia="宋体"/>
          <w:caps w:val="0"/>
          <w:snapToGrid w:val="0"/>
          <w:color w:val="000000" w:themeColor="text1"/>
          <w:highlight w:val="none"/>
          <w14:textFill>
            <w14:solidFill>
              <w14:schemeClr w14:val="tx1"/>
            </w14:solidFill>
          </w14:textFill>
        </w:rPr>
        <w:br w:type="page"/>
      </w:r>
      <w:r>
        <w:rPr>
          <w:rFonts w:hint="eastAsia" w:ascii="Times New Roman" w:hAnsi="Times New Roman" w:eastAsia="宋体"/>
          <w:caps w:val="0"/>
          <w:snapToGrid w:val="0"/>
          <w:color w:val="000000" w:themeColor="text1"/>
          <w:sz w:val="30"/>
          <w:szCs w:val="30"/>
          <w:highlight w:val="none"/>
          <w14:textFill>
            <w14:solidFill>
              <w14:schemeClr w14:val="tx1"/>
            </w14:solidFill>
          </w14:textFill>
        </w:rPr>
        <w:t>六、结论</w:t>
      </w:r>
    </w:p>
    <w:tbl>
      <w:tblPr>
        <w:tblStyle w:val="21"/>
        <w:tblW w:w="886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4DD328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92" w:hRule="atLeast"/>
          <w:jc w:val="center"/>
        </w:trPr>
        <w:tc>
          <w:tcPr>
            <w:tcW w:w="8865" w:type="dxa"/>
            <w:vAlign w:val="center"/>
          </w:tcPr>
          <w:p w14:paraId="2CF0B5BD">
            <w:pPr>
              <w:spacing w:before="120" w:beforeLines="50" w:line="360" w:lineRule="auto"/>
              <w:ind w:firstLine="480" w:firstLineChars="200"/>
              <w:jc w:val="left"/>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符合国家产业政策，项目选址及规划可行，项目如能确保污染治理设施的正常运行，同时实施节能措施，遵守国家环境保护方面的法律法规，做到各种污染物的达标排放，并确保年污染物排放总量不超过环境保护行政主管部门下达的总量控制指标，则本项目的建设投产不会导致周围环境污染负荷的明显增加，综上所述，在落实本报告提出的相关污染防治措施的前提下，本项目从环境保护角度而言是可行的。</w:t>
            </w:r>
          </w:p>
          <w:p w14:paraId="2D95E81C">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3C46B9E5">
            <w:pPr>
              <w:pStyle w:val="56"/>
              <w:spacing w:beforeLines="0" w:afterLines="0" w:line="480" w:lineRule="exact"/>
              <w:ind w:left="643" w:hanging="643" w:hangingChars="267"/>
              <w:rPr>
                <w:rFonts w:ascii="Times New Roman" w:hAnsi="Times New Roman" w:eastAsia="宋体"/>
                <w:caps w:val="0"/>
                <w:color w:val="000000" w:themeColor="text1"/>
                <w:highlight w:val="none"/>
                <w14:textFill>
                  <w14:solidFill>
                    <w14:schemeClr w14:val="tx1"/>
                  </w14:solidFill>
                </w14:textFill>
              </w:rPr>
            </w:pPr>
          </w:p>
          <w:p w14:paraId="64CDA6E5">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4F8914D0">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5FB41547">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31A14FFB">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4E197A8A">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51D07941">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42367B63">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7371BA24">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49B56A64">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0F464BA0">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704DE2C6">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7869348B">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3E325C81">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07708A90">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6C8D320D">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6C1817B4">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2C732DF4">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2EB6946C">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1E61CF52">
            <w:pPr>
              <w:spacing w:line="360" w:lineRule="auto"/>
              <w:rPr>
                <w:rFonts w:ascii="Times New Roman" w:hAnsi="Times New Roman" w:eastAsia="宋体"/>
                <w:caps w:val="0"/>
                <w:color w:val="000000" w:themeColor="text1"/>
                <w:sz w:val="24"/>
                <w:highlight w:val="none"/>
                <w14:textFill>
                  <w14:solidFill>
                    <w14:schemeClr w14:val="tx1"/>
                  </w14:solidFill>
                </w14:textFill>
              </w:rPr>
            </w:pPr>
          </w:p>
          <w:p w14:paraId="5FC9315F">
            <w:pPr>
              <w:spacing w:line="360" w:lineRule="auto"/>
              <w:rPr>
                <w:rFonts w:ascii="Times New Roman" w:hAnsi="Times New Roman" w:eastAsia="宋体"/>
                <w:caps w:val="0"/>
                <w:color w:val="000000" w:themeColor="text1"/>
                <w:sz w:val="24"/>
                <w:highlight w:val="none"/>
                <w14:textFill>
                  <w14:solidFill>
                    <w14:schemeClr w14:val="tx1"/>
                  </w14:solidFill>
                </w14:textFill>
              </w:rPr>
            </w:pPr>
          </w:p>
        </w:tc>
      </w:tr>
    </w:tbl>
    <w:p w14:paraId="6B430A01">
      <w:pPr>
        <w:rPr>
          <w:rFonts w:ascii="Times New Roman" w:hAnsi="Times New Roman" w:eastAsia="宋体"/>
          <w:caps w:val="0"/>
          <w:color w:val="000000" w:themeColor="text1"/>
          <w:highlight w:val="none"/>
          <w14:textFill>
            <w14:solidFill>
              <w14:schemeClr w14:val="tx1"/>
            </w14:solidFill>
          </w14:textFill>
        </w:rPr>
        <w:sectPr>
          <w:pgSz w:w="11906" w:h="16838"/>
          <w:pgMar w:top="1417" w:right="1361" w:bottom="1417" w:left="1361" w:header="851" w:footer="851" w:gutter="0"/>
          <w:pgBorders>
            <w:top w:val="none" w:sz="0" w:space="0"/>
            <w:left w:val="none" w:sz="0" w:space="0"/>
            <w:bottom w:val="none" w:sz="0" w:space="0"/>
            <w:right w:val="none" w:sz="0" w:space="0"/>
          </w:pgBorders>
          <w:cols w:space="720" w:num="1"/>
          <w:docGrid w:linePitch="312" w:charSpace="0"/>
        </w:sectPr>
      </w:pPr>
    </w:p>
    <w:p w14:paraId="7E2F67E9">
      <w:pPr>
        <w:pStyle w:val="18"/>
        <w:adjustRightInd w:val="0"/>
        <w:snapToGrid w:val="0"/>
        <w:spacing w:before="0" w:beforeAutospacing="0" w:after="0" w:afterAutospacing="0"/>
        <w:outlineLvl w:val="0"/>
        <w:rPr>
          <w:rFonts w:ascii="Times New Roman" w:hAnsi="Times New Roman" w:eastAsia="宋体"/>
          <w:caps w:val="0"/>
          <w:snapToGrid w:val="0"/>
          <w:color w:val="000000" w:themeColor="text1"/>
          <w:sz w:val="32"/>
          <w:szCs w:val="32"/>
          <w:highlight w:val="none"/>
          <w14:textFill>
            <w14:solidFill>
              <w14:schemeClr w14:val="tx1"/>
            </w14:solidFill>
          </w14:textFill>
        </w:rPr>
      </w:pPr>
      <w:r>
        <w:rPr>
          <w:rFonts w:hint="eastAsia" w:ascii="Times New Roman" w:hAnsi="Times New Roman" w:eastAsia="宋体"/>
          <w:caps w:val="0"/>
          <w:snapToGrid w:val="0"/>
          <w:color w:val="000000" w:themeColor="text1"/>
          <w:sz w:val="32"/>
          <w:szCs w:val="32"/>
          <w:highlight w:val="none"/>
          <w14:textFill>
            <w14:solidFill>
              <w14:schemeClr w14:val="tx1"/>
            </w14:solidFill>
          </w14:textFill>
        </w:rPr>
        <w:t>附表</w:t>
      </w:r>
    </w:p>
    <w:p w14:paraId="6D0FB511">
      <w:pPr>
        <w:pStyle w:val="18"/>
        <w:adjustRightInd w:val="0"/>
        <w:snapToGrid w:val="0"/>
        <w:spacing w:before="0" w:beforeAutospacing="0" w:after="0" w:afterAutospacing="0"/>
        <w:jc w:val="center"/>
        <w:outlineLvl w:val="0"/>
        <w:rPr>
          <w:rFonts w:ascii="Times New Roman" w:hAnsi="Times New Roman" w:eastAsia="宋体"/>
          <w:caps w:val="0"/>
          <w:snapToGrid w:val="0"/>
          <w:color w:val="000000" w:themeColor="text1"/>
          <w:sz w:val="38"/>
          <w:szCs w:val="38"/>
          <w:highlight w:val="none"/>
          <w14:textFill>
            <w14:solidFill>
              <w14:schemeClr w14:val="tx1"/>
            </w14:solidFill>
          </w14:textFill>
        </w:rPr>
      </w:pPr>
      <w:r>
        <w:rPr>
          <w:rFonts w:ascii="Times New Roman" w:hAnsi="Times New Roman" w:eastAsia="宋体"/>
          <w:caps w:val="0"/>
          <w:snapToGrid w:val="0"/>
          <w:color w:val="000000" w:themeColor="text1"/>
          <w:sz w:val="38"/>
          <w:szCs w:val="38"/>
          <w:highlight w:val="none"/>
          <w14:textFill>
            <w14:solidFill>
              <w14:schemeClr w14:val="tx1"/>
            </w14:solidFill>
          </w14:textFill>
        </w:rPr>
        <w:t>建设项目污染物排放量汇总表 单位：t/a</w:t>
      </w:r>
    </w:p>
    <w:tbl>
      <w:tblPr>
        <w:tblStyle w:val="21"/>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08"/>
        <w:gridCol w:w="1843"/>
        <w:gridCol w:w="1455"/>
        <w:gridCol w:w="1276"/>
        <w:gridCol w:w="1701"/>
        <w:gridCol w:w="1559"/>
        <w:gridCol w:w="1559"/>
        <w:gridCol w:w="1522"/>
        <w:gridCol w:w="1465"/>
      </w:tblGrid>
      <w:tr w14:paraId="53EDBF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408" w:type="dxa"/>
            <w:tcBorders>
              <w:tl2br w:val="single" w:color="auto" w:sz="4" w:space="0"/>
            </w:tcBorders>
            <w:tcMar>
              <w:left w:w="28" w:type="dxa"/>
              <w:right w:w="28" w:type="dxa"/>
            </w:tcMar>
            <w:vAlign w:val="center"/>
          </w:tcPr>
          <w:p w14:paraId="7D2631D3">
            <w:pPr>
              <w:pStyle w:val="42"/>
              <w:spacing w:beforeLines="0" w:afterLines="0" w:line="240" w:lineRule="auto"/>
              <w:jc w:val="right"/>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项目</w:t>
            </w:r>
          </w:p>
          <w:p w14:paraId="3F28E0C6">
            <w:pPr>
              <w:pStyle w:val="42"/>
              <w:spacing w:beforeLines="0" w:afterLines="0" w:line="240" w:lineRule="auto"/>
              <w:jc w:val="left"/>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分类</w:t>
            </w:r>
          </w:p>
        </w:tc>
        <w:tc>
          <w:tcPr>
            <w:tcW w:w="1843" w:type="dxa"/>
            <w:tcMar>
              <w:left w:w="28" w:type="dxa"/>
              <w:right w:w="28" w:type="dxa"/>
            </w:tcMar>
            <w:vAlign w:val="center"/>
          </w:tcPr>
          <w:p w14:paraId="111E2C22">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污染物名称</w:t>
            </w:r>
          </w:p>
        </w:tc>
        <w:tc>
          <w:tcPr>
            <w:tcW w:w="1455" w:type="dxa"/>
            <w:tcMar>
              <w:left w:w="28" w:type="dxa"/>
              <w:right w:w="28" w:type="dxa"/>
            </w:tcMar>
            <w:vAlign w:val="center"/>
          </w:tcPr>
          <w:p w14:paraId="39243BB0">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现有工程</w:t>
            </w:r>
          </w:p>
          <w:p w14:paraId="53AAF508">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排放量（固体废物产生量）</w: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instrText xml:space="preserve"> = 1 \* GB3 \* MERGEFORMAT </w:instrTex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separate"/>
            </w:r>
            <w:r>
              <w:rPr>
                <w:rFonts w:hint="eastAsia" w:ascii="Times New Roman" w:hAnsi="Times New Roman" w:eastAsia="宋体" w:cs="宋体"/>
                <w:caps w:val="0"/>
                <w:color w:val="000000" w:themeColor="text1"/>
                <w:kern w:val="2"/>
                <w:sz w:val="21"/>
                <w:szCs w:val="21"/>
                <w:highlight w:val="none"/>
                <w14:textFill>
                  <w14:solidFill>
                    <w14:schemeClr w14:val="tx1"/>
                  </w14:solidFill>
                </w14:textFill>
              </w:rPr>
              <w:t>①</w: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end"/>
            </w:r>
          </w:p>
        </w:tc>
        <w:tc>
          <w:tcPr>
            <w:tcW w:w="1276" w:type="dxa"/>
            <w:tcMar>
              <w:left w:w="28" w:type="dxa"/>
              <w:right w:w="28" w:type="dxa"/>
            </w:tcMar>
            <w:vAlign w:val="center"/>
          </w:tcPr>
          <w:p w14:paraId="7A3C6CA0">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现有工程</w:t>
            </w:r>
          </w:p>
          <w:p w14:paraId="23B5FB6E">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许可排放量</w:t>
            </w:r>
          </w:p>
          <w:p w14:paraId="0E6FB0DF">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instrText xml:space="preserve"> = 2 \* GB3 \* MERGEFORMAT </w:instrTex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separate"/>
            </w:r>
            <w:r>
              <w:rPr>
                <w:rFonts w:hint="eastAsia" w:ascii="Times New Roman" w:hAnsi="Times New Roman" w:eastAsia="宋体" w:cs="宋体"/>
                <w:caps w:val="0"/>
                <w:snapToGrid w:val="0"/>
                <w:color w:val="000000" w:themeColor="text1"/>
                <w:spacing w:val="-6"/>
                <w:kern w:val="21"/>
                <w:sz w:val="21"/>
                <w:szCs w:val="21"/>
                <w:highlight w:val="none"/>
                <w14:textFill>
                  <w14:solidFill>
                    <w14:schemeClr w14:val="tx1"/>
                  </w14:solidFill>
                </w14:textFill>
              </w:rPr>
              <w:t>②</w: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end"/>
            </w:r>
          </w:p>
        </w:tc>
        <w:tc>
          <w:tcPr>
            <w:tcW w:w="1701" w:type="dxa"/>
            <w:tcMar>
              <w:left w:w="28" w:type="dxa"/>
              <w:right w:w="28" w:type="dxa"/>
            </w:tcMar>
            <w:vAlign w:val="center"/>
          </w:tcPr>
          <w:p w14:paraId="34F1CDCC">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在建工程</w:t>
            </w:r>
          </w:p>
          <w:p w14:paraId="6E8D325B">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排放量（固体废物产生量）</w: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instrText xml:space="preserve"> = 3 \* GB3 \* MERGEFORMAT </w:instrTex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separate"/>
            </w:r>
            <w:r>
              <w:rPr>
                <w:rFonts w:hint="eastAsia" w:ascii="Times New Roman" w:hAnsi="Times New Roman" w:eastAsia="宋体" w:cs="宋体"/>
                <w:caps w:val="0"/>
                <w:color w:val="000000" w:themeColor="text1"/>
                <w:kern w:val="2"/>
                <w:sz w:val="21"/>
                <w:szCs w:val="21"/>
                <w:highlight w:val="none"/>
                <w14:textFill>
                  <w14:solidFill>
                    <w14:schemeClr w14:val="tx1"/>
                  </w14:solidFill>
                </w14:textFill>
              </w:rPr>
              <w:t>③</w: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end"/>
            </w:r>
          </w:p>
        </w:tc>
        <w:tc>
          <w:tcPr>
            <w:tcW w:w="1559" w:type="dxa"/>
            <w:tcMar>
              <w:left w:w="28" w:type="dxa"/>
              <w:right w:w="28" w:type="dxa"/>
            </w:tcMar>
            <w:vAlign w:val="center"/>
          </w:tcPr>
          <w:p w14:paraId="1144E842">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本项目</w:t>
            </w:r>
          </w:p>
          <w:p w14:paraId="1EC619F0">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排放量（固体废物产生量）</w: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instrText xml:space="preserve"> = 4 \* GB3 \* MERGEFORMAT </w:instrTex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separate"/>
            </w:r>
            <w:r>
              <w:rPr>
                <w:rFonts w:hint="eastAsia" w:ascii="Times New Roman" w:hAnsi="Times New Roman" w:eastAsia="宋体" w:cs="宋体"/>
                <w:caps w:val="0"/>
                <w:color w:val="000000" w:themeColor="text1"/>
                <w:kern w:val="2"/>
                <w:sz w:val="21"/>
                <w:szCs w:val="21"/>
                <w:highlight w:val="none"/>
                <w14:textFill>
                  <w14:solidFill>
                    <w14:schemeClr w14:val="tx1"/>
                  </w14:solidFill>
                </w14:textFill>
              </w:rPr>
              <w:t>④</w: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end"/>
            </w:r>
          </w:p>
        </w:tc>
        <w:tc>
          <w:tcPr>
            <w:tcW w:w="1559" w:type="dxa"/>
            <w:tcMar>
              <w:left w:w="28" w:type="dxa"/>
              <w:right w:w="28" w:type="dxa"/>
            </w:tcMar>
            <w:vAlign w:val="center"/>
          </w:tcPr>
          <w:p w14:paraId="07329930">
            <w:pPr>
              <w:pStyle w:val="42"/>
              <w:spacing w:beforeLines="0" w:afterLines="0" w:line="240" w:lineRule="auto"/>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t>以新带老削减量</w:t>
            </w:r>
          </w:p>
          <w:p w14:paraId="60778C9C">
            <w:pPr>
              <w:pStyle w:val="42"/>
              <w:spacing w:beforeLines="0" w:afterLines="0" w:line="240" w:lineRule="auto"/>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t>（新建项目不填）</w:t>
            </w: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instrText xml:space="preserve"> = 5 \* GB3 \* MERGEFORMAT </w:instrText>
            </w: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fldChar w:fldCharType="separate"/>
            </w:r>
            <w:r>
              <w:rPr>
                <w:rFonts w:hint="eastAsia" w:ascii="Times New Roman" w:hAnsi="Times New Roman" w:eastAsia="宋体" w:cs="宋体"/>
                <w:caps w:val="0"/>
                <w:color w:val="000000" w:themeColor="text1"/>
                <w:kern w:val="2"/>
                <w:sz w:val="21"/>
                <w:szCs w:val="21"/>
                <w:highlight w:val="none"/>
                <w14:textFill>
                  <w14:solidFill>
                    <w14:schemeClr w14:val="tx1"/>
                  </w14:solidFill>
                </w14:textFill>
              </w:rPr>
              <w:t>⑤</w:t>
            </w: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fldChar w:fldCharType="end"/>
            </w:r>
          </w:p>
        </w:tc>
        <w:tc>
          <w:tcPr>
            <w:tcW w:w="1522" w:type="dxa"/>
            <w:tcMar>
              <w:left w:w="28" w:type="dxa"/>
              <w:right w:w="28" w:type="dxa"/>
            </w:tcMar>
            <w:vAlign w:val="center"/>
          </w:tcPr>
          <w:p w14:paraId="76C672FF">
            <w:pPr>
              <w:pStyle w:val="42"/>
              <w:spacing w:beforeLines="0" w:afterLines="0" w:line="240" w:lineRule="auto"/>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t>本项目建成后</w:t>
            </w:r>
          </w:p>
          <w:p w14:paraId="53741599">
            <w:pPr>
              <w:pStyle w:val="42"/>
              <w:spacing w:beforeLines="0" w:afterLines="0" w:line="240" w:lineRule="auto"/>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t>全厂排放量（固体废物产生量）</w:t>
            </w: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instrText xml:space="preserve"> = 6 \* GB3 \* MERGEFORMAT </w:instrText>
            </w: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fldChar w:fldCharType="separate"/>
            </w:r>
            <w:r>
              <w:rPr>
                <w:rFonts w:hint="eastAsia" w:ascii="Times New Roman" w:hAnsi="Times New Roman" w:eastAsia="宋体" w:cs="宋体"/>
                <w:caps w:val="0"/>
                <w:color w:val="000000" w:themeColor="text1"/>
                <w:kern w:val="2"/>
                <w:sz w:val="21"/>
                <w:szCs w:val="21"/>
                <w:highlight w:val="none"/>
                <w14:textFill>
                  <w14:solidFill>
                    <w14:schemeClr w14:val="tx1"/>
                  </w14:solidFill>
                </w14:textFill>
              </w:rPr>
              <w:t>⑥</w:t>
            </w:r>
            <w:r>
              <w:rPr>
                <w:rFonts w:ascii="Times New Roman" w:hAnsi="Times New Roman" w:eastAsia="宋体"/>
                <w:caps w:val="0"/>
                <w:snapToGrid w:val="0"/>
                <w:color w:val="000000" w:themeColor="text1"/>
                <w:spacing w:val="-16"/>
                <w:kern w:val="21"/>
                <w:sz w:val="21"/>
                <w:szCs w:val="21"/>
                <w:highlight w:val="none"/>
                <w14:textFill>
                  <w14:solidFill>
                    <w14:schemeClr w14:val="tx1"/>
                  </w14:solidFill>
                </w14:textFill>
              </w:rPr>
              <w:fldChar w:fldCharType="end"/>
            </w:r>
          </w:p>
        </w:tc>
        <w:tc>
          <w:tcPr>
            <w:tcW w:w="1465" w:type="dxa"/>
            <w:tcMar>
              <w:left w:w="28" w:type="dxa"/>
              <w:right w:w="28" w:type="dxa"/>
            </w:tcMar>
            <w:vAlign w:val="center"/>
          </w:tcPr>
          <w:p w14:paraId="2EDBEFDB">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t>变化量</w:t>
            </w:r>
          </w:p>
          <w:p w14:paraId="112BA060">
            <w:pPr>
              <w:pStyle w:val="42"/>
              <w:spacing w:beforeLines="0" w:afterLines="0" w:line="240" w:lineRule="auto"/>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instrText xml:space="preserve"> = 7 \* GB3 \* MERGEFORMAT </w:instrTex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separate"/>
            </w:r>
            <w:r>
              <w:rPr>
                <w:rFonts w:hint="eastAsia" w:ascii="Times New Roman" w:hAnsi="Times New Roman" w:eastAsia="宋体" w:cs="宋体"/>
                <w:caps w:val="0"/>
                <w:color w:val="000000" w:themeColor="text1"/>
                <w:kern w:val="2"/>
                <w:sz w:val="21"/>
                <w:szCs w:val="21"/>
                <w:highlight w:val="none"/>
                <w14:textFill>
                  <w14:solidFill>
                    <w14:schemeClr w14:val="tx1"/>
                  </w14:solidFill>
                </w14:textFill>
              </w:rPr>
              <w:t>⑦</w:t>
            </w:r>
            <w:r>
              <w:rPr>
                <w:rFonts w:ascii="Times New Roman" w:hAnsi="Times New Roman" w:eastAsia="宋体"/>
                <w:caps w:val="0"/>
                <w:snapToGrid w:val="0"/>
                <w:color w:val="000000" w:themeColor="text1"/>
                <w:spacing w:val="-6"/>
                <w:kern w:val="21"/>
                <w:sz w:val="21"/>
                <w:szCs w:val="21"/>
                <w:highlight w:val="none"/>
                <w14:textFill>
                  <w14:solidFill>
                    <w14:schemeClr w14:val="tx1"/>
                  </w14:solidFill>
                </w14:textFill>
              </w:rPr>
              <w:fldChar w:fldCharType="end"/>
            </w:r>
          </w:p>
        </w:tc>
      </w:tr>
      <w:tr w14:paraId="1FC431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408" w:type="dxa"/>
            <w:vMerge w:val="restart"/>
            <w:vAlign w:val="center"/>
          </w:tcPr>
          <w:p w14:paraId="0055CC47">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kern w:val="21"/>
                <w:sz w:val="21"/>
                <w:szCs w:val="21"/>
                <w:highlight w:val="none"/>
                <w14:textFill>
                  <w14:solidFill>
                    <w14:schemeClr w14:val="tx1"/>
                  </w14:solidFill>
                </w14:textFill>
              </w:rPr>
              <w:t>废气</w:t>
            </w:r>
          </w:p>
        </w:tc>
        <w:tc>
          <w:tcPr>
            <w:tcW w:w="1843" w:type="dxa"/>
            <w:vAlign w:val="center"/>
          </w:tcPr>
          <w:p w14:paraId="475DCA4D">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颗粒物</w:t>
            </w:r>
          </w:p>
        </w:tc>
        <w:tc>
          <w:tcPr>
            <w:tcW w:w="1455" w:type="dxa"/>
            <w:vAlign w:val="center"/>
          </w:tcPr>
          <w:p w14:paraId="50B459FB">
            <w:pPr>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w:t>
            </w:r>
          </w:p>
        </w:tc>
        <w:tc>
          <w:tcPr>
            <w:tcW w:w="1276" w:type="dxa"/>
            <w:vAlign w:val="center"/>
          </w:tcPr>
          <w:p w14:paraId="46916C48">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3FF6BCDC">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60F2F06D">
            <w:pPr>
              <w:pStyle w:val="42"/>
              <w:spacing w:beforeLines="0" w:afterLines="0" w:line="240" w:lineRule="auto"/>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0.14</w:t>
            </w:r>
          </w:p>
        </w:tc>
        <w:tc>
          <w:tcPr>
            <w:tcW w:w="1559" w:type="dxa"/>
            <w:vAlign w:val="center"/>
          </w:tcPr>
          <w:p w14:paraId="70A402BE">
            <w:pPr>
              <w:spacing w:beforeLines="0" w:afterLines="0" w:line="240" w:lineRule="auto"/>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24B0ABD3">
            <w:pPr>
              <w:keepNext w:val="0"/>
              <w:keepLines w:val="0"/>
              <w:widowControl/>
              <w:suppressLineNumbers w:val="0"/>
              <w:jc w:val="center"/>
              <w:textAlignment w:val="center"/>
              <w:rPr>
                <w:rFonts w:hint="default"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pPr>
            <w:r>
              <w:rPr>
                <w:rFonts w:hint="eastAsia"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t>0.14</w:t>
            </w:r>
          </w:p>
        </w:tc>
        <w:tc>
          <w:tcPr>
            <w:tcW w:w="1465" w:type="dxa"/>
            <w:vAlign w:val="center"/>
          </w:tcPr>
          <w:p w14:paraId="75C17DDC">
            <w:pPr>
              <w:pStyle w:val="42"/>
              <w:spacing w:beforeLines="0" w:afterLines="0" w:line="240" w:lineRule="auto"/>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0.14</w:t>
            </w:r>
          </w:p>
        </w:tc>
      </w:tr>
      <w:tr w14:paraId="53F38C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55FA0F6D">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77CFD4A7">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VOCs（以非甲烷总烃计</w:t>
            </w:r>
            <w:r>
              <w:rPr>
                <w:rFonts w:hint="eastAsia"/>
                <w:caps w:val="0"/>
                <w:color w:val="000000" w:themeColor="text1"/>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含</w:t>
            </w:r>
            <w:r>
              <w:rPr>
                <w:rFonts w:hint="eastAsia"/>
                <w:caps w:val="0"/>
                <w:color w:val="000000" w:themeColor="text1"/>
                <w:sz w:val="21"/>
                <w:szCs w:val="21"/>
                <w:highlight w:val="none"/>
                <w:lang w:val="en-US" w:eastAsia="zh-CN"/>
                <w14:textFill>
                  <w14:solidFill>
                    <w14:schemeClr w14:val="tx1"/>
                  </w14:solidFill>
                </w14:textFill>
              </w:rPr>
              <w:t>甲苯、苯乙烯</w:t>
            </w:r>
            <w:r>
              <w:rPr>
                <w:rFonts w:ascii="Times New Roman" w:hAnsi="Times New Roman" w:eastAsia="宋体"/>
                <w:caps w:val="0"/>
                <w:color w:val="000000" w:themeColor="text1"/>
                <w:sz w:val="21"/>
                <w:szCs w:val="21"/>
                <w:highlight w:val="none"/>
                <w14:textFill>
                  <w14:solidFill>
                    <w14:schemeClr w14:val="tx1"/>
                  </w14:solidFill>
                </w14:textFill>
              </w:rPr>
              <w:t>）</w:t>
            </w:r>
          </w:p>
        </w:tc>
        <w:tc>
          <w:tcPr>
            <w:tcW w:w="1455" w:type="dxa"/>
            <w:vAlign w:val="center"/>
          </w:tcPr>
          <w:p w14:paraId="4DA78202">
            <w:pPr>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0.56</w:t>
            </w:r>
          </w:p>
        </w:tc>
        <w:tc>
          <w:tcPr>
            <w:tcW w:w="1276" w:type="dxa"/>
            <w:vAlign w:val="center"/>
          </w:tcPr>
          <w:p w14:paraId="08E40795">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1F3133CB">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10D110E2">
            <w:pPr>
              <w:pStyle w:val="42"/>
              <w:spacing w:beforeLines="0" w:afterLines="0" w:line="240" w:lineRule="auto"/>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0.0513</w:t>
            </w:r>
          </w:p>
        </w:tc>
        <w:tc>
          <w:tcPr>
            <w:tcW w:w="1559" w:type="dxa"/>
            <w:vAlign w:val="center"/>
          </w:tcPr>
          <w:p w14:paraId="51A78CC3">
            <w:pPr>
              <w:spacing w:beforeLines="0" w:afterLines="0" w:line="240" w:lineRule="auto"/>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64DEA10C">
            <w:pPr>
              <w:keepNext w:val="0"/>
              <w:keepLines w:val="0"/>
              <w:widowControl/>
              <w:suppressLineNumbers w:val="0"/>
              <w:jc w:val="center"/>
              <w:textAlignment w:val="center"/>
              <w:rPr>
                <w:rFonts w:hint="default"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pPr>
            <w:r>
              <w:rPr>
                <w:rFonts w:hint="eastAsia"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t>0.6113</w:t>
            </w:r>
          </w:p>
        </w:tc>
        <w:tc>
          <w:tcPr>
            <w:tcW w:w="1465" w:type="dxa"/>
            <w:vAlign w:val="center"/>
          </w:tcPr>
          <w:p w14:paraId="5AE4B8D2">
            <w:pPr>
              <w:pStyle w:val="42"/>
              <w:spacing w:beforeLines="0" w:afterLines="0" w:line="240" w:lineRule="auto"/>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0.0513</w:t>
            </w:r>
          </w:p>
        </w:tc>
      </w:tr>
      <w:tr w14:paraId="557D84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15DF71B3">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23889C35">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甲苯</w:t>
            </w:r>
          </w:p>
        </w:tc>
        <w:tc>
          <w:tcPr>
            <w:tcW w:w="1455" w:type="dxa"/>
            <w:vAlign w:val="center"/>
          </w:tcPr>
          <w:p w14:paraId="23D68A91">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0.041</w:t>
            </w:r>
          </w:p>
        </w:tc>
        <w:tc>
          <w:tcPr>
            <w:tcW w:w="1276" w:type="dxa"/>
            <w:vAlign w:val="center"/>
          </w:tcPr>
          <w:p w14:paraId="31CF93E3">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62C6ED0E">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3C0CD5A6">
            <w:pPr>
              <w:pStyle w:val="42"/>
              <w:spacing w:beforeLines="0" w:afterLines="0" w:line="240" w:lineRule="auto"/>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0</w:t>
            </w:r>
          </w:p>
        </w:tc>
        <w:tc>
          <w:tcPr>
            <w:tcW w:w="1559" w:type="dxa"/>
            <w:vAlign w:val="center"/>
          </w:tcPr>
          <w:p w14:paraId="7D2BE19B">
            <w:pPr>
              <w:spacing w:beforeLines="0" w:afterLines="0" w:line="240" w:lineRule="auto"/>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1CBA9D31">
            <w:pPr>
              <w:keepNext w:val="0"/>
              <w:keepLines w:val="0"/>
              <w:widowControl/>
              <w:suppressLineNumbers w:val="0"/>
              <w:jc w:val="center"/>
              <w:textAlignment w:val="center"/>
              <w:rPr>
                <w:rFonts w:hint="eastAsia"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pPr>
            <w:r>
              <w:rPr>
                <w:rFonts w:hint="eastAsia"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t>0.041</w:t>
            </w:r>
          </w:p>
        </w:tc>
        <w:tc>
          <w:tcPr>
            <w:tcW w:w="1465" w:type="dxa"/>
            <w:vAlign w:val="center"/>
          </w:tcPr>
          <w:p w14:paraId="5BB36AFA">
            <w:pPr>
              <w:pStyle w:val="42"/>
              <w:spacing w:beforeLines="0" w:afterLines="0" w:line="240" w:lineRule="auto"/>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0</w:t>
            </w:r>
          </w:p>
        </w:tc>
      </w:tr>
      <w:tr w14:paraId="431168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3ECBC9D7">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64FDB77C">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苯乙烯</w:t>
            </w:r>
          </w:p>
        </w:tc>
        <w:tc>
          <w:tcPr>
            <w:tcW w:w="1455" w:type="dxa"/>
            <w:vAlign w:val="center"/>
          </w:tcPr>
          <w:p w14:paraId="07BC2099">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0.13</w:t>
            </w:r>
          </w:p>
        </w:tc>
        <w:tc>
          <w:tcPr>
            <w:tcW w:w="1276" w:type="dxa"/>
            <w:vAlign w:val="center"/>
          </w:tcPr>
          <w:p w14:paraId="2EEAA8EB">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33477DAD">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63E4676F">
            <w:pPr>
              <w:pStyle w:val="42"/>
              <w:spacing w:beforeLines="0" w:afterLines="0" w:line="240" w:lineRule="auto"/>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0</w:t>
            </w:r>
          </w:p>
        </w:tc>
        <w:tc>
          <w:tcPr>
            <w:tcW w:w="1559" w:type="dxa"/>
            <w:vAlign w:val="center"/>
          </w:tcPr>
          <w:p w14:paraId="1D7A28EF">
            <w:pPr>
              <w:spacing w:beforeLines="0" w:afterLines="0" w:line="240" w:lineRule="auto"/>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31C1D977">
            <w:pPr>
              <w:keepNext w:val="0"/>
              <w:keepLines w:val="0"/>
              <w:widowControl/>
              <w:suppressLineNumbers w:val="0"/>
              <w:jc w:val="center"/>
              <w:textAlignment w:val="center"/>
              <w:rPr>
                <w:rFonts w:hint="eastAsia"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pPr>
            <w:r>
              <w:rPr>
                <w:rFonts w:hint="eastAsia"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t>0.13</w:t>
            </w:r>
          </w:p>
        </w:tc>
        <w:tc>
          <w:tcPr>
            <w:tcW w:w="1465" w:type="dxa"/>
            <w:vAlign w:val="center"/>
          </w:tcPr>
          <w:p w14:paraId="0ADFB4A3">
            <w:pPr>
              <w:pStyle w:val="42"/>
              <w:spacing w:beforeLines="0" w:afterLines="0" w:line="240" w:lineRule="auto"/>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0</w:t>
            </w:r>
          </w:p>
        </w:tc>
      </w:tr>
      <w:tr w14:paraId="11B65E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75F39C7E">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4FBD968D">
            <w:pPr>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氨</w:t>
            </w:r>
          </w:p>
        </w:tc>
        <w:tc>
          <w:tcPr>
            <w:tcW w:w="1455" w:type="dxa"/>
            <w:vAlign w:val="center"/>
          </w:tcPr>
          <w:p w14:paraId="17248857">
            <w:pPr>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0</w:t>
            </w:r>
          </w:p>
        </w:tc>
        <w:tc>
          <w:tcPr>
            <w:tcW w:w="1276" w:type="dxa"/>
            <w:vAlign w:val="center"/>
          </w:tcPr>
          <w:p w14:paraId="46B25149">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7E2D563C">
            <w:pPr>
              <w:spacing w:beforeLines="0" w:afterLines="0" w:line="240" w:lineRule="auto"/>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69EFD3CD">
            <w:pPr>
              <w:pStyle w:val="42"/>
              <w:spacing w:beforeLines="0" w:afterLines="0" w:line="240" w:lineRule="auto"/>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0.0057</w:t>
            </w:r>
          </w:p>
        </w:tc>
        <w:tc>
          <w:tcPr>
            <w:tcW w:w="1559" w:type="dxa"/>
            <w:vAlign w:val="center"/>
          </w:tcPr>
          <w:p w14:paraId="021EC2DC">
            <w:pPr>
              <w:spacing w:beforeLines="0" w:afterLines="0" w:line="240" w:lineRule="auto"/>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539596CE">
            <w:pPr>
              <w:keepNext w:val="0"/>
              <w:keepLines w:val="0"/>
              <w:widowControl/>
              <w:suppressLineNumbers w:val="0"/>
              <w:jc w:val="center"/>
              <w:textAlignment w:val="center"/>
              <w:rPr>
                <w:rFonts w:hint="default"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pPr>
            <w:r>
              <w:rPr>
                <w:rFonts w:hint="eastAsia"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t>0.0057</w:t>
            </w:r>
          </w:p>
        </w:tc>
        <w:tc>
          <w:tcPr>
            <w:tcW w:w="1465" w:type="dxa"/>
            <w:vAlign w:val="center"/>
          </w:tcPr>
          <w:p w14:paraId="552A109A">
            <w:pPr>
              <w:pStyle w:val="42"/>
              <w:spacing w:beforeLines="0" w:afterLines="0" w:line="240" w:lineRule="auto"/>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0.0057</w:t>
            </w:r>
          </w:p>
        </w:tc>
      </w:tr>
      <w:tr w14:paraId="7ED5A5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08" w:type="dxa"/>
            <w:vMerge w:val="restart"/>
            <w:vAlign w:val="center"/>
          </w:tcPr>
          <w:p w14:paraId="176CCB21">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kern w:val="21"/>
                <w:sz w:val="21"/>
                <w:szCs w:val="21"/>
                <w:highlight w:val="none"/>
                <w14:textFill>
                  <w14:solidFill>
                    <w14:schemeClr w14:val="tx1"/>
                  </w14:solidFill>
                </w14:textFill>
              </w:rPr>
              <w:t>废水</w:t>
            </w:r>
          </w:p>
        </w:tc>
        <w:tc>
          <w:tcPr>
            <w:tcW w:w="1843" w:type="dxa"/>
            <w:vAlign w:val="center"/>
          </w:tcPr>
          <w:p w14:paraId="1C7EDA83">
            <w:pPr>
              <w:ind w:left="-105" w:leftChars="-50" w:right="-105"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废水量</w:t>
            </w:r>
          </w:p>
        </w:tc>
        <w:tc>
          <w:tcPr>
            <w:tcW w:w="1455" w:type="dxa"/>
            <w:vAlign w:val="center"/>
          </w:tcPr>
          <w:p w14:paraId="3C50FDCC">
            <w:pPr>
              <w:ind w:left="-105" w:leftChars="-50"/>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8160</w:t>
            </w:r>
          </w:p>
        </w:tc>
        <w:tc>
          <w:tcPr>
            <w:tcW w:w="1276" w:type="dxa"/>
            <w:vAlign w:val="center"/>
          </w:tcPr>
          <w:p w14:paraId="13A387F8">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5B9BC51B">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440BC49A">
            <w:pPr>
              <w:ind w:left="-105" w:leftChars="-5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4064</w:t>
            </w:r>
          </w:p>
        </w:tc>
        <w:tc>
          <w:tcPr>
            <w:tcW w:w="1559" w:type="dxa"/>
            <w:vAlign w:val="center"/>
          </w:tcPr>
          <w:p w14:paraId="1AFDF818">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64420243">
            <w:pPr>
              <w:ind w:left="-105" w:leftChars="-5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12224</w:t>
            </w:r>
          </w:p>
        </w:tc>
        <w:tc>
          <w:tcPr>
            <w:tcW w:w="1465" w:type="dxa"/>
            <w:vAlign w:val="center"/>
          </w:tcPr>
          <w:p w14:paraId="683085E8">
            <w:pPr>
              <w:ind w:left="-105" w:leftChars="-50"/>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color w:val="000000" w:themeColor="text1"/>
                <w:sz w:val="21"/>
                <w:szCs w:val="21"/>
                <w:highlight w:val="none"/>
                <w:lang w:val="en-US" w:eastAsia="zh-CN"/>
                <w14:textFill>
                  <w14:solidFill>
                    <w14:schemeClr w14:val="tx1"/>
                  </w14:solidFill>
                </w14:textFill>
              </w:rPr>
              <w:t>3960</w:t>
            </w:r>
          </w:p>
        </w:tc>
      </w:tr>
      <w:tr w14:paraId="539C36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408" w:type="dxa"/>
            <w:vMerge w:val="continue"/>
            <w:vAlign w:val="center"/>
          </w:tcPr>
          <w:p w14:paraId="0DEF35EC">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30D7D454">
            <w:pPr>
              <w:ind w:left="-105" w:leftChars="-50" w:right="-105"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COD</w:t>
            </w:r>
          </w:p>
        </w:tc>
        <w:tc>
          <w:tcPr>
            <w:tcW w:w="1455" w:type="dxa"/>
            <w:vAlign w:val="center"/>
          </w:tcPr>
          <w:p w14:paraId="0493A7BF">
            <w:pPr>
              <w:ind w:left="-105" w:leftChars="-50"/>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0.48</w:t>
            </w:r>
          </w:p>
        </w:tc>
        <w:tc>
          <w:tcPr>
            <w:tcW w:w="1276" w:type="dxa"/>
            <w:vAlign w:val="center"/>
          </w:tcPr>
          <w:p w14:paraId="34E51620">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45A10045">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491B4C7F">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1.1244</w:t>
            </w:r>
          </w:p>
        </w:tc>
        <w:tc>
          <w:tcPr>
            <w:tcW w:w="1559" w:type="dxa"/>
            <w:vAlign w:val="center"/>
          </w:tcPr>
          <w:p w14:paraId="65134FE0">
            <w:pPr>
              <w:jc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6AACDE3E">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1.6044</w:t>
            </w:r>
          </w:p>
        </w:tc>
        <w:tc>
          <w:tcPr>
            <w:tcW w:w="1465" w:type="dxa"/>
            <w:vAlign w:val="center"/>
          </w:tcPr>
          <w:p w14:paraId="12D1689E">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+1.1244</w:t>
            </w:r>
          </w:p>
        </w:tc>
      </w:tr>
      <w:tr w14:paraId="4D473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08" w:type="dxa"/>
            <w:vMerge w:val="continue"/>
            <w:vAlign w:val="center"/>
          </w:tcPr>
          <w:p w14:paraId="65D542BF">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08BB319F">
            <w:pPr>
              <w:ind w:left="-105" w:leftChars="-50" w:right="-105"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BOD</w:t>
            </w:r>
            <w:r>
              <w:rPr>
                <w:rFonts w:ascii="Times New Roman" w:hAnsi="Times New Roman" w:eastAsia="宋体"/>
                <w:caps w:val="0"/>
                <w:color w:val="000000" w:themeColor="text1"/>
                <w:sz w:val="21"/>
                <w:szCs w:val="21"/>
                <w:highlight w:val="none"/>
                <w:vertAlign w:val="subscript"/>
                <w14:textFill>
                  <w14:solidFill>
                    <w14:schemeClr w14:val="tx1"/>
                  </w14:solidFill>
                </w14:textFill>
              </w:rPr>
              <w:t>5</w:t>
            </w:r>
          </w:p>
        </w:tc>
        <w:tc>
          <w:tcPr>
            <w:tcW w:w="1455" w:type="dxa"/>
            <w:vAlign w:val="center"/>
          </w:tcPr>
          <w:p w14:paraId="692076B3">
            <w:pPr>
              <w:ind w:left="-105" w:leftChars="-50"/>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0.1829</w:t>
            </w:r>
          </w:p>
        </w:tc>
        <w:tc>
          <w:tcPr>
            <w:tcW w:w="1276" w:type="dxa"/>
            <w:vAlign w:val="center"/>
          </w:tcPr>
          <w:p w14:paraId="059543B2">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4350C81F">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0B00F1F0">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0.5961</w:t>
            </w:r>
          </w:p>
        </w:tc>
        <w:tc>
          <w:tcPr>
            <w:tcW w:w="1559" w:type="dxa"/>
            <w:vAlign w:val="center"/>
          </w:tcPr>
          <w:p w14:paraId="5523D51A">
            <w:pPr>
              <w:jc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20D8855A">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0.779</w:t>
            </w:r>
          </w:p>
        </w:tc>
        <w:tc>
          <w:tcPr>
            <w:tcW w:w="1465" w:type="dxa"/>
            <w:vAlign w:val="center"/>
          </w:tcPr>
          <w:p w14:paraId="131765B9">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+0.5961</w:t>
            </w:r>
          </w:p>
        </w:tc>
      </w:tr>
      <w:tr w14:paraId="37D727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08" w:type="dxa"/>
            <w:vMerge w:val="continue"/>
            <w:vAlign w:val="center"/>
          </w:tcPr>
          <w:p w14:paraId="6F113BC5">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2B68E069">
            <w:pPr>
              <w:ind w:left="-105" w:leftChars="-50" w:right="-105"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SS</w:t>
            </w:r>
          </w:p>
        </w:tc>
        <w:tc>
          <w:tcPr>
            <w:tcW w:w="1455" w:type="dxa"/>
            <w:vAlign w:val="center"/>
          </w:tcPr>
          <w:p w14:paraId="0D0688CB">
            <w:pPr>
              <w:ind w:left="-105" w:leftChars="-50"/>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0.1824</w:t>
            </w:r>
          </w:p>
        </w:tc>
        <w:tc>
          <w:tcPr>
            <w:tcW w:w="1276" w:type="dxa"/>
            <w:vAlign w:val="center"/>
          </w:tcPr>
          <w:p w14:paraId="5783848B">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6CEAC14A">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2C2694E8">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0.6492</w:t>
            </w:r>
          </w:p>
        </w:tc>
        <w:tc>
          <w:tcPr>
            <w:tcW w:w="1559" w:type="dxa"/>
            <w:vAlign w:val="center"/>
          </w:tcPr>
          <w:p w14:paraId="777DF58D">
            <w:pPr>
              <w:jc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3C0A17F1">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0.8316</w:t>
            </w:r>
          </w:p>
        </w:tc>
        <w:tc>
          <w:tcPr>
            <w:tcW w:w="1465" w:type="dxa"/>
            <w:vAlign w:val="center"/>
          </w:tcPr>
          <w:p w14:paraId="5C94D15C">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+0.6492</w:t>
            </w:r>
          </w:p>
        </w:tc>
      </w:tr>
      <w:tr w14:paraId="085D7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408" w:type="dxa"/>
            <w:vMerge w:val="continue"/>
            <w:vAlign w:val="center"/>
          </w:tcPr>
          <w:p w14:paraId="1CC1E4D5">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108E57F9">
            <w:pPr>
              <w:ind w:left="-105" w:leftChars="-50" w:right="-105"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氨氮</w:t>
            </w:r>
          </w:p>
        </w:tc>
        <w:tc>
          <w:tcPr>
            <w:tcW w:w="1455" w:type="dxa"/>
            <w:vAlign w:val="center"/>
          </w:tcPr>
          <w:p w14:paraId="63500B4B">
            <w:pPr>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0.0</w:t>
            </w:r>
            <w:r>
              <w:rPr>
                <w:rFonts w:hint="eastAsia"/>
                <w:caps w:val="0"/>
                <w:color w:val="000000" w:themeColor="text1"/>
                <w:sz w:val="21"/>
                <w:szCs w:val="21"/>
                <w:highlight w:val="none"/>
                <w:lang w:val="en-US" w:eastAsia="zh-CN"/>
                <w14:textFill>
                  <w14:solidFill>
                    <w14:schemeClr w14:val="tx1"/>
                  </w14:solidFill>
                </w14:textFill>
              </w:rPr>
              <w:t>43</w:t>
            </w:r>
          </w:p>
        </w:tc>
        <w:tc>
          <w:tcPr>
            <w:tcW w:w="1276" w:type="dxa"/>
            <w:vAlign w:val="center"/>
          </w:tcPr>
          <w:p w14:paraId="4E90A658">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1E55B15D">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2EFA6F47">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0.1198</w:t>
            </w:r>
          </w:p>
        </w:tc>
        <w:tc>
          <w:tcPr>
            <w:tcW w:w="1559" w:type="dxa"/>
            <w:vAlign w:val="center"/>
          </w:tcPr>
          <w:p w14:paraId="6F74473C">
            <w:pPr>
              <w:jc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69A23160">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0.1628</w:t>
            </w:r>
          </w:p>
        </w:tc>
        <w:tc>
          <w:tcPr>
            <w:tcW w:w="1465" w:type="dxa"/>
            <w:vAlign w:val="center"/>
          </w:tcPr>
          <w:p w14:paraId="40D5CE25">
            <w:pPr>
              <w:jc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+0.1198</w:t>
            </w:r>
          </w:p>
        </w:tc>
      </w:tr>
      <w:tr w14:paraId="1BA2BB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408" w:type="dxa"/>
            <w:vMerge w:val="continue"/>
            <w:vAlign w:val="center"/>
          </w:tcPr>
          <w:p w14:paraId="4C8F4E96">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5D4B3673">
            <w:pPr>
              <w:ind w:left="-105" w:leftChars="-50" w:right="-105"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动植物油</w:t>
            </w:r>
          </w:p>
        </w:tc>
        <w:tc>
          <w:tcPr>
            <w:tcW w:w="1455" w:type="dxa"/>
            <w:vAlign w:val="center"/>
          </w:tcPr>
          <w:p w14:paraId="2FA4F7DC">
            <w:pPr>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0.021</w:t>
            </w:r>
          </w:p>
        </w:tc>
        <w:tc>
          <w:tcPr>
            <w:tcW w:w="1276" w:type="dxa"/>
            <w:vAlign w:val="center"/>
          </w:tcPr>
          <w:p w14:paraId="3130A1CF">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72D786E9">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5DE2C83A">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0.1584</w:t>
            </w:r>
          </w:p>
        </w:tc>
        <w:tc>
          <w:tcPr>
            <w:tcW w:w="1559" w:type="dxa"/>
            <w:vAlign w:val="center"/>
          </w:tcPr>
          <w:p w14:paraId="48A3761F">
            <w:pPr>
              <w:jc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196904E0">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0.1794</w:t>
            </w:r>
          </w:p>
        </w:tc>
        <w:tc>
          <w:tcPr>
            <w:tcW w:w="1465" w:type="dxa"/>
            <w:vAlign w:val="center"/>
          </w:tcPr>
          <w:p w14:paraId="04FA7A22">
            <w:pPr>
              <w:jc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+0.1584</w:t>
            </w:r>
          </w:p>
        </w:tc>
      </w:tr>
      <w:tr w14:paraId="2811B2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restart"/>
            <w:vAlign w:val="center"/>
          </w:tcPr>
          <w:p w14:paraId="10DCEE36">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kern w:val="21"/>
                <w:sz w:val="21"/>
                <w:szCs w:val="21"/>
                <w:highlight w:val="none"/>
                <w14:textFill>
                  <w14:solidFill>
                    <w14:schemeClr w14:val="tx1"/>
                  </w14:solidFill>
                </w14:textFill>
              </w:rPr>
              <w:t>一般工业</w:t>
            </w:r>
          </w:p>
          <w:p w14:paraId="551AFE2B">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kern w:val="21"/>
                <w:sz w:val="21"/>
                <w:szCs w:val="21"/>
                <w:highlight w:val="none"/>
                <w14:textFill>
                  <w14:solidFill>
                    <w14:schemeClr w14:val="tx1"/>
                  </w14:solidFill>
                </w14:textFill>
              </w:rPr>
              <w:t>固体废物</w:t>
            </w:r>
          </w:p>
        </w:tc>
        <w:tc>
          <w:tcPr>
            <w:tcW w:w="1843" w:type="dxa"/>
            <w:vAlign w:val="center"/>
          </w:tcPr>
          <w:p w14:paraId="136212BF">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废塑料边角料</w:t>
            </w:r>
          </w:p>
        </w:tc>
        <w:tc>
          <w:tcPr>
            <w:tcW w:w="1455" w:type="dxa"/>
            <w:vAlign w:val="center"/>
          </w:tcPr>
          <w:p w14:paraId="2CABC22C">
            <w:pPr>
              <w:jc w:val="center"/>
              <w:textAlignment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9.525</w:t>
            </w:r>
          </w:p>
        </w:tc>
        <w:tc>
          <w:tcPr>
            <w:tcW w:w="1276" w:type="dxa"/>
            <w:vAlign w:val="center"/>
          </w:tcPr>
          <w:p w14:paraId="5B8BF71A">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6E9550F3">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29EA1E52">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0.5</w:t>
            </w:r>
          </w:p>
        </w:tc>
        <w:tc>
          <w:tcPr>
            <w:tcW w:w="1559" w:type="dxa"/>
            <w:vAlign w:val="center"/>
          </w:tcPr>
          <w:p w14:paraId="29ADAAE8">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768F71D9">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10.025</w:t>
            </w:r>
          </w:p>
        </w:tc>
        <w:tc>
          <w:tcPr>
            <w:tcW w:w="1465" w:type="dxa"/>
            <w:vAlign w:val="center"/>
          </w:tcPr>
          <w:p w14:paraId="6F75D605">
            <w:pPr>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color w:val="000000" w:themeColor="text1"/>
                <w:sz w:val="21"/>
                <w:szCs w:val="21"/>
                <w:highlight w:val="none"/>
                <w:lang w:val="en-US" w:eastAsia="zh-CN"/>
                <w14:textFill>
                  <w14:solidFill>
                    <w14:schemeClr w14:val="tx1"/>
                  </w14:solidFill>
                </w14:textFill>
              </w:rPr>
              <w:t>0.5</w:t>
            </w:r>
          </w:p>
        </w:tc>
      </w:tr>
      <w:tr w14:paraId="7DF43D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0C45F7FB">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650FDE20">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废塑料不合格品</w:t>
            </w:r>
          </w:p>
        </w:tc>
        <w:tc>
          <w:tcPr>
            <w:tcW w:w="1455" w:type="dxa"/>
            <w:vAlign w:val="center"/>
          </w:tcPr>
          <w:p w14:paraId="51964F4A">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9.525</w:t>
            </w:r>
          </w:p>
        </w:tc>
        <w:tc>
          <w:tcPr>
            <w:tcW w:w="1276" w:type="dxa"/>
            <w:vAlign w:val="center"/>
          </w:tcPr>
          <w:p w14:paraId="52697086">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6740E5BB">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11BE763D">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0.5</w:t>
            </w:r>
          </w:p>
        </w:tc>
        <w:tc>
          <w:tcPr>
            <w:tcW w:w="1559" w:type="dxa"/>
            <w:vAlign w:val="center"/>
          </w:tcPr>
          <w:p w14:paraId="710B1187">
            <w:pPr>
              <w:spacing w:beforeLines="0" w:afterLines="0" w:line="240" w:lineRule="auto"/>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4230FCC0">
            <w:pPr>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10.025</w:t>
            </w:r>
          </w:p>
        </w:tc>
        <w:tc>
          <w:tcPr>
            <w:tcW w:w="1465" w:type="dxa"/>
            <w:vAlign w:val="center"/>
          </w:tcPr>
          <w:p w14:paraId="79B80702">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color w:val="000000" w:themeColor="text1"/>
                <w:sz w:val="21"/>
                <w:szCs w:val="21"/>
                <w:highlight w:val="none"/>
                <w:lang w:val="en-US" w:eastAsia="zh-CN"/>
                <w14:textFill>
                  <w14:solidFill>
                    <w14:schemeClr w14:val="tx1"/>
                  </w14:solidFill>
                </w14:textFill>
              </w:rPr>
              <w:t>0.5</w:t>
            </w:r>
          </w:p>
        </w:tc>
      </w:tr>
      <w:tr w14:paraId="728C93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49DB2A22">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2C31F0D2">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废包装材料</w:t>
            </w:r>
          </w:p>
        </w:tc>
        <w:tc>
          <w:tcPr>
            <w:tcW w:w="1455" w:type="dxa"/>
            <w:vAlign w:val="center"/>
          </w:tcPr>
          <w:p w14:paraId="0B91740C">
            <w:pPr>
              <w:jc w:val="center"/>
              <w:textAlignment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2.2</w:t>
            </w:r>
          </w:p>
        </w:tc>
        <w:tc>
          <w:tcPr>
            <w:tcW w:w="1276" w:type="dxa"/>
            <w:vAlign w:val="center"/>
          </w:tcPr>
          <w:p w14:paraId="0EE5AB89">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137A2A2E">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0AFC8D7A">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w:t>
            </w:r>
          </w:p>
        </w:tc>
        <w:tc>
          <w:tcPr>
            <w:tcW w:w="1559" w:type="dxa"/>
            <w:vAlign w:val="center"/>
          </w:tcPr>
          <w:p w14:paraId="561BD4E0">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50D8185D">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3.2</w:t>
            </w:r>
          </w:p>
        </w:tc>
        <w:tc>
          <w:tcPr>
            <w:tcW w:w="1465" w:type="dxa"/>
            <w:vAlign w:val="center"/>
          </w:tcPr>
          <w:p w14:paraId="3D87F255">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color w:val="000000" w:themeColor="text1"/>
                <w:sz w:val="21"/>
                <w:szCs w:val="21"/>
                <w:highlight w:val="none"/>
                <w:lang w:val="en-US" w:eastAsia="zh-CN"/>
                <w14:textFill>
                  <w14:solidFill>
                    <w14:schemeClr w14:val="tx1"/>
                  </w14:solidFill>
                </w14:textFill>
              </w:rPr>
              <w:t>1</w:t>
            </w:r>
          </w:p>
        </w:tc>
      </w:tr>
      <w:tr w14:paraId="5A5B58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356D329A">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17EE2E5C">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废金属碎屑</w:t>
            </w:r>
          </w:p>
        </w:tc>
        <w:tc>
          <w:tcPr>
            <w:tcW w:w="1455" w:type="dxa"/>
            <w:vAlign w:val="center"/>
          </w:tcPr>
          <w:p w14:paraId="0BA4B097">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1.515</w:t>
            </w:r>
          </w:p>
        </w:tc>
        <w:tc>
          <w:tcPr>
            <w:tcW w:w="1276" w:type="dxa"/>
            <w:vAlign w:val="center"/>
          </w:tcPr>
          <w:p w14:paraId="7E4A045C">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1074B322">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32984B6B">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1.5</w:t>
            </w:r>
          </w:p>
        </w:tc>
        <w:tc>
          <w:tcPr>
            <w:tcW w:w="1559" w:type="dxa"/>
            <w:vAlign w:val="center"/>
          </w:tcPr>
          <w:p w14:paraId="32D74EFC">
            <w:pPr>
              <w:spacing w:beforeLines="0" w:afterLines="0" w:line="240" w:lineRule="auto"/>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24B617B3">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3.015</w:t>
            </w:r>
          </w:p>
        </w:tc>
        <w:tc>
          <w:tcPr>
            <w:tcW w:w="1465" w:type="dxa"/>
            <w:vAlign w:val="center"/>
          </w:tcPr>
          <w:p w14:paraId="37F3E596">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color w:val="000000" w:themeColor="text1"/>
                <w:sz w:val="21"/>
                <w:szCs w:val="21"/>
                <w:highlight w:val="none"/>
                <w:lang w:val="en-US" w:eastAsia="zh-CN"/>
                <w14:textFill>
                  <w14:solidFill>
                    <w14:schemeClr w14:val="tx1"/>
                  </w14:solidFill>
                </w14:textFill>
              </w:rPr>
              <w:t>1.5</w:t>
            </w:r>
          </w:p>
        </w:tc>
      </w:tr>
      <w:tr w14:paraId="5C7A5F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22DB004D">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5BD5C854">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废金属边角料</w:t>
            </w:r>
          </w:p>
        </w:tc>
        <w:tc>
          <w:tcPr>
            <w:tcW w:w="1455" w:type="dxa"/>
            <w:vAlign w:val="center"/>
          </w:tcPr>
          <w:p w14:paraId="4D2EEF50">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6.16</w:t>
            </w:r>
          </w:p>
        </w:tc>
        <w:tc>
          <w:tcPr>
            <w:tcW w:w="1276" w:type="dxa"/>
            <w:vAlign w:val="center"/>
          </w:tcPr>
          <w:p w14:paraId="453B736C">
            <w:pPr>
              <w:spacing w:beforeLines="0" w:afterLines="0" w:line="240" w:lineRule="auto"/>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6B73FFB7">
            <w:pPr>
              <w:spacing w:beforeLines="0" w:afterLines="0" w:line="240" w:lineRule="auto"/>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14CF8724">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3</w:t>
            </w:r>
          </w:p>
        </w:tc>
        <w:tc>
          <w:tcPr>
            <w:tcW w:w="1559" w:type="dxa"/>
            <w:vAlign w:val="center"/>
          </w:tcPr>
          <w:p w14:paraId="5DAF8D0C">
            <w:pPr>
              <w:spacing w:beforeLines="0" w:afterLines="0" w:line="240" w:lineRule="auto"/>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6C3031C7">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9.16</w:t>
            </w:r>
          </w:p>
        </w:tc>
        <w:tc>
          <w:tcPr>
            <w:tcW w:w="1465" w:type="dxa"/>
            <w:vAlign w:val="center"/>
          </w:tcPr>
          <w:p w14:paraId="5404221E">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color w:val="000000" w:themeColor="text1"/>
                <w:sz w:val="21"/>
                <w:szCs w:val="21"/>
                <w:highlight w:val="none"/>
                <w:lang w:val="en-US" w:eastAsia="zh-CN"/>
                <w14:textFill>
                  <w14:solidFill>
                    <w14:schemeClr w14:val="tx1"/>
                  </w14:solidFill>
                </w14:textFill>
              </w:rPr>
              <w:t>3</w:t>
            </w:r>
          </w:p>
        </w:tc>
      </w:tr>
      <w:tr w14:paraId="6E8CCA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3C8B3686">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1AFD440B">
            <w:pPr>
              <w:jc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不合格高压连接器</w:t>
            </w:r>
          </w:p>
        </w:tc>
        <w:tc>
          <w:tcPr>
            <w:tcW w:w="1455" w:type="dxa"/>
            <w:vAlign w:val="center"/>
          </w:tcPr>
          <w:p w14:paraId="47689A66">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3.03</w:t>
            </w:r>
          </w:p>
        </w:tc>
        <w:tc>
          <w:tcPr>
            <w:tcW w:w="1276" w:type="dxa"/>
            <w:vAlign w:val="center"/>
          </w:tcPr>
          <w:p w14:paraId="2B1E04F5">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3A243A49">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77E3A298">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3</w:t>
            </w:r>
          </w:p>
        </w:tc>
        <w:tc>
          <w:tcPr>
            <w:tcW w:w="1559" w:type="dxa"/>
            <w:vAlign w:val="center"/>
          </w:tcPr>
          <w:p w14:paraId="456D5585">
            <w:pPr>
              <w:spacing w:beforeLines="0" w:afterLines="0" w:line="240" w:lineRule="auto"/>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2DE895E5">
            <w:pPr>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6.03</w:t>
            </w:r>
          </w:p>
        </w:tc>
        <w:tc>
          <w:tcPr>
            <w:tcW w:w="1465" w:type="dxa"/>
            <w:vAlign w:val="center"/>
          </w:tcPr>
          <w:p w14:paraId="33067BB2">
            <w:pPr>
              <w:jc w:val="center"/>
              <w:textAlignment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color w:val="000000" w:themeColor="text1"/>
                <w:sz w:val="21"/>
                <w:szCs w:val="21"/>
                <w:highlight w:val="none"/>
                <w:lang w:val="en-US" w:eastAsia="zh-CN"/>
                <w14:textFill>
                  <w14:solidFill>
                    <w14:schemeClr w14:val="tx1"/>
                  </w14:solidFill>
                </w14:textFill>
              </w:rPr>
              <w:t>3</w:t>
            </w:r>
          </w:p>
        </w:tc>
      </w:tr>
      <w:tr w14:paraId="174B97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5C18DB38">
            <w:pPr>
              <w:pStyle w:val="42"/>
              <w:spacing w:beforeLines="0" w:afterLines="0"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058CFDB0">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沉淀池污泥</w:t>
            </w:r>
          </w:p>
        </w:tc>
        <w:tc>
          <w:tcPr>
            <w:tcW w:w="1455" w:type="dxa"/>
            <w:vAlign w:val="center"/>
          </w:tcPr>
          <w:p w14:paraId="268799F1">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0.48</w:t>
            </w:r>
          </w:p>
        </w:tc>
        <w:tc>
          <w:tcPr>
            <w:tcW w:w="1276" w:type="dxa"/>
            <w:vAlign w:val="center"/>
          </w:tcPr>
          <w:p w14:paraId="31E25368">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6A33DE30">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65892DF4">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w:t>
            </w:r>
            <w:r>
              <w:rPr>
                <w:rFonts w:hint="eastAsia"/>
                <w:lang w:val="en-US" w:eastAsia="zh-CN"/>
              </w:rPr>
              <w:t>.0312</w:t>
            </w:r>
          </w:p>
        </w:tc>
        <w:tc>
          <w:tcPr>
            <w:tcW w:w="1559" w:type="dxa"/>
            <w:vAlign w:val="center"/>
          </w:tcPr>
          <w:p w14:paraId="7A5BEC58">
            <w:pPr>
              <w:spacing w:beforeLines="0" w:afterLines="0" w:line="240" w:lineRule="auto"/>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1192881B">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0.5112</w:t>
            </w:r>
          </w:p>
        </w:tc>
        <w:tc>
          <w:tcPr>
            <w:tcW w:w="1465" w:type="dxa"/>
            <w:vAlign w:val="center"/>
          </w:tcPr>
          <w:p w14:paraId="0AA7F139">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+0.0312</w:t>
            </w:r>
          </w:p>
        </w:tc>
      </w:tr>
      <w:tr w14:paraId="2A66B2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restart"/>
            <w:vAlign w:val="center"/>
          </w:tcPr>
          <w:p w14:paraId="34CBF087">
            <w:pPr>
              <w:pStyle w:val="42"/>
              <w:spacing w:before="24" w:after="24"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ascii="Times New Roman" w:hAnsi="Times New Roman" w:eastAsia="宋体"/>
                <w:caps w:val="0"/>
                <w:snapToGrid w:val="0"/>
                <w:color w:val="000000" w:themeColor="text1"/>
                <w:kern w:val="21"/>
                <w:sz w:val="21"/>
                <w:szCs w:val="21"/>
                <w:highlight w:val="none"/>
                <w14:textFill>
                  <w14:solidFill>
                    <w14:schemeClr w14:val="tx1"/>
                  </w14:solidFill>
                </w14:textFill>
              </w:rPr>
              <w:t>危险废物</w:t>
            </w:r>
          </w:p>
        </w:tc>
        <w:tc>
          <w:tcPr>
            <w:tcW w:w="1843" w:type="dxa"/>
            <w:vAlign w:val="center"/>
          </w:tcPr>
          <w:p w14:paraId="7B8DB3A8">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废润滑油</w:t>
            </w:r>
          </w:p>
        </w:tc>
        <w:tc>
          <w:tcPr>
            <w:tcW w:w="1455" w:type="dxa"/>
            <w:vAlign w:val="center"/>
          </w:tcPr>
          <w:p w14:paraId="1D048188">
            <w:pPr>
              <w:jc w:val="center"/>
              <w:textAlignment w:val="center"/>
              <w:rPr>
                <w:rFonts w:hint="default" w:ascii="Times New Roman" w:hAnsi="Times New Roman" w:eastAsia="宋体"/>
                <w:caps w:val="0"/>
                <w:snapToGrid w:val="0"/>
                <w:color w:val="000000" w:themeColor="text1"/>
                <w:kern w:val="21"/>
                <w:sz w:val="21"/>
                <w:szCs w:val="21"/>
                <w:highlight w:val="none"/>
                <w:lang w:val="en-US"/>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0.96</w:t>
            </w:r>
          </w:p>
        </w:tc>
        <w:tc>
          <w:tcPr>
            <w:tcW w:w="1276" w:type="dxa"/>
            <w:vAlign w:val="center"/>
          </w:tcPr>
          <w:p w14:paraId="7DA2EA99">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68E10F6A">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64100625">
            <w:pPr>
              <w:jc w:val="center"/>
              <w:textAlignment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0.45</w:t>
            </w:r>
          </w:p>
        </w:tc>
        <w:tc>
          <w:tcPr>
            <w:tcW w:w="1559" w:type="dxa"/>
            <w:vAlign w:val="center"/>
          </w:tcPr>
          <w:p w14:paraId="22ED189E">
            <w:pPr>
              <w:spacing w:beforeLines="0" w:afterLines="0" w:line="240" w:lineRule="auto"/>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1823C34C">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1.41</w:t>
            </w:r>
          </w:p>
        </w:tc>
        <w:tc>
          <w:tcPr>
            <w:tcW w:w="1465" w:type="dxa"/>
            <w:vAlign w:val="center"/>
          </w:tcPr>
          <w:p w14:paraId="3931B66C">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snapToGrid w:val="0"/>
                <w:color w:val="000000" w:themeColor="text1"/>
                <w:kern w:val="21"/>
                <w:sz w:val="21"/>
                <w:szCs w:val="21"/>
                <w:highlight w:val="none"/>
                <w:lang w:val="en-US" w:eastAsia="zh-CN"/>
                <w14:textFill>
                  <w14:solidFill>
                    <w14:schemeClr w14:val="tx1"/>
                  </w14:solidFill>
                </w14:textFill>
              </w:rPr>
              <w:t>0.45</w:t>
            </w:r>
          </w:p>
        </w:tc>
      </w:tr>
      <w:tr w14:paraId="14A767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3B965113">
            <w:pPr>
              <w:pStyle w:val="42"/>
              <w:spacing w:before="24" w:after="24"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27FBFA3A">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含切削液的废金属屑</w:t>
            </w:r>
          </w:p>
        </w:tc>
        <w:tc>
          <w:tcPr>
            <w:tcW w:w="1455" w:type="dxa"/>
            <w:vAlign w:val="center"/>
          </w:tcPr>
          <w:p w14:paraId="347CD7CF">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w:t>
            </w:r>
          </w:p>
        </w:tc>
        <w:tc>
          <w:tcPr>
            <w:tcW w:w="1276" w:type="dxa"/>
            <w:vAlign w:val="center"/>
          </w:tcPr>
          <w:p w14:paraId="7D8A54B7">
            <w:pPr>
              <w:spacing w:beforeLines="0" w:afterLines="0" w:line="240" w:lineRule="auto"/>
              <w:jc w:val="center"/>
              <w:rPr>
                <w:rFonts w:hint="eastAsia"/>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60325756">
            <w:pPr>
              <w:spacing w:beforeLines="0" w:afterLines="0" w:line="240" w:lineRule="auto"/>
              <w:jc w:val="center"/>
              <w:rPr>
                <w:rFonts w:hint="eastAsia"/>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11678281">
            <w:pPr>
              <w:jc w:val="center"/>
              <w:textAlignment w:val="center"/>
              <w:rPr>
                <w:rFonts w:hint="default"/>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0.1</w:t>
            </w:r>
          </w:p>
        </w:tc>
        <w:tc>
          <w:tcPr>
            <w:tcW w:w="1559" w:type="dxa"/>
            <w:shd w:val="clear"/>
            <w:vAlign w:val="center"/>
          </w:tcPr>
          <w:p w14:paraId="0887C555">
            <w:pPr>
              <w:spacing w:beforeLines="0" w:afterLines="0" w:line="240" w:lineRule="auto"/>
              <w:jc w:val="center"/>
              <w:rPr>
                <w:rFonts w:hint="eastAsia"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shd w:val="clear"/>
            <w:vAlign w:val="center"/>
          </w:tcPr>
          <w:p w14:paraId="229D7348">
            <w:pPr>
              <w:spacing w:beforeLines="0" w:afterLines="0" w:line="240" w:lineRule="auto"/>
              <w:jc w:val="center"/>
              <w:rPr>
                <w:rFonts w:hint="default" w:ascii="Times New Roman" w:hAnsi="Times New Roman" w:eastAsia="宋体" w:cs="Times New Roman"/>
                <w:caps w:val="0"/>
                <w:snapToGrid w:val="0"/>
                <w:color w:val="000000" w:themeColor="text1"/>
                <w:kern w:val="21"/>
                <w:sz w:val="21"/>
                <w:szCs w:val="21"/>
                <w:highlight w:val="none"/>
                <w:lang w:val="en-US" w:eastAsia="zh-CN" w:bidi="ar-SA"/>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0.1</w:t>
            </w:r>
          </w:p>
        </w:tc>
        <w:tc>
          <w:tcPr>
            <w:tcW w:w="1465" w:type="dxa"/>
            <w:vAlign w:val="center"/>
          </w:tcPr>
          <w:p w14:paraId="5337388C">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+0.1</w:t>
            </w:r>
          </w:p>
        </w:tc>
      </w:tr>
      <w:tr w14:paraId="21206D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4CAC99FA">
            <w:pPr>
              <w:pStyle w:val="42"/>
              <w:spacing w:before="24" w:after="24"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6FF73DF3">
            <w:pPr>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废切削液</w:t>
            </w:r>
          </w:p>
        </w:tc>
        <w:tc>
          <w:tcPr>
            <w:tcW w:w="1455" w:type="dxa"/>
            <w:vAlign w:val="center"/>
          </w:tcPr>
          <w:p w14:paraId="3C0EAB27">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0.225</w:t>
            </w:r>
          </w:p>
        </w:tc>
        <w:tc>
          <w:tcPr>
            <w:tcW w:w="1276" w:type="dxa"/>
            <w:vAlign w:val="center"/>
          </w:tcPr>
          <w:p w14:paraId="35D6E5C1">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2D3585D9">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5706E8A4">
            <w:pPr>
              <w:jc w:val="center"/>
              <w:textAlignment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0.042</w:t>
            </w:r>
          </w:p>
        </w:tc>
        <w:tc>
          <w:tcPr>
            <w:tcW w:w="1559" w:type="dxa"/>
            <w:vAlign w:val="center"/>
          </w:tcPr>
          <w:p w14:paraId="0F0EDA23">
            <w:pPr>
              <w:spacing w:beforeLines="0" w:afterLines="0" w:line="240" w:lineRule="auto"/>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151F8B4C">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0.267</w:t>
            </w:r>
          </w:p>
        </w:tc>
        <w:tc>
          <w:tcPr>
            <w:tcW w:w="1465" w:type="dxa"/>
            <w:vAlign w:val="center"/>
          </w:tcPr>
          <w:p w14:paraId="33CC2643">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snapToGrid w:val="0"/>
                <w:color w:val="000000" w:themeColor="text1"/>
                <w:kern w:val="21"/>
                <w:sz w:val="21"/>
                <w:szCs w:val="21"/>
                <w:highlight w:val="none"/>
                <w:lang w:val="en-US" w:eastAsia="zh-CN"/>
                <w14:textFill>
                  <w14:solidFill>
                    <w14:schemeClr w14:val="tx1"/>
                  </w14:solidFill>
                </w14:textFill>
              </w:rPr>
              <w:t>0.042</w:t>
            </w:r>
          </w:p>
        </w:tc>
      </w:tr>
      <w:tr w14:paraId="2AB906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5E276930">
            <w:pPr>
              <w:pStyle w:val="42"/>
              <w:spacing w:before="24" w:after="24"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1C661AA1">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废包装桶</w:t>
            </w:r>
          </w:p>
        </w:tc>
        <w:tc>
          <w:tcPr>
            <w:tcW w:w="1455" w:type="dxa"/>
            <w:vAlign w:val="center"/>
          </w:tcPr>
          <w:p w14:paraId="551EA2CD">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0.62</w:t>
            </w:r>
          </w:p>
        </w:tc>
        <w:tc>
          <w:tcPr>
            <w:tcW w:w="1276" w:type="dxa"/>
            <w:vAlign w:val="center"/>
          </w:tcPr>
          <w:p w14:paraId="27F0A5B0">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35A228A7">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33322BAE">
            <w:pPr>
              <w:jc w:val="center"/>
              <w:textAlignment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0.001</w:t>
            </w:r>
          </w:p>
        </w:tc>
        <w:tc>
          <w:tcPr>
            <w:tcW w:w="1559" w:type="dxa"/>
            <w:vAlign w:val="center"/>
          </w:tcPr>
          <w:p w14:paraId="7A445130">
            <w:pPr>
              <w:spacing w:beforeLines="0" w:afterLines="0" w:line="240" w:lineRule="auto"/>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07E9C29A">
            <w:pPr>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0.621</w:t>
            </w:r>
          </w:p>
        </w:tc>
        <w:tc>
          <w:tcPr>
            <w:tcW w:w="1465" w:type="dxa"/>
            <w:vAlign w:val="center"/>
          </w:tcPr>
          <w:p w14:paraId="451A42A3">
            <w:pPr>
              <w:jc w:val="center"/>
              <w:textAlignment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snapToGrid w:val="0"/>
                <w:color w:val="000000" w:themeColor="text1"/>
                <w:kern w:val="21"/>
                <w:sz w:val="21"/>
                <w:szCs w:val="21"/>
                <w:highlight w:val="none"/>
                <w:lang w:val="en-US" w:eastAsia="zh-CN"/>
                <w14:textFill>
                  <w14:solidFill>
                    <w14:schemeClr w14:val="tx1"/>
                  </w14:solidFill>
                </w14:textFill>
              </w:rPr>
              <w:t>0.001</w:t>
            </w:r>
          </w:p>
        </w:tc>
      </w:tr>
      <w:tr w14:paraId="7FC6FE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7235EDF3">
            <w:pPr>
              <w:pStyle w:val="42"/>
              <w:spacing w:before="24" w:after="24"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3D673C60">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废活性炭</w:t>
            </w:r>
          </w:p>
        </w:tc>
        <w:tc>
          <w:tcPr>
            <w:tcW w:w="1455" w:type="dxa"/>
            <w:vAlign w:val="center"/>
          </w:tcPr>
          <w:p w14:paraId="6DFC5C83">
            <w:pPr>
              <w:jc w:val="center"/>
              <w:textAlignment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15.522</w:t>
            </w:r>
          </w:p>
        </w:tc>
        <w:tc>
          <w:tcPr>
            <w:tcW w:w="1276" w:type="dxa"/>
            <w:vAlign w:val="center"/>
          </w:tcPr>
          <w:p w14:paraId="50923466">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71C86F3B">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1682F1E6">
            <w:pPr>
              <w:jc w:val="center"/>
              <w:textAlignment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1.053</w:t>
            </w:r>
          </w:p>
        </w:tc>
        <w:tc>
          <w:tcPr>
            <w:tcW w:w="1559" w:type="dxa"/>
            <w:vAlign w:val="center"/>
          </w:tcPr>
          <w:p w14:paraId="4F18B273">
            <w:pPr>
              <w:spacing w:beforeLines="0" w:afterLines="0" w:line="240" w:lineRule="auto"/>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17B54858">
            <w:pPr>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16.575</w:t>
            </w:r>
          </w:p>
        </w:tc>
        <w:tc>
          <w:tcPr>
            <w:tcW w:w="1465" w:type="dxa"/>
            <w:vAlign w:val="center"/>
          </w:tcPr>
          <w:p w14:paraId="19FBF4EB">
            <w:pPr>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snapToGrid w:val="0"/>
                <w:color w:val="000000" w:themeColor="text1"/>
                <w:kern w:val="21"/>
                <w:sz w:val="21"/>
                <w:szCs w:val="21"/>
                <w:highlight w:val="none"/>
                <w:lang w:val="en-US" w:eastAsia="zh-CN"/>
                <w14:textFill>
                  <w14:solidFill>
                    <w14:schemeClr w14:val="tx1"/>
                  </w14:solidFill>
                </w14:textFill>
              </w:rPr>
              <w:t>1.053</w:t>
            </w:r>
          </w:p>
        </w:tc>
      </w:tr>
      <w:tr w14:paraId="0B4BA6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Merge w:val="continue"/>
            <w:vAlign w:val="center"/>
          </w:tcPr>
          <w:p w14:paraId="5B67E4EF">
            <w:pPr>
              <w:pStyle w:val="42"/>
              <w:spacing w:before="24" w:after="24" w:line="240" w:lineRule="auto"/>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p>
        </w:tc>
        <w:tc>
          <w:tcPr>
            <w:tcW w:w="1843" w:type="dxa"/>
            <w:vAlign w:val="center"/>
          </w:tcPr>
          <w:p w14:paraId="6BE8202A">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废润滑油桶</w:t>
            </w:r>
          </w:p>
        </w:tc>
        <w:tc>
          <w:tcPr>
            <w:tcW w:w="1455" w:type="dxa"/>
            <w:vAlign w:val="center"/>
          </w:tcPr>
          <w:p w14:paraId="2BA60998">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w:t>
            </w:r>
          </w:p>
        </w:tc>
        <w:tc>
          <w:tcPr>
            <w:tcW w:w="1276" w:type="dxa"/>
            <w:vAlign w:val="center"/>
          </w:tcPr>
          <w:p w14:paraId="24011AB9">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32FB4618">
            <w:pPr>
              <w:spacing w:beforeLines="0" w:afterLines="0" w:line="240" w:lineRule="auto"/>
              <w:jc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31497971">
            <w:pPr>
              <w:jc w:val="center"/>
              <w:textAlignment w:val="center"/>
              <w:rPr>
                <w:rFonts w:hint="default"/>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0.32</w:t>
            </w:r>
          </w:p>
        </w:tc>
        <w:tc>
          <w:tcPr>
            <w:tcW w:w="1559" w:type="dxa"/>
            <w:vAlign w:val="center"/>
          </w:tcPr>
          <w:p w14:paraId="4A3E9D97">
            <w:pPr>
              <w:spacing w:beforeLines="0" w:afterLines="0" w:line="240" w:lineRule="auto"/>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443C7E2C">
            <w:pPr>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0.32</w:t>
            </w:r>
          </w:p>
        </w:tc>
        <w:tc>
          <w:tcPr>
            <w:tcW w:w="1465" w:type="dxa"/>
            <w:vAlign w:val="center"/>
          </w:tcPr>
          <w:p w14:paraId="20BD2C30">
            <w:pPr>
              <w:jc w:val="center"/>
              <w:textAlignment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snapToGrid w:val="0"/>
                <w:color w:val="000000" w:themeColor="text1"/>
                <w:kern w:val="21"/>
                <w:sz w:val="21"/>
                <w:szCs w:val="21"/>
                <w:highlight w:val="none"/>
                <w:lang w:val="en-US" w:eastAsia="zh-CN"/>
                <w14:textFill>
                  <w14:solidFill>
                    <w14:schemeClr w14:val="tx1"/>
                  </w14:solidFill>
                </w14:textFill>
              </w:rPr>
              <w:t>0.32</w:t>
            </w:r>
          </w:p>
        </w:tc>
      </w:tr>
      <w:tr w14:paraId="3DA931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08" w:type="dxa"/>
            <w:vAlign w:val="center"/>
          </w:tcPr>
          <w:p w14:paraId="05D999F3">
            <w:pPr>
              <w:pStyle w:val="42"/>
              <w:spacing w:before="24" w:after="24" w:line="240" w:lineRule="auto"/>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ascii="Times New Roman"/>
                <w:caps w:val="0"/>
                <w:snapToGrid w:val="0"/>
                <w:color w:val="000000" w:themeColor="text1"/>
                <w:kern w:val="21"/>
                <w:sz w:val="21"/>
                <w:szCs w:val="21"/>
                <w:highlight w:val="none"/>
                <w:lang w:val="en-US" w:eastAsia="zh-CN"/>
                <w14:textFill>
                  <w14:solidFill>
                    <w14:schemeClr w14:val="tx1"/>
                  </w14:solidFill>
                </w14:textFill>
              </w:rPr>
              <w:t>生活垃圾</w:t>
            </w:r>
          </w:p>
        </w:tc>
        <w:tc>
          <w:tcPr>
            <w:tcW w:w="1843" w:type="dxa"/>
            <w:vAlign w:val="center"/>
          </w:tcPr>
          <w:p w14:paraId="0470D5C6">
            <w:pPr>
              <w:jc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生活垃圾</w:t>
            </w:r>
          </w:p>
        </w:tc>
        <w:tc>
          <w:tcPr>
            <w:tcW w:w="1455" w:type="dxa"/>
            <w:vAlign w:val="center"/>
          </w:tcPr>
          <w:p w14:paraId="0DDC79C8">
            <w:pPr>
              <w:jc w:val="center"/>
              <w:textAlignment w:val="center"/>
              <w:rPr>
                <w:rFonts w:hint="default"/>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45</w:t>
            </w:r>
          </w:p>
        </w:tc>
        <w:tc>
          <w:tcPr>
            <w:tcW w:w="1276" w:type="dxa"/>
            <w:vAlign w:val="center"/>
          </w:tcPr>
          <w:p w14:paraId="4BED4801">
            <w:pPr>
              <w:spacing w:beforeLines="0" w:afterLines="0" w:line="240" w:lineRule="auto"/>
              <w:jc w:val="center"/>
              <w:rPr>
                <w:rFonts w:ascii="Times New Roman" w:hAnsi="Times New Roman" w:eastAsia="宋体"/>
                <w:caps w:val="0"/>
                <w:snapToGrid w:val="0"/>
                <w:color w:val="000000" w:themeColor="text1"/>
                <w:kern w:val="21"/>
                <w:sz w:val="21"/>
                <w:szCs w:val="21"/>
                <w:highlight w:val="none"/>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701" w:type="dxa"/>
            <w:vAlign w:val="center"/>
          </w:tcPr>
          <w:p w14:paraId="0DC5C941">
            <w:pPr>
              <w:spacing w:beforeLines="0" w:afterLines="0" w:line="240" w:lineRule="auto"/>
              <w:jc w:val="center"/>
              <w:rPr>
                <w:rFonts w:hint="eastAsia"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59" w:type="dxa"/>
            <w:vAlign w:val="center"/>
          </w:tcPr>
          <w:p w14:paraId="028825B4">
            <w:pPr>
              <w:jc w:val="center"/>
              <w:textAlignment w:val="center"/>
              <w:rPr>
                <w:rFonts w:hint="default" w:ascii="Times New Roman" w:hAnsi="Times New Roman" w:eastAsia="宋体"/>
                <w:caps w:val="0"/>
                <w:snapToGrid w:val="0"/>
                <w:color w:val="000000" w:themeColor="text1"/>
                <w:kern w:val="2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22.5</w:t>
            </w:r>
          </w:p>
        </w:tc>
        <w:tc>
          <w:tcPr>
            <w:tcW w:w="1559" w:type="dxa"/>
            <w:vAlign w:val="center"/>
          </w:tcPr>
          <w:p w14:paraId="6C23D366">
            <w:pPr>
              <w:spacing w:beforeLines="0" w:afterLines="0" w:line="240" w:lineRule="auto"/>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caps w:val="0"/>
                <w:snapToGrid w:val="0"/>
                <w:color w:val="000000" w:themeColor="text1"/>
                <w:kern w:val="21"/>
                <w:sz w:val="21"/>
                <w:szCs w:val="21"/>
                <w:highlight w:val="none"/>
                <w:lang w:val="en-US" w:eastAsia="zh-CN"/>
                <w14:textFill>
                  <w14:solidFill>
                    <w14:schemeClr w14:val="tx1"/>
                  </w14:solidFill>
                </w14:textFill>
              </w:rPr>
              <w:t>/</w:t>
            </w:r>
          </w:p>
        </w:tc>
        <w:tc>
          <w:tcPr>
            <w:tcW w:w="1522" w:type="dxa"/>
            <w:vAlign w:val="center"/>
          </w:tcPr>
          <w:p w14:paraId="36E5225F">
            <w:pPr>
              <w:jc w:val="center"/>
              <w:textAlignment w:val="center"/>
              <w:rPr>
                <w:rFonts w:hint="eastAsia"/>
                <w:caps w:val="0"/>
                <w:color w:val="000000" w:themeColor="text1"/>
                <w:sz w:val="21"/>
                <w:szCs w:val="21"/>
                <w:highlight w:val="none"/>
                <w:lang w:val="en-US" w:eastAsia="zh-CN"/>
                <w14:textFill>
                  <w14:solidFill>
                    <w14:schemeClr w14:val="tx1"/>
                  </w14:solidFill>
                </w14:textFill>
              </w:rPr>
            </w:pPr>
            <w:r>
              <w:rPr>
                <w:rFonts w:hint="eastAsia"/>
                <w:caps w:val="0"/>
                <w:color w:val="000000" w:themeColor="text1"/>
                <w:sz w:val="21"/>
                <w:szCs w:val="21"/>
                <w:highlight w:val="none"/>
                <w:lang w:val="en-US" w:eastAsia="zh-CN"/>
                <w14:textFill>
                  <w14:solidFill>
                    <w14:schemeClr w14:val="tx1"/>
                  </w14:solidFill>
                </w14:textFill>
              </w:rPr>
              <w:t>67.5</w:t>
            </w:r>
          </w:p>
        </w:tc>
        <w:tc>
          <w:tcPr>
            <w:tcW w:w="1465" w:type="dxa"/>
            <w:vAlign w:val="center"/>
          </w:tcPr>
          <w:p w14:paraId="667374BD">
            <w:pPr>
              <w:jc w:val="center"/>
              <w:textAlignment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r>
              <w:rPr>
                <w:rFonts w:hint="eastAsia"/>
                <w:caps w:val="0"/>
                <w:snapToGrid w:val="0"/>
                <w:color w:val="000000" w:themeColor="text1"/>
                <w:kern w:val="21"/>
                <w:sz w:val="21"/>
                <w:szCs w:val="21"/>
                <w:highlight w:val="none"/>
                <w:lang w:val="en-US" w:eastAsia="zh-CN"/>
                <w14:textFill>
                  <w14:solidFill>
                    <w14:schemeClr w14:val="tx1"/>
                  </w14:solidFill>
                </w14:textFill>
              </w:rPr>
              <w:t>22.5</w:t>
            </w:r>
          </w:p>
        </w:tc>
      </w:tr>
    </w:tbl>
    <w:p w14:paraId="698A45BD">
      <w:pPr>
        <w:pStyle w:val="42"/>
        <w:spacing w:beforeLines="0" w:afterLines="0" w:line="240" w:lineRule="auto"/>
        <w:jc w:val="left"/>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snapToGrid w:val="0"/>
          <w:color w:val="000000" w:themeColor="text1"/>
          <w:kern w:val="21"/>
          <w:szCs w:val="21"/>
          <w:highlight w:val="none"/>
          <w14:textFill>
            <w14:solidFill>
              <w14:schemeClr w14:val="tx1"/>
            </w14:solidFill>
          </w14:textFill>
        </w:rPr>
        <w:t>注：</w:t>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instrText xml:space="preserve"> = 6 \* GB3 \* MERGEFORMAT </w:instrText>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fldChar w:fldCharType="separate"/>
      </w:r>
      <w:r>
        <w:rPr>
          <w:rFonts w:hint="eastAsia" w:ascii="Times New Roman" w:hAnsi="Times New Roman" w:eastAsia="宋体"/>
          <w:caps w:val="0"/>
          <w:color w:val="000000" w:themeColor="text1"/>
          <w:szCs w:val="21"/>
          <w:highlight w:val="none"/>
          <w14:textFill>
            <w14:solidFill>
              <w14:schemeClr w14:val="tx1"/>
            </w14:solidFill>
          </w14:textFill>
        </w:rPr>
        <w:t>⑥</w:t>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fldChar w:fldCharType="end"/>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t>=</w: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instrText xml:space="preserve"> = 1 \* GB3 \* MERGEFORMAT </w:instrTex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separate"/>
      </w:r>
      <w:r>
        <w:rPr>
          <w:rFonts w:hint="eastAsia" w:ascii="Times New Roman" w:hAnsi="Times New Roman" w:eastAsia="宋体"/>
          <w:caps w:val="0"/>
          <w:color w:val="000000" w:themeColor="text1"/>
          <w:szCs w:val="21"/>
          <w:highlight w:val="none"/>
          <w14:textFill>
            <w14:solidFill>
              <w14:schemeClr w14:val="tx1"/>
            </w14:solidFill>
          </w14:textFill>
        </w:rPr>
        <w:t>①</w: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end"/>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t>+</w: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instrText xml:space="preserve"> = 3 \* GB3 \* MERGEFORMAT </w:instrTex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separate"/>
      </w:r>
      <w:r>
        <w:rPr>
          <w:rFonts w:hint="eastAsia" w:ascii="Times New Roman" w:hAnsi="Times New Roman" w:eastAsia="宋体"/>
          <w:caps w:val="0"/>
          <w:color w:val="000000" w:themeColor="text1"/>
          <w:szCs w:val="21"/>
          <w:highlight w:val="none"/>
          <w14:textFill>
            <w14:solidFill>
              <w14:schemeClr w14:val="tx1"/>
            </w14:solidFill>
          </w14:textFill>
        </w:rPr>
        <w:t>③</w: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end"/>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t>+</w: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instrText xml:space="preserve"> = 4 \* GB3 \* MERGEFORMAT </w:instrTex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separate"/>
      </w:r>
      <w:r>
        <w:rPr>
          <w:rFonts w:hint="eastAsia" w:ascii="Times New Roman" w:hAnsi="Times New Roman" w:eastAsia="宋体"/>
          <w:caps w:val="0"/>
          <w:color w:val="000000" w:themeColor="text1"/>
          <w:szCs w:val="21"/>
          <w:highlight w:val="none"/>
          <w14:textFill>
            <w14:solidFill>
              <w14:schemeClr w14:val="tx1"/>
            </w14:solidFill>
          </w14:textFill>
        </w:rPr>
        <w:t>④</w: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end"/>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t>-</w:t>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instrText xml:space="preserve"> = 5 \* GB3 \* MERGEFORMAT </w:instrText>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fldChar w:fldCharType="separate"/>
      </w:r>
      <w:r>
        <w:rPr>
          <w:rFonts w:hint="eastAsia" w:ascii="Times New Roman" w:hAnsi="Times New Roman" w:eastAsia="宋体"/>
          <w:caps w:val="0"/>
          <w:color w:val="000000" w:themeColor="text1"/>
          <w:szCs w:val="21"/>
          <w:highlight w:val="none"/>
          <w14:textFill>
            <w14:solidFill>
              <w14:schemeClr w14:val="tx1"/>
            </w14:solidFill>
          </w14:textFill>
        </w:rPr>
        <w:t>⑤</w:t>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fldChar w:fldCharType="end"/>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t>；</w: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instrText xml:space="preserve"> = 7 \* GB3 \* MERGEFORMAT </w:instrTex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separate"/>
      </w:r>
      <w:r>
        <w:rPr>
          <w:rFonts w:hint="eastAsia" w:ascii="Times New Roman" w:hAnsi="Times New Roman" w:eastAsia="宋体"/>
          <w:caps w:val="0"/>
          <w:color w:val="000000" w:themeColor="text1"/>
          <w:szCs w:val="21"/>
          <w:highlight w:val="none"/>
          <w14:textFill>
            <w14:solidFill>
              <w14:schemeClr w14:val="tx1"/>
            </w14:solidFill>
          </w14:textFill>
        </w:rPr>
        <w:t>⑦</w: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end"/>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t>=</w:t>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instrText xml:space="preserve"> = 6 \* GB3 \* MERGEFORMAT </w:instrText>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fldChar w:fldCharType="separate"/>
      </w:r>
      <w:r>
        <w:rPr>
          <w:rFonts w:hint="eastAsia" w:ascii="Times New Roman" w:hAnsi="Times New Roman" w:eastAsia="宋体"/>
          <w:caps w:val="0"/>
          <w:color w:val="000000" w:themeColor="text1"/>
          <w:szCs w:val="21"/>
          <w:highlight w:val="none"/>
          <w14:textFill>
            <w14:solidFill>
              <w14:schemeClr w14:val="tx1"/>
            </w14:solidFill>
          </w14:textFill>
        </w:rPr>
        <w:t>⑥</w:t>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fldChar w:fldCharType="end"/>
      </w:r>
      <w:r>
        <w:rPr>
          <w:rFonts w:ascii="Times New Roman" w:hAnsi="Times New Roman" w:eastAsia="宋体"/>
          <w:caps w:val="0"/>
          <w:snapToGrid w:val="0"/>
          <w:color w:val="000000" w:themeColor="text1"/>
          <w:spacing w:val="-16"/>
          <w:kern w:val="21"/>
          <w:szCs w:val="21"/>
          <w:highlight w:val="none"/>
          <w14:textFill>
            <w14:solidFill>
              <w14:schemeClr w14:val="tx1"/>
            </w14:solidFill>
          </w14:textFill>
        </w:rPr>
        <w:t>-</w: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begin"/>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instrText xml:space="preserve"> = 1 \* GB3 \* MERGEFORMAT </w:instrTex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separate"/>
      </w:r>
      <w:r>
        <w:rPr>
          <w:rFonts w:hint="eastAsia" w:ascii="Times New Roman" w:hAnsi="Times New Roman" w:eastAsia="宋体"/>
          <w:caps w:val="0"/>
          <w:color w:val="000000" w:themeColor="text1"/>
          <w:szCs w:val="21"/>
          <w:highlight w:val="none"/>
          <w14:textFill>
            <w14:solidFill>
              <w14:schemeClr w14:val="tx1"/>
            </w14:solidFill>
          </w14:textFill>
        </w:rPr>
        <w:t>①</w:t>
      </w:r>
      <w:r>
        <w:rPr>
          <w:rFonts w:ascii="Times New Roman" w:hAnsi="Times New Roman" w:eastAsia="宋体"/>
          <w:caps w:val="0"/>
          <w:snapToGrid w:val="0"/>
          <w:color w:val="000000" w:themeColor="text1"/>
          <w:spacing w:val="-6"/>
          <w:kern w:val="21"/>
          <w:szCs w:val="21"/>
          <w:highlight w:val="none"/>
          <w14:textFill>
            <w14:solidFill>
              <w14:schemeClr w14:val="tx1"/>
            </w14:solidFill>
          </w14:textFill>
        </w:rPr>
        <w:fldChar w:fldCharType="end"/>
      </w:r>
    </w:p>
    <w:p w14:paraId="548CB078">
      <w:pPr>
        <w:rPr>
          <w:rFonts w:ascii="Times New Roman" w:hAnsi="Times New Roman" w:eastAsia="宋体"/>
          <w:caps w:val="0"/>
          <w:color w:val="000000" w:themeColor="text1"/>
          <w:highlight w:val="none"/>
          <w14:textFill>
            <w14:solidFill>
              <w14:schemeClr w14:val="tx1"/>
            </w14:solidFill>
          </w14:textFill>
        </w:rPr>
        <w:sectPr>
          <w:footerReference r:id="rId6" w:type="default"/>
          <w:pgSz w:w="16838" w:h="11906" w:orient="landscape"/>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tbl>
      <w:tblPr>
        <w:tblStyle w:val="21"/>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14:paraId="205C3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6" w:hRule="atLeast"/>
        </w:trPr>
        <w:tc>
          <w:tcPr>
            <w:tcW w:w="9039" w:type="dxa"/>
          </w:tcPr>
          <w:p w14:paraId="099EAA01">
            <w:pPr>
              <w:rPr>
                <w:rFonts w:ascii="Times New Roman" w:hAnsi="Times New Roman" w:eastAsia="宋体"/>
                <w:caps w:val="0"/>
                <w:color w:val="000000" w:themeColor="text1"/>
                <w:sz w:val="28"/>
                <w:highlight w:val="none"/>
                <w14:textFill>
                  <w14:solidFill>
                    <w14:schemeClr w14:val="tx1"/>
                  </w14:solidFill>
                </w14:textFill>
              </w:rPr>
            </w:pPr>
            <w:r>
              <w:rPr>
                <w:rFonts w:hint="eastAsia" w:ascii="Times New Roman" w:hAnsi="Times New Roman" w:eastAsia="宋体"/>
                <w:caps w:val="0"/>
                <w:color w:val="000000" w:themeColor="text1"/>
                <w:sz w:val="28"/>
                <w:highlight w:val="none"/>
                <w14:textFill>
                  <w14:solidFill>
                    <w14:schemeClr w14:val="tx1"/>
                  </w14:solidFill>
                </w14:textFill>
              </w:rPr>
              <w:t>预审意见：</w:t>
            </w:r>
          </w:p>
          <w:p w14:paraId="7BAC0063">
            <w:pPr>
              <w:rPr>
                <w:rFonts w:ascii="Times New Roman" w:hAnsi="Times New Roman" w:eastAsia="宋体"/>
                <w:caps w:val="0"/>
                <w:color w:val="000000" w:themeColor="text1"/>
                <w:sz w:val="28"/>
                <w:highlight w:val="none"/>
                <w14:textFill>
                  <w14:solidFill>
                    <w14:schemeClr w14:val="tx1"/>
                  </w14:solidFill>
                </w14:textFill>
              </w:rPr>
            </w:pPr>
          </w:p>
          <w:p w14:paraId="0CAF0715">
            <w:pPr>
              <w:rPr>
                <w:rFonts w:ascii="Times New Roman" w:hAnsi="Times New Roman" w:eastAsia="宋体"/>
                <w:caps w:val="0"/>
                <w:color w:val="000000" w:themeColor="text1"/>
                <w:sz w:val="28"/>
                <w:highlight w:val="none"/>
                <w14:textFill>
                  <w14:solidFill>
                    <w14:schemeClr w14:val="tx1"/>
                  </w14:solidFill>
                </w14:textFill>
              </w:rPr>
            </w:pPr>
          </w:p>
          <w:p w14:paraId="0937F949">
            <w:pPr>
              <w:rPr>
                <w:rFonts w:ascii="Times New Roman" w:hAnsi="Times New Roman" w:eastAsia="宋体"/>
                <w:caps w:val="0"/>
                <w:color w:val="000000" w:themeColor="text1"/>
                <w:sz w:val="28"/>
                <w:highlight w:val="none"/>
                <w14:textFill>
                  <w14:solidFill>
                    <w14:schemeClr w14:val="tx1"/>
                  </w14:solidFill>
                </w14:textFill>
              </w:rPr>
            </w:pPr>
          </w:p>
          <w:p w14:paraId="218E6475">
            <w:pPr>
              <w:rPr>
                <w:rFonts w:ascii="Times New Roman" w:hAnsi="Times New Roman" w:eastAsia="宋体"/>
                <w:caps w:val="0"/>
                <w:color w:val="000000" w:themeColor="text1"/>
                <w:sz w:val="28"/>
                <w:highlight w:val="none"/>
                <w14:textFill>
                  <w14:solidFill>
                    <w14:schemeClr w14:val="tx1"/>
                  </w14:solidFill>
                </w14:textFill>
              </w:rPr>
            </w:pPr>
          </w:p>
          <w:p w14:paraId="3A8A1BF2">
            <w:pPr>
              <w:rPr>
                <w:rFonts w:ascii="Times New Roman" w:hAnsi="Times New Roman" w:eastAsia="宋体"/>
                <w:caps w:val="0"/>
                <w:color w:val="000000" w:themeColor="text1"/>
                <w:sz w:val="28"/>
                <w:highlight w:val="none"/>
                <w14:textFill>
                  <w14:solidFill>
                    <w14:schemeClr w14:val="tx1"/>
                  </w14:solidFill>
                </w14:textFill>
              </w:rPr>
            </w:pPr>
          </w:p>
          <w:p w14:paraId="02E43920">
            <w:pPr>
              <w:rPr>
                <w:rFonts w:ascii="Times New Roman" w:hAnsi="Times New Roman" w:eastAsia="宋体"/>
                <w:caps w:val="0"/>
                <w:color w:val="000000" w:themeColor="text1"/>
                <w:sz w:val="28"/>
                <w:highlight w:val="none"/>
                <w14:textFill>
                  <w14:solidFill>
                    <w14:schemeClr w14:val="tx1"/>
                  </w14:solidFill>
                </w14:textFill>
              </w:rPr>
            </w:pPr>
          </w:p>
          <w:p w14:paraId="731F1F57">
            <w:pPr>
              <w:rPr>
                <w:rFonts w:ascii="Times New Roman" w:hAnsi="Times New Roman" w:eastAsia="宋体"/>
                <w:caps w:val="0"/>
                <w:color w:val="000000" w:themeColor="text1"/>
                <w:sz w:val="28"/>
                <w:highlight w:val="none"/>
                <w14:textFill>
                  <w14:solidFill>
                    <w14:schemeClr w14:val="tx1"/>
                  </w14:solidFill>
                </w14:textFill>
              </w:rPr>
            </w:pPr>
          </w:p>
          <w:p w14:paraId="5A4F7DEA">
            <w:pPr>
              <w:rPr>
                <w:rFonts w:ascii="Times New Roman" w:hAnsi="Times New Roman" w:eastAsia="宋体"/>
                <w:caps w:val="0"/>
                <w:color w:val="000000" w:themeColor="text1"/>
                <w:sz w:val="28"/>
                <w:highlight w:val="none"/>
                <w14:textFill>
                  <w14:solidFill>
                    <w14:schemeClr w14:val="tx1"/>
                  </w14:solidFill>
                </w14:textFill>
              </w:rPr>
            </w:pPr>
          </w:p>
          <w:p w14:paraId="163CA488">
            <w:pPr>
              <w:rPr>
                <w:rFonts w:ascii="Times New Roman" w:hAnsi="Times New Roman" w:eastAsia="宋体"/>
                <w:caps w:val="0"/>
                <w:color w:val="000000" w:themeColor="text1"/>
                <w:sz w:val="28"/>
                <w:highlight w:val="none"/>
                <w14:textFill>
                  <w14:solidFill>
                    <w14:schemeClr w14:val="tx1"/>
                  </w14:solidFill>
                </w14:textFill>
              </w:rPr>
            </w:pPr>
          </w:p>
          <w:p w14:paraId="63553519">
            <w:pPr>
              <w:rPr>
                <w:rFonts w:ascii="Times New Roman" w:hAnsi="Times New Roman" w:eastAsia="宋体"/>
                <w:caps w:val="0"/>
                <w:color w:val="000000" w:themeColor="text1"/>
                <w:sz w:val="28"/>
                <w:highlight w:val="none"/>
                <w14:textFill>
                  <w14:solidFill>
                    <w14:schemeClr w14:val="tx1"/>
                  </w14:solidFill>
                </w14:textFill>
              </w:rPr>
            </w:pPr>
          </w:p>
          <w:p w14:paraId="3C8E8055">
            <w:pPr>
              <w:rPr>
                <w:rFonts w:ascii="Times New Roman" w:hAnsi="Times New Roman" w:eastAsia="宋体"/>
                <w:caps w:val="0"/>
                <w:color w:val="000000" w:themeColor="text1"/>
                <w:sz w:val="28"/>
                <w:highlight w:val="none"/>
                <w14:textFill>
                  <w14:solidFill>
                    <w14:schemeClr w14:val="tx1"/>
                  </w14:solidFill>
                </w14:textFill>
              </w:rPr>
            </w:pPr>
          </w:p>
          <w:p w14:paraId="67F96DB2">
            <w:pPr>
              <w:rPr>
                <w:rFonts w:ascii="Times New Roman" w:hAnsi="Times New Roman" w:eastAsia="宋体"/>
                <w:caps w:val="0"/>
                <w:color w:val="000000" w:themeColor="text1"/>
                <w:sz w:val="28"/>
                <w:highlight w:val="none"/>
                <w14:textFill>
                  <w14:solidFill>
                    <w14:schemeClr w14:val="tx1"/>
                  </w14:solidFill>
                </w14:textFill>
              </w:rPr>
            </w:pPr>
          </w:p>
          <w:p w14:paraId="4E789D70">
            <w:pPr>
              <w:rPr>
                <w:rFonts w:ascii="Times New Roman" w:hAnsi="Times New Roman" w:eastAsia="宋体"/>
                <w:caps w:val="0"/>
                <w:color w:val="000000" w:themeColor="text1"/>
                <w:sz w:val="28"/>
                <w:highlight w:val="none"/>
                <w14:textFill>
                  <w14:solidFill>
                    <w14:schemeClr w14:val="tx1"/>
                  </w14:solidFill>
                </w14:textFill>
              </w:rPr>
            </w:pPr>
          </w:p>
          <w:p w14:paraId="55FDB093">
            <w:pPr>
              <w:rPr>
                <w:rFonts w:ascii="Times New Roman" w:hAnsi="Times New Roman" w:eastAsia="宋体"/>
                <w:caps w:val="0"/>
                <w:color w:val="000000" w:themeColor="text1"/>
                <w:sz w:val="28"/>
                <w:highlight w:val="none"/>
                <w14:textFill>
                  <w14:solidFill>
                    <w14:schemeClr w14:val="tx1"/>
                  </w14:solidFill>
                </w14:textFill>
              </w:rPr>
            </w:pP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公章</w:t>
            </w:r>
          </w:p>
          <w:p w14:paraId="64C3F3C2">
            <w:pPr>
              <w:rPr>
                <w:rFonts w:ascii="Times New Roman" w:hAnsi="Times New Roman" w:eastAsia="宋体"/>
                <w:caps w:val="0"/>
                <w:color w:val="000000" w:themeColor="text1"/>
                <w:sz w:val="28"/>
                <w:highlight w:val="none"/>
                <w14:textFill>
                  <w14:solidFill>
                    <w14:schemeClr w14:val="tx1"/>
                  </w14:solidFill>
                </w14:textFill>
              </w:rPr>
            </w:pPr>
            <w:r>
              <w:rPr>
                <w:rFonts w:hint="eastAsia" w:ascii="Times New Roman" w:hAnsi="Times New Roman" w:eastAsia="宋体"/>
                <w:caps w:val="0"/>
                <w:color w:val="000000" w:themeColor="text1"/>
                <w:sz w:val="28"/>
                <w:highlight w:val="none"/>
                <w14:textFill>
                  <w14:solidFill>
                    <w14:schemeClr w14:val="tx1"/>
                  </w14:solidFill>
                </w14:textFill>
              </w:rPr>
              <w:t>经办人：</w:t>
            </w: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年</w:t>
            </w: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月</w:t>
            </w: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日</w:t>
            </w:r>
          </w:p>
        </w:tc>
      </w:tr>
      <w:tr w14:paraId="119D9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8" w:hRule="atLeast"/>
        </w:trPr>
        <w:tc>
          <w:tcPr>
            <w:tcW w:w="9039" w:type="dxa"/>
          </w:tcPr>
          <w:p w14:paraId="11F07BC1">
            <w:pPr>
              <w:rPr>
                <w:rFonts w:ascii="Times New Roman" w:hAnsi="Times New Roman" w:eastAsia="宋体"/>
                <w:caps w:val="0"/>
                <w:color w:val="000000" w:themeColor="text1"/>
                <w:sz w:val="28"/>
                <w:highlight w:val="none"/>
                <w14:textFill>
                  <w14:solidFill>
                    <w14:schemeClr w14:val="tx1"/>
                  </w14:solidFill>
                </w14:textFill>
              </w:rPr>
            </w:pPr>
            <w:r>
              <w:rPr>
                <w:rFonts w:hint="eastAsia" w:ascii="Times New Roman" w:hAnsi="Times New Roman" w:eastAsia="宋体"/>
                <w:caps w:val="0"/>
                <w:color w:val="000000" w:themeColor="text1"/>
                <w:sz w:val="28"/>
                <w:highlight w:val="none"/>
                <w14:textFill>
                  <w14:solidFill>
                    <w14:schemeClr w14:val="tx1"/>
                  </w14:solidFill>
                </w14:textFill>
              </w:rPr>
              <w:t>下一级环境保护行政主管部门审查意见：</w:t>
            </w:r>
          </w:p>
          <w:p w14:paraId="0FA866A8">
            <w:pPr>
              <w:rPr>
                <w:rFonts w:ascii="Times New Roman" w:hAnsi="Times New Roman" w:eastAsia="宋体"/>
                <w:caps w:val="0"/>
                <w:color w:val="000000" w:themeColor="text1"/>
                <w:sz w:val="28"/>
                <w:highlight w:val="none"/>
                <w14:textFill>
                  <w14:solidFill>
                    <w14:schemeClr w14:val="tx1"/>
                  </w14:solidFill>
                </w14:textFill>
              </w:rPr>
            </w:pPr>
          </w:p>
          <w:p w14:paraId="50AC7F56">
            <w:pPr>
              <w:rPr>
                <w:rFonts w:ascii="Times New Roman" w:hAnsi="Times New Roman" w:eastAsia="宋体"/>
                <w:caps w:val="0"/>
                <w:color w:val="000000" w:themeColor="text1"/>
                <w:sz w:val="28"/>
                <w:highlight w:val="none"/>
                <w14:textFill>
                  <w14:solidFill>
                    <w14:schemeClr w14:val="tx1"/>
                  </w14:solidFill>
                </w14:textFill>
              </w:rPr>
            </w:pPr>
          </w:p>
          <w:p w14:paraId="35F1CABA">
            <w:pPr>
              <w:rPr>
                <w:rFonts w:ascii="Times New Roman" w:hAnsi="Times New Roman" w:eastAsia="宋体"/>
                <w:caps w:val="0"/>
                <w:color w:val="000000" w:themeColor="text1"/>
                <w:sz w:val="28"/>
                <w:highlight w:val="none"/>
                <w14:textFill>
                  <w14:solidFill>
                    <w14:schemeClr w14:val="tx1"/>
                  </w14:solidFill>
                </w14:textFill>
              </w:rPr>
            </w:pPr>
          </w:p>
          <w:p w14:paraId="338DCE2A">
            <w:pPr>
              <w:rPr>
                <w:rFonts w:ascii="Times New Roman" w:hAnsi="Times New Roman" w:eastAsia="宋体"/>
                <w:caps w:val="0"/>
                <w:color w:val="000000" w:themeColor="text1"/>
                <w:sz w:val="28"/>
                <w:highlight w:val="none"/>
                <w14:textFill>
                  <w14:solidFill>
                    <w14:schemeClr w14:val="tx1"/>
                  </w14:solidFill>
                </w14:textFill>
              </w:rPr>
            </w:pPr>
          </w:p>
          <w:p w14:paraId="4E994C44">
            <w:pPr>
              <w:rPr>
                <w:rFonts w:ascii="Times New Roman" w:hAnsi="Times New Roman" w:eastAsia="宋体"/>
                <w:caps w:val="0"/>
                <w:color w:val="000000" w:themeColor="text1"/>
                <w:sz w:val="28"/>
                <w:highlight w:val="none"/>
                <w14:textFill>
                  <w14:solidFill>
                    <w14:schemeClr w14:val="tx1"/>
                  </w14:solidFill>
                </w14:textFill>
              </w:rPr>
            </w:pPr>
          </w:p>
          <w:p w14:paraId="37423D02">
            <w:pPr>
              <w:rPr>
                <w:rFonts w:ascii="Times New Roman" w:hAnsi="Times New Roman" w:eastAsia="宋体"/>
                <w:caps w:val="0"/>
                <w:color w:val="000000" w:themeColor="text1"/>
                <w:sz w:val="28"/>
                <w:highlight w:val="none"/>
                <w14:textFill>
                  <w14:solidFill>
                    <w14:schemeClr w14:val="tx1"/>
                  </w14:solidFill>
                </w14:textFill>
              </w:rPr>
            </w:pPr>
          </w:p>
          <w:p w14:paraId="662A5E0E">
            <w:pPr>
              <w:rPr>
                <w:rFonts w:ascii="Times New Roman" w:hAnsi="Times New Roman" w:eastAsia="宋体"/>
                <w:caps w:val="0"/>
                <w:color w:val="000000" w:themeColor="text1"/>
                <w:sz w:val="28"/>
                <w:highlight w:val="none"/>
                <w14:textFill>
                  <w14:solidFill>
                    <w14:schemeClr w14:val="tx1"/>
                  </w14:solidFill>
                </w14:textFill>
              </w:rPr>
            </w:pPr>
          </w:p>
          <w:p w14:paraId="205492B1">
            <w:pPr>
              <w:rPr>
                <w:rFonts w:ascii="Times New Roman" w:hAnsi="Times New Roman" w:eastAsia="宋体"/>
                <w:caps w:val="0"/>
                <w:color w:val="000000" w:themeColor="text1"/>
                <w:sz w:val="28"/>
                <w:highlight w:val="none"/>
                <w14:textFill>
                  <w14:solidFill>
                    <w14:schemeClr w14:val="tx1"/>
                  </w14:solidFill>
                </w14:textFill>
              </w:rPr>
            </w:pPr>
          </w:p>
          <w:p w14:paraId="3DA21B1E">
            <w:pPr>
              <w:rPr>
                <w:rFonts w:ascii="Times New Roman" w:hAnsi="Times New Roman" w:eastAsia="宋体"/>
                <w:caps w:val="0"/>
                <w:color w:val="000000" w:themeColor="text1"/>
                <w:sz w:val="28"/>
                <w:highlight w:val="none"/>
                <w14:textFill>
                  <w14:solidFill>
                    <w14:schemeClr w14:val="tx1"/>
                  </w14:solidFill>
                </w14:textFill>
              </w:rPr>
            </w:pPr>
          </w:p>
          <w:p w14:paraId="6F9B6E9E">
            <w:pPr>
              <w:rPr>
                <w:rFonts w:ascii="Times New Roman" w:hAnsi="Times New Roman" w:eastAsia="宋体"/>
                <w:caps w:val="0"/>
                <w:color w:val="000000" w:themeColor="text1"/>
                <w:sz w:val="28"/>
                <w:highlight w:val="none"/>
                <w14:textFill>
                  <w14:solidFill>
                    <w14:schemeClr w14:val="tx1"/>
                  </w14:solidFill>
                </w14:textFill>
              </w:rPr>
            </w:pPr>
          </w:p>
          <w:p w14:paraId="4D9D0117">
            <w:pPr>
              <w:rPr>
                <w:rFonts w:ascii="Times New Roman" w:hAnsi="Times New Roman" w:eastAsia="宋体"/>
                <w:caps w:val="0"/>
                <w:color w:val="000000" w:themeColor="text1"/>
                <w:sz w:val="28"/>
                <w:highlight w:val="none"/>
                <w14:textFill>
                  <w14:solidFill>
                    <w14:schemeClr w14:val="tx1"/>
                  </w14:solidFill>
                </w14:textFill>
              </w:rPr>
            </w:pPr>
          </w:p>
          <w:p w14:paraId="356BFE69">
            <w:pPr>
              <w:rPr>
                <w:rFonts w:ascii="Times New Roman" w:hAnsi="Times New Roman" w:eastAsia="宋体"/>
                <w:caps w:val="0"/>
                <w:color w:val="000000" w:themeColor="text1"/>
                <w:sz w:val="28"/>
                <w:highlight w:val="none"/>
                <w14:textFill>
                  <w14:solidFill>
                    <w14:schemeClr w14:val="tx1"/>
                  </w14:solidFill>
                </w14:textFill>
              </w:rPr>
            </w:pPr>
          </w:p>
          <w:p w14:paraId="4DDBCC60">
            <w:pPr>
              <w:rPr>
                <w:rFonts w:ascii="Times New Roman" w:hAnsi="Times New Roman" w:eastAsia="宋体"/>
                <w:caps w:val="0"/>
                <w:color w:val="000000" w:themeColor="text1"/>
                <w:sz w:val="28"/>
                <w:highlight w:val="none"/>
                <w14:textFill>
                  <w14:solidFill>
                    <w14:schemeClr w14:val="tx1"/>
                  </w14:solidFill>
                </w14:textFill>
              </w:rPr>
            </w:pPr>
          </w:p>
          <w:p w14:paraId="331A8B23">
            <w:pPr>
              <w:rPr>
                <w:rFonts w:ascii="Times New Roman" w:hAnsi="Times New Roman" w:eastAsia="宋体"/>
                <w:caps w:val="0"/>
                <w:color w:val="000000" w:themeColor="text1"/>
                <w:sz w:val="28"/>
                <w:highlight w:val="none"/>
                <w14:textFill>
                  <w14:solidFill>
                    <w14:schemeClr w14:val="tx1"/>
                  </w14:solidFill>
                </w14:textFill>
              </w:rPr>
            </w:pPr>
          </w:p>
          <w:p w14:paraId="5FCCA5A4">
            <w:pPr>
              <w:rPr>
                <w:rFonts w:ascii="Times New Roman" w:hAnsi="Times New Roman" w:eastAsia="宋体"/>
                <w:caps w:val="0"/>
                <w:color w:val="000000" w:themeColor="text1"/>
                <w:sz w:val="28"/>
                <w:highlight w:val="none"/>
                <w14:textFill>
                  <w14:solidFill>
                    <w14:schemeClr w14:val="tx1"/>
                  </w14:solidFill>
                </w14:textFill>
              </w:rPr>
            </w:pPr>
          </w:p>
          <w:p w14:paraId="0FE54D44">
            <w:pPr>
              <w:rPr>
                <w:rFonts w:ascii="Times New Roman" w:hAnsi="Times New Roman" w:eastAsia="宋体"/>
                <w:caps w:val="0"/>
                <w:color w:val="000000" w:themeColor="text1"/>
                <w:sz w:val="28"/>
                <w:highlight w:val="none"/>
                <w14:textFill>
                  <w14:solidFill>
                    <w14:schemeClr w14:val="tx1"/>
                  </w14:solidFill>
                </w14:textFill>
              </w:rPr>
            </w:pPr>
          </w:p>
          <w:p w14:paraId="63E51CC4">
            <w:pPr>
              <w:rPr>
                <w:rFonts w:ascii="Times New Roman" w:hAnsi="Times New Roman" w:eastAsia="宋体"/>
                <w:caps w:val="0"/>
                <w:color w:val="000000" w:themeColor="text1"/>
                <w:sz w:val="28"/>
                <w:highlight w:val="none"/>
                <w14:textFill>
                  <w14:solidFill>
                    <w14:schemeClr w14:val="tx1"/>
                  </w14:solidFill>
                </w14:textFill>
              </w:rPr>
            </w:pPr>
          </w:p>
          <w:p w14:paraId="706C1828">
            <w:pPr>
              <w:rPr>
                <w:rFonts w:ascii="Times New Roman" w:hAnsi="Times New Roman" w:eastAsia="宋体"/>
                <w:caps w:val="0"/>
                <w:color w:val="000000" w:themeColor="text1"/>
                <w:sz w:val="28"/>
                <w:highlight w:val="none"/>
                <w14:textFill>
                  <w14:solidFill>
                    <w14:schemeClr w14:val="tx1"/>
                  </w14:solidFill>
                </w14:textFill>
              </w:rPr>
            </w:pPr>
          </w:p>
          <w:p w14:paraId="553EC02D">
            <w:pPr>
              <w:rPr>
                <w:rFonts w:ascii="Times New Roman" w:hAnsi="Times New Roman" w:eastAsia="宋体"/>
                <w:caps w:val="0"/>
                <w:color w:val="000000" w:themeColor="text1"/>
                <w:sz w:val="28"/>
                <w:highlight w:val="none"/>
                <w14:textFill>
                  <w14:solidFill>
                    <w14:schemeClr w14:val="tx1"/>
                  </w14:solidFill>
                </w14:textFill>
              </w:rPr>
            </w:pPr>
          </w:p>
          <w:p w14:paraId="6B4D8137">
            <w:pPr>
              <w:rPr>
                <w:rFonts w:ascii="Times New Roman" w:hAnsi="Times New Roman" w:eastAsia="宋体"/>
                <w:caps w:val="0"/>
                <w:color w:val="000000" w:themeColor="text1"/>
                <w:sz w:val="28"/>
                <w:highlight w:val="none"/>
                <w14:textFill>
                  <w14:solidFill>
                    <w14:schemeClr w14:val="tx1"/>
                  </w14:solidFill>
                </w14:textFill>
              </w:rPr>
            </w:pP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公章</w:t>
            </w:r>
          </w:p>
          <w:p w14:paraId="2B189BD5">
            <w:pPr>
              <w:rPr>
                <w:rFonts w:ascii="Times New Roman" w:hAnsi="Times New Roman" w:eastAsia="宋体"/>
                <w:caps w:val="0"/>
                <w:color w:val="000000" w:themeColor="text1"/>
                <w:sz w:val="28"/>
                <w:highlight w:val="none"/>
                <w14:textFill>
                  <w14:solidFill>
                    <w14:schemeClr w14:val="tx1"/>
                  </w14:solidFill>
                </w14:textFill>
              </w:rPr>
            </w:pPr>
            <w:r>
              <w:rPr>
                <w:rFonts w:hint="eastAsia" w:ascii="Times New Roman" w:hAnsi="Times New Roman" w:eastAsia="宋体"/>
                <w:caps w:val="0"/>
                <w:color w:val="000000" w:themeColor="text1"/>
                <w:sz w:val="28"/>
                <w:highlight w:val="none"/>
                <w14:textFill>
                  <w14:solidFill>
                    <w14:schemeClr w14:val="tx1"/>
                  </w14:solidFill>
                </w14:textFill>
              </w:rPr>
              <w:t>经办人：</w:t>
            </w: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年</w:t>
            </w: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月</w:t>
            </w: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日</w:t>
            </w:r>
          </w:p>
          <w:p w14:paraId="5FE59740">
            <w:pPr>
              <w:rPr>
                <w:rFonts w:ascii="Times New Roman" w:hAnsi="Times New Roman" w:eastAsia="宋体"/>
                <w:caps w:val="0"/>
                <w:color w:val="000000" w:themeColor="text1"/>
                <w:sz w:val="28"/>
                <w:highlight w:val="none"/>
                <w14:textFill>
                  <w14:solidFill>
                    <w14:schemeClr w14:val="tx1"/>
                  </w14:solidFill>
                </w14:textFill>
              </w:rPr>
            </w:pPr>
          </w:p>
        </w:tc>
      </w:tr>
      <w:tr w14:paraId="30E11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5" w:hRule="atLeast"/>
        </w:trPr>
        <w:tc>
          <w:tcPr>
            <w:tcW w:w="9039" w:type="dxa"/>
          </w:tcPr>
          <w:p w14:paraId="577FB871">
            <w:pPr>
              <w:rPr>
                <w:rFonts w:ascii="Times New Roman" w:hAnsi="Times New Roman" w:eastAsia="宋体"/>
                <w:caps w:val="0"/>
                <w:color w:val="000000" w:themeColor="text1"/>
                <w:sz w:val="28"/>
                <w:highlight w:val="none"/>
                <w14:textFill>
                  <w14:solidFill>
                    <w14:schemeClr w14:val="tx1"/>
                  </w14:solidFill>
                </w14:textFill>
              </w:rPr>
            </w:pPr>
            <w:r>
              <w:rPr>
                <w:rFonts w:hint="eastAsia" w:ascii="Times New Roman" w:hAnsi="Times New Roman" w:eastAsia="宋体"/>
                <w:caps w:val="0"/>
                <w:color w:val="000000" w:themeColor="text1"/>
                <w:sz w:val="28"/>
                <w:highlight w:val="none"/>
                <w14:textFill>
                  <w14:solidFill>
                    <w14:schemeClr w14:val="tx1"/>
                  </w14:solidFill>
                </w14:textFill>
              </w:rPr>
              <w:t>审批意见：</w:t>
            </w:r>
          </w:p>
          <w:p w14:paraId="743C8F3B">
            <w:pPr>
              <w:rPr>
                <w:rFonts w:ascii="Times New Roman" w:hAnsi="Times New Roman" w:eastAsia="宋体"/>
                <w:caps w:val="0"/>
                <w:color w:val="000000" w:themeColor="text1"/>
                <w:sz w:val="28"/>
                <w:highlight w:val="none"/>
                <w14:textFill>
                  <w14:solidFill>
                    <w14:schemeClr w14:val="tx1"/>
                  </w14:solidFill>
                </w14:textFill>
              </w:rPr>
            </w:pPr>
          </w:p>
          <w:p w14:paraId="031B0A1E">
            <w:pPr>
              <w:rPr>
                <w:rFonts w:ascii="Times New Roman" w:hAnsi="Times New Roman" w:eastAsia="宋体"/>
                <w:caps w:val="0"/>
                <w:color w:val="000000" w:themeColor="text1"/>
                <w:sz w:val="28"/>
                <w:highlight w:val="none"/>
                <w14:textFill>
                  <w14:solidFill>
                    <w14:schemeClr w14:val="tx1"/>
                  </w14:solidFill>
                </w14:textFill>
              </w:rPr>
            </w:pPr>
          </w:p>
          <w:p w14:paraId="18192661">
            <w:pPr>
              <w:rPr>
                <w:rFonts w:ascii="Times New Roman" w:hAnsi="Times New Roman" w:eastAsia="宋体"/>
                <w:caps w:val="0"/>
                <w:color w:val="000000" w:themeColor="text1"/>
                <w:sz w:val="28"/>
                <w:highlight w:val="none"/>
                <w14:textFill>
                  <w14:solidFill>
                    <w14:schemeClr w14:val="tx1"/>
                  </w14:solidFill>
                </w14:textFill>
              </w:rPr>
            </w:pPr>
          </w:p>
          <w:p w14:paraId="51A1A752">
            <w:pPr>
              <w:rPr>
                <w:rFonts w:ascii="Times New Roman" w:hAnsi="Times New Roman" w:eastAsia="宋体"/>
                <w:caps w:val="0"/>
                <w:color w:val="000000" w:themeColor="text1"/>
                <w:sz w:val="28"/>
                <w:highlight w:val="none"/>
                <w14:textFill>
                  <w14:solidFill>
                    <w14:schemeClr w14:val="tx1"/>
                  </w14:solidFill>
                </w14:textFill>
              </w:rPr>
            </w:pPr>
          </w:p>
          <w:p w14:paraId="4A5493FE">
            <w:pPr>
              <w:rPr>
                <w:rFonts w:ascii="Times New Roman" w:hAnsi="Times New Roman" w:eastAsia="宋体"/>
                <w:caps w:val="0"/>
                <w:color w:val="000000" w:themeColor="text1"/>
                <w:sz w:val="28"/>
                <w:highlight w:val="none"/>
                <w14:textFill>
                  <w14:solidFill>
                    <w14:schemeClr w14:val="tx1"/>
                  </w14:solidFill>
                </w14:textFill>
              </w:rPr>
            </w:pPr>
          </w:p>
          <w:p w14:paraId="7FDC89DB">
            <w:pPr>
              <w:rPr>
                <w:rFonts w:ascii="Times New Roman" w:hAnsi="Times New Roman" w:eastAsia="宋体"/>
                <w:caps w:val="0"/>
                <w:color w:val="000000" w:themeColor="text1"/>
                <w:sz w:val="28"/>
                <w:highlight w:val="none"/>
                <w14:textFill>
                  <w14:solidFill>
                    <w14:schemeClr w14:val="tx1"/>
                  </w14:solidFill>
                </w14:textFill>
              </w:rPr>
            </w:pPr>
          </w:p>
          <w:p w14:paraId="6F01D66D">
            <w:pPr>
              <w:rPr>
                <w:rFonts w:ascii="Times New Roman" w:hAnsi="Times New Roman" w:eastAsia="宋体"/>
                <w:caps w:val="0"/>
                <w:color w:val="000000" w:themeColor="text1"/>
                <w:sz w:val="28"/>
                <w:highlight w:val="none"/>
                <w14:textFill>
                  <w14:solidFill>
                    <w14:schemeClr w14:val="tx1"/>
                  </w14:solidFill>
                </w14:textFill>
              </w:rPr>
            </w:pPr>
          </w:p>
          <w:p w14:paraId="4A47B195">
            <w:pPr>
              <w:rPr>
                <w:rFonts w:ascii="Times New Roman" w:hAnsi="Times New Roman" w:eastAsia="宋体"/>
                <w:caps w:val="0"/>
                <w:color w:val="000000" w:themeColor="text1"/>
                <w:sz w:val="28"/>
                <w:highlight w:val="none"/>
                <w14:textFill>
                  <w14:solidFill>
                    <w14:schemeClr w14:val="tx1"/>
                  </w14:solidFill>
                </w14:textFill>
              </w:rPr>
            </w:pPr>
          </w:p>
          <w:p w14:paraId="4432B45A">
            <w:pPr>
              <w:rPr>
                <w:rFonts w:ascii="Times New Roman" w:hAnsi="Times New Roman" w:eastAsia="宋体"/>
                <w:caps w:val="0"/>
                <w:color w:val="000000" w:themeColor="text1"/>
                <w:sz w:val="28"/>
                <w:highlight w:val="none"/>
                <w14:textFill>
                  <w14:solidFill>
                    <w14:schemeClr w14:val="tx1"/>
                  </w14:solidFill>
                </w14:textFill>
              </w:rPr>
            </w:pPr>
          </w:p>
          <w:p w14:paraId="29053CEA">
            <w:pPr>
              <w:rPr>
                <w:rFonts w:ascii="Times New Roman" w:hAnsi="Times New Roman" w:eastAsia="宋体"/>
                <w:caps w:val="0"/>
                <w:color w:val="000000" w:themeColor="text1"/>
                <w:sz w:val="28"/>
                <w:highlight w:val="none"/>
                <w14:textFill>
                  <w14:solidFill>
                    <w14:schemeClr w14:val="tx1"/>
                  </w14:solidFill>
                </w14:textFill>
              </w:rPr>
            </w:pPr>
          </w:p>
          <w:p w14:paraId="110F6493">
            <w:pPr>
              <w:rPr>
                <w:rFonts w:ascii="Times New Roman" w:hAnsi="Times New Roman" w:eastAsia="宋体"/>
                <w:caps w:val="0"/>
                <w:color w:val="000000" w:themeColor="text1"/>
                <w:sz w:val="28"/>
                <w:highlight w:val="none"/>
                <w14:textFill>
                  <w14:solidFill>
                    <w14:schemeClr w14:val="tx1"/>
                  </w14:solidFill>
                </w14:textFill>
              </w:rPr>
            </w:pPr>
          </w:p>
          <w:p w14:paraId="1D2E003D">
            <w:pPr>
              <w:rPr>
                <w:rFonts w:ascii="Times New Roman" w:hAnsi="Times New Roman" w:eastAsia="宋体"/>
                <w:caps w:val="0"/>
                <w:color w:val="000000" w:themeColor="text1"/>
                <w:sz w:val="28"/>
                <w:highlight w:val="none"/>
                <w14:textFill>
                  <w14:solidFill>
                    <w14:schemeClr w14:val="tx1"/>
                  </w14:solidFill>
                </w14:textFill>
              </w:rPr>
            </w:pPr>
          </w:p>
          <w:p w14:paraId="51174D5B">
            <w:pPr>
              <w:rPr>
                <w:rFonts w:ascii="Times New Roman" w:hAnsi="Times New Roman" w:eastAsia="宋体"/>
                <w:caps w:val="0"/>
                <w:color w:val="000000" w:themeColor="text1"/>
                <w:sz w:val="28"/>
                <w:highlight w:val="none"/>
                <w14:textFill>
                  <w14:solidFill>
                    <w14:schemeClr w14:val="tx1"/>
                  </w14:solidFill>
                </w14:textFill>
              </w:rPr>
            </w:pPr>
          </w:p>
          <w:p w14:paraId="7625AC79">
            <w:pPr>
              <w:rPr>
                <w:rFonts w:ascii="Times New Roman" w:hAnsi="Times New Roman" w:eastAsia="宋体"/>
                <w:caps w:val="0"/>
                <w:color w:val="000000" w:themeColor="text1"/>
                <w:sz w:val="28"/>
                <w:highlight w:val="none"/>
                <w14:textFill>
                  <w14:solidFill>
                    <w14:schemeClr w14:val="tx1"/>
                  </w14:solidFill>
                </w14:textFill>
              </w:rPr>
            </w:pPr>
          </w:p>
          <w:p w14:paraId="3ACD2F3D">
            <w:pPr>
              <w:rPr>
                <w:rFonts w:ascii="Times New Roman" w:hAnsi="Times New Roman" w:eastAsia="宋体"/>
                <w:caps w:val="0"/>
                <w:color w:val="000000" w:themeColor="text1"/>
                <w:sz w:val="28"/>
                <w:highlight w:val="none"/>
                <w14:textFill>
                  <w14:solidFill>
                    <w14:schemeClr w14:val="tx1"/>
                  </w14:solidFill>
                </w14:textFill>
              </w:rPr>
            </w:pPr>
          </w:p>
          <w:p w14:paraId="57BCE1BC">
            <w:pPr>
              <w:rPr>
                <w:rFonts w:ascii="Times New Roman" w:hAnsi="Times New Roman" w:eastAsia="宋体"/>
                <w:caps w:val="0"/>
                <w:color w:val="000000" w:themeColor="text1"/>
                <w:sz w:val="28"/>
                <w:highlight w:val="none"/>
                <w14:textFill>
                  <w14:solidFill>
                    <w14:schemeClr w14:val="tx1"/>
                  </w14:solidFill>
                </w14:textFill>
              </w:rPr>
            </w:pPr>
          </w:p>
          <w:p w14:paraId="31809488">
            <w:pPr>
              <w:rPr>
                <w:rFonts w:ascii="Times New Roman" w:hAnsi="Times New Roman" w:eastAsia="宋体"/>
                <w:caps w:val="0"/>
                <w:color w:val="000000" w:themeColor="text1"/>
                <w:sz w:val="28"/>
                <w:highlight w:val="none"/>
                <w14:textFill>
                  <w14:solidFill>
                    <w14:schemeClr w14:val="tx1"/>
                  </w14:solidFill>
                </w14:textFill>
              </w:rPr>
            </w:pPr>
          </w:p>
          <w:p w14:paraId="4F821313">
            <w:pPr>
              <w:rPr>
                <w:rFonts w:ascii="Times New Roman" w:hAnsi="Times New Roman" w:eastAsia="宋体"/>
                <w:caps w:val="0"/>
                <w:color w:val="000000" w:themeColor="text1"/>
                <w:sz w:val="28"/>
                <w:highlight w:val="none"/>
                <w14:textFill>
                  <w14:solidFill>
                    <w14:schemeClr w14:val="tx1"/>
                  </w14:solidFill>
                </w14:textFill>
              </w:rPr>
            </w:pPr>
          </w:p>
          <w:p w14:paraId="745E5511">
            <w:pPr>
              <w:rPr>
                <w:rFonts w:ascii="Times New Roman" w:hAnsi="Times New Roman" w:eastAsia="宋体"/>
                <w:caps w:val="0"/>
                <w:color w:val="000000" w:themeColor="text1"/>
                <w:sz w:val="28"/>
                <w:highlight w:val="none"/>
                <w14:textFill>
                  <w14:solidFill>
                    <w14:schemeClr w14:val="tx1"/>
                  </w14:solidFill>
                </w14:textFill>
              </w:rPr>
            </w:pPr>
          </w:p>
          <w:p w14:paraId="073E79F1">
            <w:pPr>
              <w:rPr>
                <w:rFonts w:ascii="Times New Roman" w:hAnsi="Times New Roman" w:eastAsia="宋体"/>
                <w:caps w:val="0"/>
                <w:color w:val="000000" w:themeColor="text1"/>
                <w:sz w:val="28"/>
                <w:highlight w:val="none"/>
                <w14:textFill>
                  <w14:solidFill>
                    <w14:schemeClr w14:val="tx1"/>
                  </w14:solidFill>
                </w14:textFill>
              </w:rPr>
            </w:pPr>
          </w:p>
          <w:p w14:paraId="472EB194">
            <w:pPr>
              <w:rPr>
                <w:rFonts w:ascii="Times New Roman" w:hAnsi="Times New Roman" w:eastAsia="宋体"/>
                <w:caps w:val="0"/>
                <w:color w:val="000000" w:themeColor="text1"/>
                <w:sz w:val="28"/>
                <w:highlight w:val="none"/>
                <w14:textFill>
                  <w14:solidFill>
                    <w14:schemeClr w14:val="tx1"/>
                  </w14:solidFill>
                </w14:textFill>
              </w:rPr>
            </w:pPr>
          </w:p>
          <w:p w14:paraId="3DA871DE">
            <w:pPr>
              <w:rPr>
                <w:rFonts w:ascii="Times New Roman" w:hAnsi="Times New Roman" w:eastAsia="宋体"/>
                <w:caps w:val="0"/>
                <w:color w:val="000000" w:themeColor="text1"/>
                <w:sz w:val="28"/>
                <w:highlight w:val="none"/>
                <w14:textFill>
                  <w14:solidFill>
                    <w14:schemeClr w14:val="tx1"/>
                  </w14:solidFill>
                </w14:textFill>
              </w:rPr>
            </w:pPr>
          </w:p>
          <w:p w14:paraId="00D80D96">
            <w:pPr>
              <w:rPr>
                <w:rFonts w:ascii="Times New Roman" w:hAnsi="Times New Roman" w:eastAsia="宋体"/>
                <w:caps w:val="0"/>
                <w:color w:val="000000" w:themeColor="text1"/>
                <w:sz w:val="28"/>
                <w:highlight w:val="none"/>
                <w14:textFill>
                  <w14:solidFill>
                    <w14:schemeClr w14:val="tx1"/>
                  </w14:solidFill>
                </w14:textFill>
              </w:rPr>
            </w:pPr>
          </w:p>
          <w:p w14:paraId="7FC68B90">
            <w:pPr>
              <w:rPr>
                <w:rFonts w:ascii="Times New Roman" w:hAnsi="Times New Roman" w:eastAsia="宋体"/>
                <w:caps w:val="0"/>
                <w:color w:val="000000" w:themeColor="text1"/>
                <w:sz w:val="28"/>
                <w:highlight w:val="none"/>
                <w14:textFill>
                  <w14:solidFill>
                    <w14:schemeClr w14:val="tx1"/>
                  </w14:solidFill>
                </w14:textFill>
              </w:rPr>
            </w:pPr>
          </w:p>
          <w:p w14:paraId="77DDAECF">
            <w:pPr>
              <w:rPr>
                <w:rFonts w:ascii="Times New Roman" w:hAnsi="Times New Roman" w:eastAsia="宋体"/>
                <w:caps w:val="0"/>
                <w:color w:val="000000" w:themeColor="text1"/>
                <w:sz w:val="28"/>
                <w:highlight w:val="none"/>
                <w14:textFill>
                  <w14:solidFill>
                    <w14:schemeClr w14:val="tx1"/>
                  </w14:solidFill>
                </w14:textFill>
              </w:rPr>
            </w:pPr>
          </w:p>
          <w:p w14:paraId="59D31633">
            <w:pPr>
              <w:rPr>
                <w:rFonts w:ascii="Times New Roman" w:hAnsi="Times New Roman" w:eastAsia="宋体"/>
                <w:caps w:val="0"/>
                <w:color w:val="000000" w:themeColor="text1"/>
                <w:sz w:val="28"/>
                <w:highlight w:val="none"/>
                <w14:textFill>
                  <w14:solidFill>
                    <w14:schemeClr w14:val="tx1"/>
                  </w14:solidFill>
                </w14:textFill>
              </w:rPr>
            </w:pPr>
          </w:p>
          <w:p w14:paraId="36D47FD8">
            <w:pPr>
              <w:rPr>
                <w:rFonts w:ascii="Times New Roman" w:hAnsi="Times New Roman" w:eastAsia="宋体"/>
                <w:caps w:val="0"/>
                <w:color w:val="000000" w:themeColor="text1"/>
                <w:sz w:val="28"/>
                <w:highlight w:val="none"/>
                <w14:textFill>
                  <w14:solidFill>
                    <w14:schemeClr w14:val="tx1"/>
                  </w14:solidFill>
                </w14:textFill>
              </w:rPr>
            </w:pPr>
          </w:p>
          <w:p w14:paraId="428C8106">
            <w:pPr>
              <w:rPr>
                <w:rFonts w:ascii="Times New Roman" w:hAnsi="Times New Roman" w:eastAsia="宋体"/>
                <w:caps w:val="0"/>
                <w:color w:val="000000" w:themeColor="text1"/>
                <w:sz w:val="28"/>
                <w:highlight w:val="none"/>
                <w14:textFill>
                  <w14:solidFill>
                    <w14:schemeClr w14:val="tx1"/>
                  </w14:solidFill>
                </w14:textFill>
              </w:rPr>
            </w:pPr>
          </w:p>
          <w:p w14:paraId="10535C1A">
            <w:pPr>
              <w:rPr>
                <w:rFonts w:ascii="Times New Roman" w:hAnsi="Times New Roman" w:eastAsia="宋体"/>
                <w:caps w:val="0"/>
                <w:color w:val="000000" w:themeColor="text1"/>
                <w:sz w:val="28"/>
                <w:highlight w:val="none"/>
                <w14:textFill>
                  <w14:solidFill>
                    <w14:schemeClr w14:val="tx1"/>
                  </w14:solidFill>
                </w14:textFill>
              </w:rPr>
            </w:pPr>
          </w:p>
          <w:p w14:paraId="14DC5AED">
            <w:pPr>
              <w:rPr>
                <w:rFonts w:ascii="Times New Roman" w:hAnsi="Times New Roman" w:eastAsia="宋体"/>
                <w:caps w:val="0"/>
                <w:color w:val="000000" w:themeColor="text1"/>
                <w:sz w:val="28"/>
                <w:highlight w:val="none"/>
                <w14:textFill>
                  <w14:solidFill>
                    <w14:schemeClr w14:val="tx1"/>
                  </w14:solidFill>
                </w14:textFill>
              </w:rPr>
            </w:pPr>
          </w:p>
          <w:p w14:paraId="5C7BFEBA">
            <w:pPr>
              <w:rPr>
                <w:rFonts w:ascii="Times New Roman" w:hAnsi="Times New Roman" w:eastAsia="宋体"/>
                <w:caps w:val="0"/>
                <w:color w:val="000000" w:themeColor="text1"/>
                <w:sz w:val="28"/>
                <w:highlight w:val="none"/>
                <w14:textFill>
                  <w14:solidFill>
                    <w14:schemeClr w14:val="tx1"/>
                  </w14:solidFill>
                </w14:textFill>
              </w:rPr>
            </w:pPr>
          </w:p>
          <w:p w14:paraId="25C6ECF5">
            <w:pPr>
              <w:rPr>
                <w:rFonts w:ascii="Times New Roman" w:hAnsi="Times New Roman" w:eastAsia="宋体"/>
                <w:caps w:val="0"/>
                <w:color w:val="000000" w:themeColor="text1"/>
                <w:sz w:val="28"/>
                <w:highlight w:val="none"/>
                <w14:textFill>
                  <w14:solidFill>
                    <w14:schemeClr w14:val="tx1"/>
                  </w14:solidFill>
                </w14:textFill>
              </w:rPr>
            </w:pPr>
          </w:p>
          <w:p w14:paraId="1A968C2F">
            <w:pPr>
              <w:rPr>
                <w:rFonts w:ascii="Times New Roman" w:hAnsi="Times New Roman" w:eastAsia="宋体"/>
                <w:caps w:val="0"/>
                <w:color w:val="000000" w:themeColor="text1"/>
                <w:sz w:val="28"/>
                <w:highlight w:val="none"/>
                <w14:textFill>
                  <w14:solidFill>
                    <w14:schemeClr w14:val="tx1"/>
                  </w14:solidFill>
                </w14:textFill>
              </w:rPr>
            </w:pPr>
          </w:p>
          <w:p w14:paraId="2938FBAA">
            <w:pPr>
              <w:rPr>
                <w:rFonts w:ascii="Times New Roman" w:hAnsi="Times New Roman" w:eastAsia="宋体"/>
                <w:caps w:val="0"/>
                <w:color w:val="000000" w:themeColor="text1"/>
                <w:sz w:val="28"/>
                <w:highlight w:val="none"/>
                <w14:textFill>
                  <w14:solidFill>
                    <w14:schemeClr w14:val="tx1"/>
                  </w14:solidFill>
                </w14:textFill>
              </w:rPr>
            </w:pPr>
          </w:p>
          <w:p w14:paraId="3D3F1AC0">
            <w:pPr>
              <w:rPr>
                <w:rFonts w:ascii="Times New Roman" w:hAnsi="Times New Roman" w:eastAsia="宋体"/>
                <w:caps w:val="0"/>
                <w:color w:val="000000" w:themeColor="text1"/>
                <w:sz w:val="28"/>
                <w:highlight w:val="none"/>
                <w14:textFill>
                  <w14:solidFill>
                    <w14:schemeClr w14:val="tx1"/>
                  </w14:solidFill>
                </w14:textFill>
              </w:rPr>
            </w:pPr>
          </w:p>
          <w:p w14:paraId="335ADC79">
            <w:pPr>
              <w:rPr>
                <w:rFonts w:ascii="Times New Roman" w:hAnsi="Times New Roman" w:eastAsia="宋体"/>
                <w:caps w:val="0"/>
                <w:color w:val="000000" w:themeColor="text1"/>
                <w:sz w:val="28"/>
                <w:highlight w:val="none"/>
                <w14:textFill>
                  <w14:solidFill>
                    <w14:schemeClr w14:val="tx1"/>
                  </w14:solidFill>
                </w14:textFill>
              </w:rPr>
            </w:pPr>
          </w:p>
          <w:p w14:paraId="65A58211">
            <w:pPr>
              <w:rPr>
                <w:rFonts w:ascii="Times New Roman" w:hAnsi="Times New Roman" w:eastAsia="宋体"/>
                <w:caps w:val="0"/>
                <w:color w:val="000000" w:themeColor="text1"/>
                <w:sz w:val="28"/>
                <w:highlight w:val="none"/>
                <w14:textFill>
                  <w14:solidFill>
                    <w14:schemeClr w14:val="tx1"/>
                  </w14:solidFill>
                </w14:textFill>
              </w:rPr>
            </w:pP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公章</w:t>
            </w:r>
          </w:p>
          <w:p w14:paraId="2FE0DC7B">
            <w:pPr>
              <w:rPr>
                <w:rFonts w:ascii="Times New Roman" w:hAnsi="Times New Roman" w:eastAsia="宋体"/>
                <w:caps w:val="0"/>
                <w:color w:val="000000" w:themeColor="text1"/>
                <w:sz w:val="28"/>
                <w:highlight w:val="none"/>
                <w14:textFill>
                  <w14:solidFill>
                    <w14:schemeClr w14:val="tx1"/>
                  </w14:solidFill>
                </w14:textFill>
              </w:rPr>
            </w:pPr>
            <w:r>
              <w:rPr>
                <w:rFonts w:hint="eastAsia" w:ascii="Times New Roman" w:hAnsi="Times New Roman" w:eastAsia="宋体"/>
                <w:caps w:val="0"/>
                <w:color w:val="000000" w:themeColor="text1"/>
                <w:sz w:val="28"/>
                <w:highlight w:val="none"/>
                <w14:textFill>
                  <w14:solidFill>
                    <w14:schemeClr w14:val="tx1"/>
                  </w14:solidFill>
                </w14:textFill>
              </w:rPr>
              <w:t>经办人：</w:t>
            </w: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年</w:t>
            </w: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月</w:t>
            </w:r>
            <w:r>
              <w:rPr>
                <w:rFonts w:ascii="Times New Roman" w:hAnsi="Times New Roman" w:eastAsia="宋体"/>
                <w:caps w:val="0"/>
                <w:color w:val="000000" w:themeColor="text1"/>
                <w:sz w:val="28"/>
                <w:highlight w:val="none"/>
                <w14:textFill>
                  <w14:solidFill>
                    <w14:schemeClr w14:val="tx1"/>
                  </w14:solidFill>
                </w14:textFill>
              </w:rPr>
              <w:t xml:space="preserve">   </w:t>
            </w:r>
            <w:r>
              <w:rPr>
                <w:rFonts w:hint="eastAsia" w:ascii="Times New Roman" w:hAnsi="Times New Roman" w:eastAsia="宋体"/>
                <w:caps w:val="0"/>
                <w:color w:val="000000" w:themeColor="text1"/>
                <w:sz w:val="28"/>
                <w:highlight w:val="none"/>
                <w14:textFill>
                  <w14:solidFill>
                    <w14:schemeClr w14:val="tx1"/>
                  </w14:solidFill>
                </w14:textFill>
              </w:rPr>
              <w:t>日</w:t>
            </w:r>
          </w:p>
        </w:tc>
      </w:tr>
    </w:tbl>
    <w:p w14:paraId="74F249B5">
      <w:pPr>
        <w:widowControl/>
        <w:spacing w:line="440" w:lineRule="exact"/>
        <w:jc w:val="left"/>
        <w:rPr>
          <w:rFonts w:ascii="Times New Roman" w:hAnsi="Times New Roman" w:eastAsia="宋体"/>
          <w:b/>
          <w:caps w:val="0"/>
          <w:color w:val="000000" w:themeColor="text1"/>
          <w:kern w:val="0"/>
          <w:sz w:val="24"/>
          <w:highlight w:val="none"/>
          <w14:textFill>
            <w14:solidFill>
              <w14:schemeClr w14:val="tx1"/>
            </w14:solidFill>
          </w14:textFill>
        </w:rPr>
      </w:pPr>
      <w:r>
        <w:rPr>
          <w:rFonts w:hint="eastAsia" w:ascii="Times New Roman" w:hAnsi="Times New Roman" w:eastAsia="宋体"/>
          <w:b/>
          <w:caps w:val="0"/>
          <w:color w:val="000000" w:themeColor="text1"/>
          <w:kern w:val="0"/>
          <w:sz w:val="24"/>
          <w:highlight w:val="none"/>
          <w14:textFill>
            <w14:solidFill>
              <w14:schemeClr w14:val="tx1"/>
            </w14:solidFill>
          </w14:textFill>
        </w:rPr>
        <w:t>附件:</w:t>
      </w:r>
    </w:p>
    <w:p w14:paraId="515518D0">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附件1  委托书</w:t>
      </w:r>
    </w:p>
    <w:p w14:paraId="7D50789C">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附件2  声明</w:t>
      </w:r>
    </w:p>
    <w:p w14:paraId="42DFF1C9">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附件3  立项批准文件</w:t>
      </w:r>
    </w:p>
    <w:p w14:paraId="48E9703D">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附件4  营业执照</w:t>
      </w:r>
    </w:p>
    <w:p w14:paraId="7F20B06B">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附件5  法人身份证</w:t>
      </w:r>
    </w:p>
    <w:p w14:paraId="6B9CBC33">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附件6  不动产权证</w:t>
      </w:r>
    </w:p>
    <w:p w14:paraId="70B8FA98">
      <w:pPr>
        <w:spacing w:line="480" w:lineRule="exact"/>
        <w:ind w:firstLine="480" w:firstLineChars="200"/>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附件7  </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排污许可登记回执</w:t>
      </w:r>
    </w:p>
    <w:p w14:paraId="081DA793">
      <w:pPr>
        <w:spacing w:line="480" w:lineRule="exact"/>
        <w:ind w:firstLine="480" w:firstLineChars="200"/>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附件8  </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验收检测报告</w:t>
      </w:r>
    </w:p>
    <w:p w14:paraId="2CE81765">
      <w:pPr>
        <w:spacing w:line="480" w:lineRule="exact"/>
        <w:ind w:firstLine="480" w:firstLineChars="200"/>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附件9  </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芜湖工业园项目批复及验收意见</w:t>
      </w:r>
    </w:p>
    <w:p w14:paraId="72F6442D">
      <w:pPr>
        <w:spacing w:line="480" w:lineRule="exact"/>
        <w:ind w:firstLine="480" w:firstLineChars="200"/>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附件10 </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芜湖工业园项目环境影响补充报告复函及二期验收意见</w:t>
      </w:r>
    </w:p>
    <w:p w14:paraId="642D69A5">
      <w:pPr>
        <w:spacing w:line="480" w:lineRule="exact"/>
        <w:ind w:firstLine="480" w:firstLineChars="200"/>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附件11 </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汽车新能源高压系列产品（连接器、线束、电子锁等）项目批复及验收文件</w:t>
      </w:r>
    </w:p>
    <w:p w14:paraId="309D98B8">
      <w:pPr>
        <w:spacing w:line="480" w:lineRule="exact"/>
        <w:ind w:firstLine="480" w:firstLineChars="200"/>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附件12 </w:t>
      </w: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汽车新能源高压系列产品生产项目批复及验收文件</w:t>
      </w:r>
    </w:p>
    <w:p w14:paraId="0F05987B">
      <w:pPr>
        <w:widowControl/>
        <w:spacing w:line="360" w:lineRule="auto"/>
        <w:jc w:val="left"/>
        <w:rPr>
          <w:rFonts w:hint="default" w:ascii="Times New Roman" w:hAnsi="Times New Roman" w:eastAsia="宋体" w:cs="Times New Roman"/>
          <w:b/>
          <w:caps w:val="0"/>
          <w:color w:val="000000" w:themeColor="text1"/>
          <w:kern w:val="0"/>
          <w:sz w:val="24"/>
          <w:highlight w:val="none"/>
          <w14:textFill>
            <w14:solidFill>
              <w14:schemeClr w14:val="tx1"/>
            </w14:solidFill>
          </w14:textFill>
        </w:rPr>
      </w:pPr>
    </w:p>
    <w:p w14:paraId="77B8B462">
      <w:pPr>
        <w:widowControl/>
        <w:spacing w:line="360" w:lineRule="auto"/>
        <w:jc w:val="left"/>
        <w:rPr>
          <w:rFonts w:hint="default" w:ascii="Times New Roman" w:hAnsi="Times New Roman" w:eastAsia="宋体" w:cs="Times New Roman"/>
          <w:b/>
          <w:caps w:val="0"/>
          <w:color w:val="000000" w:themeColor="text1"/>
          <w:kern w:val="0"/>
          <w:sz w:val="24"/>
          <w:highlight w:val="none"/>
          <w14:textFill>
            <w14:solidFill>
              <w14:schemeClr w14:val="tx1"/>
            </w14:solidFill>
          </w14:textFill>
        </w:rPr>
      </w:pPr>
      <w:r>
        <w:rPr>
          <w:rFonts w:hint="default" w:ascii="Times New Roman" w:hAnsi="Times New Roman" w:eastAsia="宋体" w:cs="Times New Roman"/>
          <w:b/>
          <w:caps w:val="0"/>
          <w:color w:val="000000" w:themeColor="text1"/>
          <w:kern w:val="0"/>
          <w:sz w:val="24"/>
          <w:highlight w:val="none"/>
          <w14:textFill>
            <w14:solidFill>
              <w14:schemeClr w14:val="tx1"/>
            </w14:solidFill>
          </w14:textFill>
        </w:rPr>
        <w:t>附图:</w:t>
      </w:r>
    </w:p>
    <w:p w14:paraId="47B6A89E">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附图</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一</w:t>
      </w: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w:t>
      </w:r>
      <w:bookmarkStart w:id="17" w:name="_Hlk134113375"/>
      <w:r>
        <w:rPr>
          <w:rFonts w:hint="default" w:ascii="Times New Roman" w:hAnsi="Times New Roman" w:eastAsia="宋体" w:cs="Times New Roman"/>
          <w:caps w:val="0"/>
          <w:color w:val="000000" w:themeColor="text1"/>
          <w:sz w:val="24"/>
          <w:highlight w:val="none"/>
          <w14:textFill>
            <w14:solidFill>
              <w14:schemeClr w14:val="tx1"/>
            </w14:solidFill>
          </w14:textFill>
        </w:rPr>
        <w:t>项目地理位置示意图</w:t>
      </w:r>
      <w:bookmarkEnd w:id="17"/>
    </w:p>
    <w:p w14:paraId="1247DDEF">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附图二 项目所在地周围环境关系示意图</w:t>
      </w:r>
    </w:p>
    <w:p w14:paraId="26C1D874">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附图</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三</w:t>
      </w:r>
      <w:r>
        <w:rPr>
          <w:rFonts w:hint="default" w:ascii="Times New Roman" w:hAnsi="Times New Roman" w:eastAsia="宋体" w:cs="Times New Roman"/>
          <w:caps w:val="0"/>
          <w:color w:val="000000" w:themeColor="text1"/>
          <w:sz w:val="24"/>
          <w:highlight w:val="none"/>
          <w14:textFill>
            <w14:solidFill>
              <w14:schemeClr w14:val="tx1"/>
            </w14:solidFill>
          </w14:textFill>
        </w:rPr>
        <w:t xml:space="preserve"> 平面布置图</w:t>
      </w:r>
    </w:p>
    <w:p w14:paraId="2B5FE812">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附图四 车间布局图</w:t>
      </w:r>
    </w:p>
    <w:p w14:paraId="6838307D">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附图五 项目与芜湖市土地利用现状相对位置图</w:t>
      </w:r>
    </w:p>
    <w:p w14:paraId="5705ED28">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附图六 生态红线图</w:t>
      </w:r>
    </w:p>
    <w:p w14:paraId="281098F7">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附图七 芜湖市“三区三线图</w:t>
      </w:r>
    </w:p>
    <w:p w14:paraId="4F80C03B">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附图</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八 项目与芜湖市分区管控相对位置</w:t>
      </w:r>
      <w:r>
        <w:rPr>
          <w:rFonts w:hint="default" w:ascii="Times New Roman" w:hAnsi="Times New Roman" w:eastAsia="宋体" w:cs="Times New Roman"/>
          <w:caps w:val="0"/>
          <w:color w:val="000000" w:themeColor="text1"/>
          <w:sz w:val="24"/>
          <w:highlight w:val="none"/>
          <w14:textFill>
            <w14:solidFill>
              <w14:schemeClr w14:val="tx1"/>
            </w14:solidFill>
          </w14:textFill>
        </w:rPr>
        <w:t>图</w:t>
      </w:r>
    </w:p>
    <w:p w14:paraId="4AD497EB">
      <w:pPr>
        <w:spacing w:line="480" w:lineRule="exact"/>
        <w:ind w:firstLine="480"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附图</w:t>
      </w:r>
      <w:r>
        <w:rPr>
          <w:rFonts w:hint="default" w:ascii="Times New Roman" w:hAnsi="Times New Roman" w:cs="Times New Roman"/>
          <w:caps w:val="0"/>
          <w:color w:val="000000" w:themeColor="text1"/>
          <w:sz w:val="24"/>
          <w:highlight w:val="none"/>
          <w:lang w:val="en-US" w:eastAsia="zh-CN"/>
          <w14:textFill>
            <w14:solidFill>
              <w14:schemeClr w14:val="tx1"/>
            </w14:solidFill>
          </w14:textFill>
        </w:rPr>
        <w:t>九 项目与芜湖市生态管控单元相对位置</w:t>
      </w:r>
      <w:r>
        <w:rPr>
          <w:rFonts w:hint="default" w:ascii="Times New Roman" w:hAnsi="Times New Roman" w:eastAsia="宋体" w:cs="Times New Roman"/>
          <w:caps w:val="0"/>
          <w:color w:val="000000" w:themeColor="text1"/>
          <w:sz w:val="24"/>
          <w:highlight w:val="none"/>
          <w14:textFill>
            <w14:solidFill>
              <w14:schemeClr w14:val="tx1"/>
            </w14:solidFill>
          </w14:textFill>
        </w:rPr>
        <w:t>图</w:t>
      </w:r>
    </w:p>
    <w:p w14:paraId="39836B7A">
      <w:pPr>
        <w:spacing w:line="480" w:lineRule="exact"/>
        <w:ind w:firstLine="420" w:firstLineChars="200"/>
        <w:rPr>
          <w:rFonts w:ascii="Times New Roman" w:hAnsi="Times New Roman" w:eastAsia="宋体"/>
          <w:caps w:val="0"/>
          <w:snapToGrid w:val="0"/>
          <w:color w:val="000000" w:themeColor="text1"/>
          <w:kern w:val="21"/>
          <w:szCs w:val="21"/>
          <w:highlight w:val="none"/>
          <w14:textFill>
            <w14:solidFill>
              <w14:schemeClr w14:val="tx1"/>
            </w14:solidFill>
          </w14:textFill>
        </w:rPr>
      </w:pPr>
    </w:p>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3B381">
    <w:pPr>
      <w:pStyle w:val="1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877D9">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3</w:t>
    </w:r>
    <w:r>
      <w:fldChar w:fldCharType="end"/>
    </w:r>
  </w:p>
  <w:p w14:paraId="5A10DA69">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4869CA">
    <w:pPr>
      <w:pStyle w:val="13"/>
      <w:jc w:val="center"/>
      <w:rPr>
        <w:rStyle w:val="25"/>
        <w:rFonts w:ascii="宋体" w:hAnsi="宋体"/>
        <w:sz w:val="28"/>
        <w:szCs w:val="28"/>
      </w:rPr>
    </w:pPr>
    <w:r>
      <w:rPr>
        <w:rStyle w:val="25"/>
        <w:rFonts w:hint="eastAsia" w:ascii="宋体" w:hAnsi="宋体"/>
        <w:sz w:val="28"/>
        <w:szCs w:val="28"/>
      </w:rPr>
      <w:t>—</w:t>
    </w:r>
    <w:r>
      <w:rPr>
        <w:rStyle w:val="25"/>
        <w:rFonts w:hint="eastAsia" w:ascii="宋体" w:hAnsi="宋体"/>
        <w:sz w:val="20"/>
      </w:rPr>
      <w:t xml:space="preserve">  </w:t>
    </w:r>
    <w:r>
      <w:rPr>
        <w:rStyle w:val="25"/>
        <w:sz w:val="26"/>
        <w:szCs w:val="26"/>
      </w:rPr>
      <w:fldChar w:fldCharType="begin"/>
    </w:r>
    <w:r>
      <w:rPr>
        <w:rStyle w:val="25"/>
        <w:sz w:val="26"/>
        <w:szCs w:val="26"/>
      </w:rPr>
      <w:instrText xml:space="preserve">PAGE  </w:instrText>
    </w:r>
    <w:r>
      <w:rPr>
        <w:rStyle w:val="25"/>
        <w:sz w:val="26"/>
        <w:szCs w:val="26"/>
      </w:rPr>
      <w:fldChar w:fldCharType="separate"/>
    </w:r>
    <w:r>
      <w:rPr>
        <w:rStyle w:val="25"/>
        <w:sz w:val="26"/>
        <w:szCs w:val="26"/>
      </w:rPr>
      <w:t>19</w:t>
    </w:r>
    <w:r>
      <w:rPr>
        <w:rStyle w:val="25"/>
        <w:sz w:val="26"/>
        <w:szCs w:val="26"/>
      </w:rPr>
      <w:fldChar w:fldCharType="end"/>
    </w:r>
    <w:r>
      <w:rPr>
        <w:rStyle w:val="25"/>
        <w:sz w:val="20"/>
      </w:rPr>
      <w:t xml:space="preserve">  </w:t>
    </w:r>
    <w:r>
      <w:rPr>
        <w:rStyle w:val="25"/>
        <w:rFonts w:hint="eastAsia" w:ascii="宋体" w:hAnsi="宋体"/>
        <w:sz w:val="28"/>
        <w:szCs w:val="28"/>
      </w:rPr>
      <w:t>—</w:t>
    </w:r>
  </w:p>
  <w:p w14:paraId="071DD056">
    <w:pPr>
      <w:pStyle w:val="13"/>
      <w:jc w:val="center"/>
    </w:pPr>
  </w:p>
  <w:p w14:paraId="1F8E304C">
    <w:pPr>
      <w:pStyle w:val="13"/>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E7D6A">
    <w:pPr>
      <w:pStyle w:val="13"/>
      <w:framePr w:wrap="around" w:vAnchor="text" w:hAnchor="margin" w:xAlign="center" w:y="1"/>
      <w:rPr>
        <w:rStyle w:val="25"/>
        <w:rFonts w:ascii="宋体" w:hAnsi="宋体"/>
        <w:sz w:val="28"/>
        <w:szCs w:val="28"/>
      </w:rPr>
    </w:pPr>
    <w:r>
      <w:rPr>
        <w:rStyle w:val="25"/>
        <w:rFonts w:hint="eastAsia" w:ascii="宋体" w:hAnsi="宋体"/>
        <w:sz w:val="28"/>
        <w:szCs w:val="28"/>
      </w:rPr>
      <w:t>—</w:t>
    </w:r>
    <w:r>
      <w:rPr>
        <w:rStyle w:val="25"/>
        <w:rFonts w:hint="eastAsia" w:ascii="宋体" w:hAnsi="宋体"/>
        <w:sz w:val="20"/>
      </w:rPr>
      <w:t xml:space="preserve">  </w:t>
    </w:r>
    <w:r>
      <w:rPr>
        <w:rStyle w:val="25"/>
        <w:rFonts w:ascii="宋体" w:hAnsi="宋体"/>
        <w:sz w:val="26"/>
        <w:szCs w:val="26"/>
      </w:rPr>
      <w:fldChar w:fldCharType="begin"/>
    </w:r>
    <w:r>
      <w:rPr>
        <w:rStyle w:val="25"/>
        <w:rFonts w:ascii="宋体" w:hAnsi="宋体"/>
        <w:sz w:val="26"/>
        <w:szCs w:val="26"/>
      </w:rPr>
      <w:instrText xml:space="preserve">PAGE  </w:instrText>
    </w:r>
    <w:r>
      <w:rPr>
        <w:rStyle w:val="25"/>
        <w:rFonts w:ascii="宋体" w:hAnsi="宋体"/>
        <w:sz w:val="26"/>
        <w:szCs w:val="26"/>
      </w:rPr>
      <w:fldChar w:fldCharType="separate"/>
    </w:r>
    <w:r>
      <w:rPr>
        <w:rStyle w:val="25"/>
        <w:rFonts w:ascii="宋体" w:hAnsi="宋体"/>
        <w:sz w:val="26"/>
        <w:szCs w:val="26"/>
      </w:rPr>
      <w:t>69</w:t>
    </w:r>
    <w:r>
      <w:rPr>
        <w:rStyle w:val="25"/>
        <w:rFonts w:ascii="宋体" w:hAnsi="宋体"/>
        <w:sz w:val="26"/>
        <w:szCs w:val="26"/>
      </w:rPr>
      <w:fldChar w:fldCharType="end"/>
    </w:r>
    <w:r>
      <w:rPr>
        <w:rStyle w:val="25"/>
        <w:rFonts w:hint="eastAsia" w:ascii="宋体" w:hAnsi="宋体"/>
        <w:sz w:val="20"/>
      </w:rPr>
      <w:t xml:space="preserve">  </w:t>
    </w:r>
    <w:r>
      <w:rPr>
        <w:rStyle w:val="25"/>
        <w:rFonts w:hint="eastAsia" w:ascii="宋体" w:hAnsi="宋体"/>
        <w:sz w:val="28"/>
        <w:szCs w:val="28"/>
      </w:rPr>
      <w:t>—</w:t>
    </w:r>
  </w:p>
  <w:p w14:paraId="4CB7A856">
    <w:pPr>
      <w:pStyle w:val="13"/>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A1209"/>
    <w:multiLevelType w:val="singleLevel"/>
    <w:tmpl w:val="85AA1209"/>
    <w:lvl w:ilvl="0" w:tentative="0">
      <w:start w:val="1"/>
      <w:numFmt w:val="decimal"/>
      <w:suff w:val="nothing"/>
      <w:lvlText w:val="%1、"/>
      <w:lvlJc w:val="left"/>
    </w:lvl>
  </w:abstractNum>
  <w:abstractNum w:abstractNumId="1">
    <w:nsid w:val="AADCC010"/>
    <w:multiLevelType w:val="singleLevel"/>
    <w:tmpl w:val="AADCC010"/>
    <w:lvl w:ilvl="0" w:tentative="0">
      <w:start w:val="2"/>
      <w:numFmt w:val="decimal"/>
      <w:suff w:val="nothing"/>
      <w:lvlText w:val="（%1）"/>
      <w:lvlJc w:val="left"/>
    </w:lvl>
  </w:abstractNum>
  <w:abstractNum w:abstractNumId="2">
    <w:nsid w:val="B53DE415"/>
    <w:multiLevelType w:val="singleLevel"/>
    <w:tmpl w:val="B53DE415"/>
    <w:lvl w:ilvl="0" w:tentative="0">
      <w:start w:val="1"/>
      <w:numFmt w:val="decimal"/>
      <w:suff w:val="nothing"/>
      <w:lvlText w:val="%1）"/>
      <w:lvlJc w:val="left"/>
    </w:lvl>
  </w:abstractNum>
  <w:abstractNum w:abstractNumId="3">
    <w:nsid w:val="B8B0B016"/>
    <w:multiLevelType w:val="singleLevel"/>
    <w:tmpl w:val="B8B0B016"/>
    <w:lvl w:ilvl="0" w:tentative="0">
      <w:start w:val="1"/>
      <w:numFmt w:val="decimal"/>
      <w:suff w:val="nothing"/>
      <w:lvlText w:val="（%1）"/>
      <w:lvlJc w:val="left"/>
    </w:lvl>
  </w:abstractNum>
  <w:abstractNum w:abstractNumId="4">
    <w:nsid w:val="C1295CB3"/>
    <w:multiLevelType w:val="singleLevel"/>
    <w:tmpl w:val="C1295CB3"/>
    <w:lvl w:ilvl="0" w:tentative="0">
      <w:start w:val="10"/>
      <w:numFmt w:val="decimal"/>
      <w:suff w:val="nothing"/>
      <w:lvlText w:val="%1、"/>
      <w:lvlJc w:val="left"/>
    </w:lvl>
  </w:abstractNum>
  <w:abstractNum w:abstractNumId="5">
    <w:nsid w:val="3B8091A5"/>
    <w:multiLevelType w:val="singleLevel"/>
    <w:tmpl w:val="3B8091A5"/>
    <w:lvl w:ilvl="0" w:tentative="0">
      <w:start w:val="6"/>
      <w:numFmt w:val="decimal"/>
      <w:suff w:val="nothing"/>
      <w:lvlText w:val="%1、"/>
      <w:lvlJc w:val="left"/>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Q2ZTE2MWRkZDkyMWZiNTFmMTQ2ZWNhMWFhYzY2YWYifQ=="/>
  </w:docVars>
  <w:rsids>
    <w:rsidRoot w:val="00172A27"/>
    <w:rsid w:val="00000597"/>
    <w:rsid w:val="00000A4D"/>
    <w:rsid w:val="00000C81"/>
    <w:rsid w:val="00000DA1"/>
    <w:rsid w:val="0000158B"/>
    <w:rsid w:val="000016A7"/>
    <w:rsid w:val="00002BBA"/>
    <w:rsid w:val="00003481"/>
    <w:rsid w:val="000038B7"/>
    <w:rsid w:val="00003B7C"/>
    <w:rsid w:val="00003F78"/>
    <w:rsid w:val="000048E0"/>
    <w:rsid w:val="000048EE"/>
    <w:rsid w:val="000052AE"/>
    <w:rsid w:val="00005578"/>
    <w:rsid w:val="00005633"/>
    <w:rsid w:val="00005B3B"/>
    <w:rsid w:val="000060B3"/>
    <w:rsid w:val="000069A3"/>
    <w:rsid w:val="00006A7F"/>
    <w:rsid w:val="00006B1A"/>
    <w:rsid w:val="0001093C"/>
    <w:rsid w:val="00010C35"/>
    <w:rsid w:val="00010DA4"/>
    <w:rsid w:val="000113C4"/>
    <w:rsid w:val="000122B6"/>
    <w:rsid w:val="000134E6"/>
    <w:rsid w:val="00013CAA"/>
    <w:rsid w:val="00014093"/>
    <w:rsid w:val="0001549B"/>
    <w:rsid w:val="0001571E"/>
    <w:rsid w:val="00015BAF"/>
    <w:rsid w:val="00015DD9"/>
    <w:rsid w:val="0001670A"/>
    <w:rsid w:val="00016827"/>
    <w:rsid w:val="00020604"/>
    <w:rsid w:val="000208D6"/>
    <w:rsid w:val="00020E7F"/>
    <w:rsid w:val="000213F0"/>
    <w:rsid w:val="00022921"/>
    <w:rsid w:val="00022F3B"/>
    <w:rsid w:val="00023578"/>
    <w:rsid w:val="00023BC9"/>
    <w:rsid w:val="00023DF6"/>
    <w:rsid w:val="00024456"/>
    <w:rsid w:val="00024AB1"/>
    <w:rsid w:val="000301D4"/>
    <w:rsid w:val="00030213"/>
    <w:rsid w:val="0003037F"/>
    <w:rsid w:val="00030E53"/>
    <w:rsid w:val="000312D3"/>
    <w:rsid w:val="000313F7"/>
    <w:rsid w:val="000318B6"/>
    <w:rsid w:val="00032699"/>
    <w:rsid w:val="00032882"/>
    <w:rsid w:val="00032F4C"/>
    <w:rsid w:val="00033155"/>
    <w:rsid w:val="00033EDA"/>
    <w:rsid w:val="0003431B"/>
    <w:rsid w:val="00034354"/>
    <w:rsid w:val="00034DC2"/>
    <w:rsid w:val="00035BB9"/>
    <w:rsid w:val="000374AA"/>
    <w:rsid w:val="00040085"/>
    <w:rsid w:val="00040C0F"/>
    <w:rsid w:val="000421B3"/>
    <w:rsid w:val="0004364B"/>
    <w:rsid w:val="00043916"/>
    <w:rsid w:val="0004518C"/>
    <w:rsid w:val="00045E90"/>
    <w:rsid w:val="00046420"/>
    <w:rsid w:val="000466DC"/>
    <w:rsid w:val="000467FE"/>
    <w:rsid w:val="00046DF3"/>
    <w:rsid w:val="0004739C"/>
    <w:rsid w:val="000501CB"/>
    <w:rsid w:val="00050CBE"/>
    <w:rsid w:val="00050E0C"/>
    <w:rsid w:val="000510A9"/>
    <w:rsid w:val="00051AA7"/>
    <w:rsid w:val="00051B8C"/>
    <w:rsid w:val="00051D2E"/>
    <w:rsid w:val="00051F70"/>
    <w:rsid w:val="00052503"/>
    <w:rsid w:val="000549C3"/>
    <w:rsid w:val="00054B05"/>
    <w:rsid w:val="00055138"/>
    <w:rsid w:val="00056571"/>
    <w:rsid w:val="00056C45"/>
    <w:rsid w:val="00057326"/>
    <w:rsid w:val="000573C5"/>
    <w:rsid w:val="000576B8"/>
    <w:rsid w:val="00057B69"/>
    <w:rsid w:val="00057D2F"/>
    <w:rsid w:val="00057FCC"/>
    <w:rsid w:val="00060634"/>
    <w:rsid w:val="00060C11"/>
    <w:rsid w:val="00060D64"/>
    <w:rsid w:val="00061B1F"/>
    <w:rsid w:val="00062717"/>
    <w:rsid w:val="000632EF"/>
    <w:rsid w:val="0006404F"/>
    <w:rsid w:val="00064630"/>
    <w:rsid w:val="00064C4F"/>
    <w:rsid w:val="00064FC8"/>
    <w:rsid w:val="00065426"/>
    <w:rsid w:val="0006560C"/>
    <w:rsid w:val="00065C8E"/>
    <w:rsid w:val="00066265"/>
    <w:rsid w:val="000666FC"/>
    <w:rsid w:val="0006717D"/>
    <w:rsid w:val="00070695"/>
    <w:rsid w:val="000706A3"/>
    <w:rsid w:val="000716D5"/>
    <w:rsid w:val="00071924"/>
    <w:rsid w:val="000729C9"/>
    <w:rsid w:val="000733C4"/>
    <w:rsid w:val="00073EC3"/>
    <w:rsid w:val="0007432F"/>
    <w:rsid w:val="00074783"/>
    <w:rsid w:val="000749AE"/>
    <w:rsid w:val="00075845"/>
    <w:rsid w:val="00075A60"/>
    <w:rsid w:val="00075D1C"/>
    <w:rsid w:val="00076B9F"/>
    <w:rsid w:val="00077592"/>
    <w:rsid w:val="00077EF0"/>
    <w:rsid w:val="0008066D"/>
    <w:rsid w:val="0008070B"/>
    <w:rsid w:val="00080B3D"/>
    <w:rsid w:val="000810AC"/>
    <w:rsid w:val="00081A02"/>
    <w:rsid w:val="00081C2E"/>
    <w:rsid w:val="00082231"/>
    <w:rsid w:val="00083EE7"/>
    <w:rsid w:val="00084BF2"/>
    <w:rsid w:val="0008551C"/>
    <w:rsid w:val="00085727"/>
    <w:rsid w:val="000859AB"/>
    <w:rsid w:val="00086A68"/>
    <w:rsid w:val="00086B7E"/>
    <w:rsid w:val="00087E06"/>
    <w:rsid w:val="0009111F"/>
    <w:rsid w:val="00091938"/>
    <w:rsid w:val="00091DCA"/>
    <w:rsid w:val="00091EFD"/>
    <w:rsid w:val="00092D03"/>
    <w:rsid w:val="00092D38"/>
    <w:rsid w:val="00092FC7"/>
    <w:rsid w:val="0009315E"/>
    <w:rsid w:val="000933DB"/>
    <w:rsid w:val="0009377B"/>
    <w:rsid w:val="00095AFE"/>
    <w:rsid w:val="00095FFA"/>
    <w:rsid w:val="000966E4"/>
    <w:rsid w:val="000970AD"/>
    <w:rsid w:val="00097F09"/>
    <w:rsid w:val="000A008A"/>
    <w:rsid w:val="000A119C"/>
    <w:rsid w:val="000A1AEE"/>
    <w:rsid w:val="000A1D71"/>
    <w:rsid w:val="000A20C9"/>
    <w:rsid w:val="000A2208"/>
    <w:rsid w:val="000A25C4"/>
    <w:rsid w:val="000A2656"/>
    <w:rsid w:val="000A2696"/>
    <w:rsid w:val="000A28BD"/>
    <w:rsid w:val="000A3ED1"/>
    <w:rsid w:val="000A4EAB"/>
    <w:rsid w:val="000A6389"/>
    <w:rsid w:val="000A641D"/>
    <w:rsid w:val="000A6C67"/>
    <w:rsid w:val="000A7944"/>
    <w:rsid w:val="000B058F"/>
    <w:rsid w:val="000B0F25"/>
    <w:rsid w:val="000B1A17"/>
    <w:rsid w:val="000B1ABF"/>
    <w:rsid w:val="000B2971"/>
    <w:rsid w:val="000B2AB7"/>
    <w:rsid w:val="000B36DA"/>
    <w:rsid w:val="000B3B53"/>
    <w:rsid w:val="000B4467"/>
    <w:rsid w:val="000B47C7"/>
    <w:rsid w:val="000B4DB9"/>
    <w:rsid w:val="000B52CC"/>
    <w:rsid w:val="000B54B6"/>
    <w:rsid w:val="000B6F4F"/>
    <w:rsid w:val="000B745D"/>
    <w:rsid w:val="000B78F3"/>
    <w:rsid w:val="000C0148"/>
    <w:rsid w:val="000C0207"/>
    <w:rsid w:val="000C09AC"/>
    <w:rsid w:val="000C1D56"/>
    <w:rsid w:val="000C245D"/>
    <w:rsid w:val="000C3484"/>
    <w:rsid w:val="000C3744"/>
    <w:rsid w:val="000C3A9F"/>
    <w:rsid w:val="000C46EB"/>
    <w:rsid w:val="000C4A65"/>
    <w:rsid w:val="000C5CAC"/>
    <w:rsid w:val="000C63D8"/>
    <w:rsid w:val="000C6F4A"/>
    <w:rsid w:val="000C72B4"/>
    <w:rsid w:val="000C767F"/>
    <w:rsid w:val="000C775A"/>
    <w:rsid w:val="000D0849"/>
    <w:rsid w:val="000D08D7"/>
    <w:rsid w:val="000D1182"/>
    <w:rsid w:val="000D137D"/>
    <w:rsid w:val="000D1AB9"/>
    <w:rsid w:val="000D1D06"/>
    <w:rsid w:val="000D1FC4"/>
    <w:rsid w:val="000D27F3"/>
    <w:rsid w:val="000D4E92"/>
    <w:rsid w:val="000D5A44"/>
    <w:rsid w:val="000D5EAA"/>
    <w:rsid w:val="000D6395"/>
    <w:rsid w:val="000D6BA0"/>
    <w:rsid w:val="000D6C21"/>
    <w:rsid w:val="000E0BC3"/>
    <w:rsid w:val="000E0CD7"/>
    <w:rsid w:val="000E0E6D"/>
    <w:rsid w:val="000E10C8"/>
    <w:rsid w:val="000E1353"/>
    <w:rsid w:val="000E13CD"/>
    <w:rsid w:val="000E170E"/>
    <w:rsid w:val="000E2687"/>
    <w:rsid w:val="000E3068"/>
    <w:rsid w:val="000E33DF"/>
    <w:rsid w:val="000E38D0"/>
    <w:rsid w:val="000E3ED2"/>
    <w:rsid w:val="000E4CDF"/>
    <w:rsid w:val="000E4DFF"/>
    <w:rsid w:val="000E602B"/>
    <w:rsid w:val="000E6D1C"/>
    <w:rsid w:val="000F0203"/>
    <w:rsid w:val="000F0462"/>
    <w:rsid w:val="000F05BB"/>
    <w:rsid w:val="000F071C"/>
    <w:rsid w:val="000F264C"/>
    <w:rsid w:val="000F2775"/>
    <w:rsid w:val="000F47FC"/>
    <w:rsid w:val="000F53A4"/>
    <w:rsid w:val="000F5687"/>
    <w:rsid w:val="000F5880"/>
    <w:rsid w:val="000F5F59"/>
    <w:rsid w:val="000F645E"/>
    <w:rsid w:val="000F6EA0"/>
    <w:rsid w:val="000F6FE1"/>
    <w:rsid w:val="000F7F58"/>
    <w:rsid w:val="00100852"/>
    <w:rsid w:val="0010086B"/>
    <w:rsid w:val="0010185A"/>
    <w:rsid w:val="00101B79"/>
    <w:rsid w:val="001020A5"/>
    <w:rsid w:val="00102317"/>
    <w:rsid w:val="00102E6B"/>
    <w:rsid w:val="001037C8"/>
    <w:rsid w:val="00103D78"/>
    <w:rsid w:val="00104732"/>
    <w:rsid w:val="001048B1"/>
    <w:rsid w:val="00104C9F"/>
    <w:rsid w:val="001050CA"/>
    <w:rsid w:val="00107333"/>
    <w:rsid w:val="001077B4"/>
    <w:rsid w:val="00107B97"/>
    <w:rsid w:val="00110653"/>
    <w:rsid w:val="00110A4B"/>
    <w:rsid w:val="00110C80"/>
    <w:rsid w:val="00111444"/>
    <w:rsid w:val="0011216F"/>
    <w:rsid w:val="00112313"/>
    <w:rsid w:val="0011397B"/>
    <w:rsid w:val="00113D0A"/>
    <w:rsid w:val="00113F15"/>
    <w:rsid w:val="00114A92"/>
    <w:rsid w:val="00115008"/>
    <w:rsid w:val="00115642"/>
    <w:rsid w:val="00115B86"/>
    <w:rsid w:val="00115B9E"/>
    <w:rsid w:val="00116121"/>
    <w:rsid w:val="001169F5"/>
    <w:rsid w:val="0011776C"/>
    <w:rsid w:val="00117916"/>
    <w:rsid w:val="001179AD"/>
    <w:rsid w:val="0012067B"/>
    <w:rsid w:val="001219DA"/>
    <w:rsid w:val="00122A94"/>
    <w:rsid w:val="001230B1"/>
    <w:rsid w:val="001231CD"/>
    <w:rsid w:val="001231E4"/>
    <w:rsid w:val="00123350"/>
    <w:rsid w:val="00123690"/>
    <w:rsid w:val="0012384F"/>
    <w:rsid w:val="00123CF2"/>
    <w:rsid w:val="00124006"/>
    <w:rsid w:val="0012480C"/>
    <w:rsid w:val="00124AC2"/>
    <w:rsid w:val="00124D63"/>
    <w:rsid w:val="00124F6D"/>
    <w:rsid w:val="00124FEB"/>
    <w:rsid w:val="00126125"/>
    <w:rsid w:val="00127037"/>
    <w:rsid w:val="0012782B"/>
    <w:rsid w:val="00130515"/>
    <w:rsid w:val="00130B5B"/>
    <w:rsid w:val="00130D3C"/>
    <w:rsid w:val="00131260"/>
    <w:rsid w:val="00131C49"/>
    <w:rsid w:val="00131F42"/>
    <w:rsid w:val="001327EF"/>
    <w:rsid w:val="00132AB5"/>
    <w:rsid w:val="00132F7C"/>
    <w:rsid w:val="00134079"/>
    <w:rsid w:val="00134BE8"/>
    <w:rsid w:val="00134DE0"/>
    <w:rsid w:val="00134F0A"/>
    <w:rsid w:val="00135706"/>
    <w:rsid w:val="001357F1"/>
    <w:rsid w:val="0013603C"/>
    <w:rsid w:val="001361A9"/>
    <w:rsid w:val="00136CDE"/>
    <w:rsid w:val="00136D8B"/>
    <w:rsid w:val="0013755F"/>
    <w:rsid w:val="001403AD"/>
    <w:rsid w:val="00140640"/>
    <w:rsid w:val="00140799"/>
    <w:rsid w:val="00140FA8"/>
    <w:rsid w:val="00141B93"/>
    <w:rsid w:val="00141F0F"/>
    <w:rsid w:val="00142FEB"/>
    <w:rsid w:val="0014331A"/>
    <w:rsid w:val="0014362A"/>
    <w:rsid w:val="00143A2D"/>
    <w:rsid w:val="00143B99"/>
    <w:rsid w:val="00145091"/>
    <w:rsid w:val="00145A41"/>
    <w:rsid w:val="00145F63"/>
    <w:rsid w:val="001461CA"/>
    <w:rsid w:val="001463BF"/>
    <w:rsid w:val="00146C8A"/>
    <w:rsid w:val="001476B6"/>
    <w:rsid w:val="00147B56"/>
    <w:rsid w:val="00147F98"/>
    <w:rsid w:val="00150220"/>
    <w:rsid w:val="00151675"/>
    <w:rsid w:val="001516E6"/>
    <w:rsid w:val="00151A40"/>
    <w:rsid w:val="001528E0"/>
    <w:rsid w:val="00152DAD"/>
    <w:rsid w:val="001530DD"/>
    <w:rsid w:val="0015311D"/>
    <w:rsid w:val="00153363"/>
    <w:rsid w:val="00153438"/>
    <w:rsid w:val="00153D44"/>
    <w:rsid w:val="00153D86"/>
    <w:rsid w:val="00153FE7"/>
    <w:rsid w:val="00154511"/>
    <w:rsid w:val="00154790"/>
    <w:rsid w:val="00154AA5"/>
    <w:rsid w:val="00154B5A"/>
    <w:rsid w:val="00154BE4"/>
    <w:rsid w:val="00154F47"/>
    <w:rsid w:val="0015526E"/>
    <w:rsid w:val="001557D8"/>
    <w:rsid w:val="00155A19"/>
    <w:rsid w:val="00156634"/>
    <w:rsid w:val="00157435"/>
    <w:rsid w:val="001604E7"/>
    <w:rsid w:val="001609E3"/>
    <w:rsid w:val="00161D4C"/>
    <w:rsid w:val="00161D81"/>
    <w:rsid w:val="001626D5"/>
    <w:rsid w:val="001627F2"/>
    <w:rsid w:val="00162834"/>
    <w:rsid w:val="00162DD7"/>
    <w:rsid w:val="00163033"/>
    <w:rsid w:val="00163D8B"/>
    <w:rsid w:val="001646E1"/>
    <w:rsid w:val="001652BB"/>
    <w:rsid w:val="001660C0"/>
    <w:rsid w:val="001660C8"/>
    <w:rsid w:val="0016616E"/>
    <w:rsid w:val="001666C6"/>
    <w:rsid w:val="00167A99"/>
    <w:rsid w:val="0017041E"/>
    <w:rsid w:val="00171071"/>
    <w:rsid w:val="00172C83"/>
    <w:rsid w:val="00173447"/>
    <w:rsid w:val="0017357F"/>
    <w:rsid w:val="00173904"/>
    <w:rsid w:val="00173E28"/>
    <w:rsid w:val="00174C98"/>
    <w:rsid w:val="00174DE7"/>
    <w:rsid w:val="00174E70"/>
    <w:rsid w:val="0017502D"/>
    <w:rsid w:val="0017504D"/>
    <w:rsid w:val="001759C7"/>
    <w:rsid w:val="00175FD3"/>
    <w:rsid w:val="001764B2"/>
    <w:rsid w:val="001765E8"/>
    <w:rsid w:val="0017671A"/>
    <w:rsid w:val="00176EEB"/>
    <w:rsid w:val="00177202"/>
    <w:rsid w:val="00177422"/>
    <w:rsid w:val="00177862"/>
    <w:rsid w:val="0017794E"/>
    <w:rsid w:val="001803C3"/>
    <w:rsid w:val="001808AE"/>
    <w:rsid w:val="0018090F"/>
    <w:rsid w:val="00180CF6"/>
    <w:rsid w:val="00181530"/>
    <w:rsid w:val="00182403"/>
    <w:rsid w:val="00182429"/>
    <w:rsid w:val="001825B2"/>
    <w:rsid w:val="00182969"/>
    <w:rsid w:val="001833B8"/>
    <w:rsid w:val="00184590"/>
    <w:rsid w:val="00184999"/>
    <w:rsid w:val="001851B2"/>
    <w:rsid w:val="001855C9"/>
    <w:rsid w:val="00185ABE"/>
    <w:rsid w:val="001870D1"/>
    <w:rsid w:val="0018781E"/>
    <w:rsid w:val="00187D45"/>
    <w:rsid w:val="001914A6"/>
    <w:rsid w:val="0019173B"/>
    <w:rsid w:val="00191C39"/>
    <w:rsid w:val="00192607"/>
    <w:rsid w:val="0019262D"/>
    <w:rsid w:val="0019277C"/>
    <w:rsid w:val="00192E5F"/>
    <w:rsid w:val="001933A2"/>
    <w:rsid w:val="001947DB"/>
    <w:rsid w:val="00194C94"/>
    <w:rsid w:val="001957A2"/>
    <w:rsid w:val="00195BDA"/>
    <w:rsid w:val="00195D83"/>
    <w:rsid w:val="001974B1"/>
    <w:rsid w:val="00197659"/>
    <w:rsid w:val="001A0636"/>
    <w:rsid w:val="001A1095"/>
    <w:rsid w:val="001A1300"/>
    <w:rsid w:val="001A1B35"/>
    <w:rsid w:val="001A1D95"/>
    <w:rsid w:val="001A27A3"/>
    <w:rsid w:val="001A27E9"/>
    <w:rsid w:val="001A2DAB"/>
    <w:rsid w:val="001A2E79"/>
    <w:rsid w:val="001A336A"/>
    <w:rsid w:val="001A41DA"/>
    <w:rsid w:val="001A48A2"/>
    <w:rsid w:val="001A4CB8"/>
    <w:rsid w:val="001A4EC3"/>
    <w:rsid w:val="001A5258"/>
    <w:rsid w:val="001A582A"/>
    <w:rsid w:val="001A68FB"/>
    <w:rsid w:val="001A6D2F"/>
    <w:rsid w:val="001A6F61"/>
    <w:rsid w:val="001A72C6"/>
    <w:rsid w:val="001A79C5"/>
    <w:rsid w:val="001A7FB4"/>
    <w:rsid w:val="001B0761"/>
    <w:rsid w:val="001B0D9C"/>
    <w:rsid w:val="001B10ED"/>
    <w:rsid w:val="001B12C3"/>
    <w:rsid w:val="001B1877"/>
    <w:rsid w:val="001B1A8D"/>
    <w:rsid w:val="001B2599"/>
    <w:rsid w:val="001B2BF8"/>
    <w:rsid w:val="001B32FC"/>
    <w:rsid w:val="001B3BBC"/>
    <w:rsid w:val="001B3EE4"/>
    <w:rsid w:val="001B442C"/>
    <w:rsid w:val="001B530A"/>
    <w:rsid w:val="001B6C8C"/>
    <w:rsid w:val="001B7292"/>
    <w:rsid w:val="001B72B8"/>
    <w:rsid w:val="001B7AC0"/>
    <w:rsid w:val="001B7BCC"/>
    <w:rsid w:val="001C0505"/>
    <w:rsid w:val="001C05D0"/>
    <w:rsid w:val="001C1484"/>
    <w:rsid w:val="001C1B45"/>
    <w:rsid w:val="001C1E79"/>
    <w:rsid w:val="001C2331"/>
    <w:rsid w:val="001C277D"/>
    <w:rsid w:val="001C29DA"/>
    <w:rsid w:val="001C3A98"/>
    <w:rsid w:val="001C4848"/>
    <w:rsid w:val="001C4AFA"/>
    <w:rsid w:val="001C5FED"/>
    <w:rsid w:val="001C6996"/>
    <w:rsid w:val="001C69B3"/>
    <w:rsid w:val="001C6A06"/>
    <w:rsid w:val="001C6F18"/>
    <w:rsid w:val="001C70F9"/>
    <w:rsid w:val="001C72B5"/>
    <w:rsid w:val="001C7B41"/>
    <w:rsid w:val="001D08ED"/>
    <w:rsid w:val="001D1DE2"/>
    <w:rsid w:val="001D2C91"/>
    <w:rsid w:val="001D2E0D"/>
    <w:rsid w:val="001D2E3D"/>
    <w:rsid w:val="001D33EF"/>
    <w:rsid w:val="001D4361"/>
    <w:rsid w:val="001D498B"/>
    <w:rsid w:val="001D5291"/>
    <w:rsid w:val="001D533B"/>
    <w:rsid w:val="001D5595"/>
    <w:rsid w:val="001D567F"/>
    <w:rsid w:val="001D5B06"/>
    <w:rsid w:val="001D5CDC"/>
    <w:rsid w:val="001D6567"/>
    <w:rsid w:val="001D6F6D"/>
    <w:rsid w:val="001D70C1"/>
    <w:rsid w:val="001D755D"/>
    <w:rsid w:val="001D7874"/>
    <w:rsid w:val="001D78A1"/>
    <w:rsid w:val="001D7F22"/>
    <w:rsid w:val="001E083F"/>
    <w:rsid w:val="001E18E3"/>
    <w:rsid w:val="001E1ED7"/>
    <w:rsid w:val="001E204E"/>
    <w:rsid w:val="001E3224"/>
    <w:rsid w:val="001E37C7"/>
    <w:rsid w:val="001E3D1E"/>
    <w:rsid w:val="001E52C7"/>
    <w:rsid w:val="001E5AAB"/>
    <w:rsid w:val="001E5FD4"/>
    <w:rsid w:val="001E627A"/>
    <w:rsid w:val="001E69ED"/>
    <w:rsid w:val="001E7679"/>
    <w:rsid w:val="001E7A62"/>
    <w:rsid w:val="001E7D45"/>
    <w:rsid w:val="001F005C"/>
    <w:rsid w:val="001F0F17"/>
    <w:rsid w:val="001F13CA"/>
    <w:rsid w:val="001F173E"/>
    <w:rsid w:val="001F1A2F"/>
    <w:rsid w:val="001F2871"/>
    <w:rsid w:val="001F2931"/>
    <w:rsid w:val="001F2B0D"/>
    <w:rsid w:val="001F2BA7"/>
    <w:rsid w:val="001F3347"/>
    <w:rsid w:val="001F366E"/>
    <w:rsid w:val="001F45E4"/>
    <w:rsid w:val="001F64D4"/>
    <w:rsid w:val="001F69E4"/>
    <w:rsid w:val="001F6F82"/>
    <w:rsid w:val="001F72E7"/>
    <w:rsid w:val="00200C45"/>
    <w:rsid w:val="0020107B"/>
    <w:rsid w:val="00201A18"/>
    <w:rsid w:val="00202BAF"/>
    <w:rsid w:val="00203551"/>
    <w:rsid w:val="0020387A"/>
    <w:rsid w:val="00203EFF"/>
    <w:rsid w:val="0020442E"/>
    <w:rsid w:val="00204530"/>
    <w:rsid w:val="00204640"/>
    <w:rsid w:val="002048C3"/>
    <w:rsid w:val="00204D91"/>
    <w:rsid w:val="00205760"/>
    <w:rsid w:val="0020617B"/>
    <w:rsid w:val="00206882"/>
    <w:rsid w:val="002068D6"/>
    <w:rsid w:val="00206AC8"/>
    <w:rsid w:val="0020708E"/>
    <w:rsid w:val="002075CE"/>
    <w:rsid w:val="0020760D"/>
    <w:rsid w:val="0021034C"/>
    <w:rsid w:val="0021096D"/>
    <w:rsid w:val="002118EB"/>
    <w:rsid w:val="0021217B"/>
    <w:rsid w:val="002125B4"/>
    <w:rsid w:val="0021260C"/>
    <w:rsid w:val="00212802"/>
    <w:rsid w:val="00214040"/>
    <w:rsid w:val="002143E7"/>
    <w:rsid w:val="002155B8"/>
    <w:rsid w:val="00215A61"/>
    <w:rsid w:val="00216216"/>
    <w:rsid w:val="0021667F"/>
    <w:rsid w:val="00217412"/>
    <w:rsid w:val="00217902"/>
    <w:rsid w:val="00217E4E"/>
    <w:rsid w:val="002201F4"/>
    <w:rsid w:val="00220F9D"/>
    <w:rsid w:val="00221A1C"/>
    <w:rsid w:val="00222743"/>
    <w:rsid w:val="002229A6"/>
    <w:rsid w:val="00222AA0"/>
    <w:rsid w:val="00223967"/>
    <w:rsid w:val="002244C5"/>
    <w:rsid w:val="00224644"/>
    <w:rsid w:val="00224839"/>
    <w:rsid w:val="002249B2"/>
    <w:rsid w:val="00225840"/>
    <w:rsid w:val="0022638A"/>
    <w:rsid w:val="002264C9"/>
    <w:rsid w:val="00226574"/>
    <w:rsid w:val="00227638"/>
    <w:rsid w:val="0022770D"/>
    <w:rsid w:val="002278EC"/>
    <w:rsid w:val="00230855"/>
    <w:rsid w:val="00231C3D"/>
    <w:rsid w:val="00231C54"/>
    <w:rsid w:val="0023280E"/>
    <w:rsid w:val="00232E08"/>
    <w:rsid w:val="00233403"/>
    <w:rsid w:val="0023443A"/>
    <w:rsid w:val="0023492A"/>
    <w:rsid w:val="002351D5"/>
    <w:rsid w:val="00236A4C"/>
    <w:rsid w:val="00236A6A"/>
    <w:rsid w:val="002370F3"/>
    <w:rsid w:val="0023749D"/>
    <w:rsid w:val="002377D1"/>
    <w:rsid w:val="00237931"/>
    <w:rsid w:val="00237A6E"/>
    <w:rsid w:val="00237ACB"/>
    <w:rsid w:val="00240B65"/>
    <w:rsid w:val="002415AA"/>
    <w:rsid w:val="00242269"/>
    <w:rsid w:val="00242443"/>
    <w:rsid w:val="0024255D"/>
    <w:rsid w:val="00242625"/>
    <w:rsid w:val="002429B3"/>
    <w:rsid w:val="00242C76"/>
    <w:rsid w:val="00243A2B"/>
    <w:rsid w:val="00244E86"/>
    <w:rsid w:val="00245862"/>
    <w:rsid w:val="00245B9B"/>
    <w:rsid w:val="00245F07"/>
    <w:rsid w:val="00246A35"/>
    <w:rsid w:val="00247864"/>
    <w:rsid w:val="002504C6"/>
    <w:rsid w:val="002504FE"/>
    <w:rsid w:val="002506BC"/>
    <w:rsid w:val="002508B8"/>
    <w:rsid w:val="00252773"/>
    <w:rsid w:val="00252846"/>
    <w:rsid w:val="0025291B"/>
    <w:rsid w:val="00252DBE"/>
    <w:rsid w:val="00253494"/>
    <w:rsid w:val="00253846"/>
    <w:rsid w:val="00254345"/>
    <w:rsid w:val="002548AD"/>
    <w:rsid w:val="00254D99"/>
    <w:rsid w:val="0025548E"/>
    <w:rsid w:val="00255A9C"/>
    <w:rsid w:val="00255DD0"/>
    <w:rsid w:val="00256FAB"/>
    <w:rsid w:val="00260085"/>
    <w:rsid w:val="00260258"/>
    <w:rsid w:val="002606E2"/>
    <w:rsid w:val="00260D33"/>
    <w:rsid w:val="00261670"/>
    <w:rsid w:val="0026246B"/>
    <w:rsid w:val="002627A2"/>
    <w:rsid w:val="00263334"/>
    <w:rsid w:val="0026397E"/>
    <w:rsid w:val="002639C8"/>
    <w:rsid w:val="00264557"/>
    <w:rsid w:val="002647B7"/>
    <w:rsid w:val="00265112"/>
    <w:rsid w:val="00265AD4"/>
    <w:rsid w:val="00265C54"/>
    <w:rsid w:val="00266828"/>
    <w:rsid w:val="0026781F"/>
    <w:rsid w:val="00270074"/>
    <w:rsid w:val="00270787"/>
    <w:rsid w:val="002707E5"/>
    <w:rsid w:val="00270DF9"/>
    <w:rsid w:val="0027208A"/>
    <w:rsid w:val="002732D2"/>
    <w:rsid w:val="00273385"/>
    <w:rsid w:val="00273FB3"/>
    <w:rsid w:val="00275829"/>
    <w:rsid w:val="00276D05"/>
    <w:rsid w:val="002805AB"/>
    <w:rsid w:val="00280758"/>
    <w:rsid w:val="002814E0"/>
    <w:rsid w:val="002815DA"/>
    <w:rsid w:val="00281814"/>
    <w:rsid w:val="00281B60"/>
    <w:rsid w:val="00281F5E"/>
    <w:rsid w:val="002828C6"/>
    <w:rsid w:val="0028348D"/>
    <w:rsid w:val="002839ED"/>
    <w:rsid w:val="00283DDE"/>
    <w:rsid w:val="00283E5F"/>
    <w:rsid w:val="00284204"/>
    <w:rsid w:val="00284CAF"/>
    <w:rsid w:val="002850A3"/>
    <w:rsid w:val="002854A6"/>
    <w:rsid w:val="002861FD"/>
    <w:rsid w:val="00286928"/>
    <w:rsid w:val="002875A7"/>
    <w:rsid w:val="002878E8"/>
    <w:rsid w:val="00287E3E"/>
    <w:rsid w:val="002900A0"/>
    <w:rsid w:val="00290753"/>
    <w:rsid w:val="00290A90"/>
    <w:rsid w:val="0029100E"/>
    <w:rsid w:val="0029169F"/>
    <w:rsid w:val="00291773"/>
    <w:rsid w:val="00291F7D"/>
    <w:rsid w:val="002926E2"/>
    <w:rsid w:val="00292C40"/>
    <w:rsid w:val="002935AA"/>
    <w:rsid w:val="002935AB"/>
    <w:rsid w:val="00294865"/>
    <w:rsid w:val="00294895"/>
    <w:rsid w:val="00295871"/>
    <w:rsid w:val="00295D16"/>
    <w:rsid w:val="002968E0"/>
    <w:rsid w:val="00296929"/>
    <w:rsid w:val="002969AD"/>
    <w:rsid w:val="00296F62"/>
    <w:rsid w:val="00297A6A"/>
    <w:rsid w:val="00297C37"/>
    <w:rsid w:val="002A0123"/>
    <w:rsid w:val="002A116A"/>
    <w:rsid w:val="002A168C"/>
    <w:rsid w:val="002A1B9F"/>
    <w:rsid w:val="002A1BFA"/>
    <w:rsid w:val="002A1C21"/>
    <w:rsid w:val="002A223E"/>
    <w:rsid w:val="002A2263"/>
    <w:rsid w:val="002A2365"/>
    <w:rsid w:val="002A311E"/>
    <w:rsid w:val="002A3D9A"/>
    <w:rsid w:val="002A3DC7"/>
    <w:rsid w:val="002A5055"/>
    <w:rsid w:val="002A73E0"/>
    <w:rsid w:val="002A73E6"/>
    <w:rsid w:val="002A79BF"/>
    <w:rsid w:val="002A7E76"/>
    <w:rsid w:val="002B0B7B"/>
    <w:rsid w:val="002B13DC"/>
    <w:rsid w:val="002B1557"/>
    <w:rsid w:val="002B1B43"/>
    <w:rsid w:val="002B1D19"/>
    <w:rsid w:val="002B1FE4"/>
    <w:rsid w:val="002B228E"/>
    <w:rsid w:val="002B2F2A"/>
    <w:rsid w:val="002B3B77"/>
    <w:rsid w:val="002B46C4"/>
    <w:rsid w:val="002B49E2"/>
    <w:rsid w:val="002B49E7"/>
    <w:rsid w:val="002B63D5"/>
    <w:rsid w:val="002B69D6"/>
    <w:rsid w:val="002B7901"/>
    <w:rsid w:val="002B7B00"/>
    <w:rsid w:val="002B7C44"/>
    <w:rsid w:val="002C049F"/>
    <w:rsid w:val="002C0EF6"/>
    <w:rsid w:val="002C1577"/>
    <w:rsid w:val="002C19AE"/>
    <w:rsid w:val="002C2B17"/>
    <w:rsid w:val="002C365C"/>
    <w:rsid w:val="002C3A91"/>
    <w:rsid w:val="002C440A"/>
    <w:rsid w:val="002C4621"/>
    <w:rsid w:val="002C4E23"/>
    <w:rsid w:val="002C6605"/>
    <w:rsid w:val="002C6A81"/>
    <w:rsid w:val="002C6DB3"/>
    <w:rsid w:val="002C70E1"/>
    <w:rsid w:val="002C76EB"/>
    <w:rsid w:val="002C7750"/>
    <w:rsid w:val="002C7B72"/>
    <w:rsid w:val="002D0017"/>
    <w:rsid w:val="002D09CF"/>
    <w:rsid w:val="002D0E4C"/>
    <w:rsid w:val="002D1190"/>
    <w:rsid w:val="002D16A6"/>
    <w:rsid w:val="002D184C"/>
    <w:rsid w:val="002D1A20"/>
    <w:rsid w:val="002D1ED0"/>
    <w:rsid w:val="002D20D2"/>
    <w:rsid w:val="002D2D1D"/>
    <w:rsid w:val="002D3B8A"/>
    <w:rsid w:val="002D3DD0"/>
    <w:rsid w:val="002D3E11"/>
    <w:rsid w:val="002D411F"/>
    <w:rsid w:val="002D43A1"/>
    <w:rsid w:val="002D4D33"/>
    <w:rsid w:val="002D5035"/>
    <w:rsid w:val="002D5A3F"/>
    <w:rsid w:val="002D6260"/>
    <w:rsid w:val="002D6B51"/>
    <w:rsid w:val="002D7C76"/>
    <w:rsid w:val="002E0BBC"/>
    <w:rsid w:val="002E0C11"/>
    <w:rsid w:val="002E189A"/>
    <w:rsid w:val="002E18DB"/>
    <w:rsid w:val="002E1BE6"/>
    <w:rsid w:val="002E1F3A"/>
    <w:rsid w:val="002E298A"/>
    <w:rsid w:val="002E2AB3"/>
    <w:rsid w:val="002E2EE0"/>
    <w:rsid w:val="002E3C26"/>
    <w:rsid w:val="002E43A0"/>
    <w:rsid w:val="002E470F"/>
    <w:rsid w:val="002E526D"/>
    <w:rsid w:val="002E5656"/>
    <w:rsid w:val="002E5A90"/>
    <w:rsid w:val="002E68BE"/>
    <w:rsid w:val="002E6ED4"/>
    <w:rsid w:val="002E7124"/>
    <w:rsid w:val="002E7843"/>
    <w:rsid w:val="002E7AE8"/>
    <w:rsid w:val="002E7D0E"/>
    <w:rsid w:val="002F0608"/>
    <w:rsid w:val="002F0769"/>
    <w:rsid w:val="002F11A2"/>
    <w:rsid w:val="002F155C"/>
    <w:rsid w:val="002F1868"/>
    <w:rsid w:val="002F198C"/>
    <w:rsid w:val="002F1BA5"/>
    <w:rsid w:val="002F1ED3"/>
    <w:rsid w:val="002F2476"/>
    <w:rsid w:val="002F290B"/>
    <w:rsid w:val="002F2ECC"/>
    <w:rsid w:val="002F4275"/>
    <w:rsid w:val="002F52E7"/>
    <w:rsid w:val="002F5C85"/>
    <w:rsid w:val="002F6527"/>
    <w:rsid w:val="002F65E2"/>
    <w:rsid w:val="002F6733"/>
    <w:rsid w:val="002F70C9"/>
    <w:rsid w:val="0030015B"/>
    <w:rsid w:val="003001D5"/>
    <w:rsid w:val="00300359"/>
    <w:rsid w:val="003003C9"/>
    <w:rsid w:val="00300681"/>
    <w:rsid w:val="00300BAB"/>
    <w:rsid w:val="0030109F"/>
    <w:rsid w:val="003012CE"/>
    <w:rsid w:val="00301461"/>
    <w:rsid w:val="003015C8"/>
    <w:rsid w:val="003017DC"/>
    <w:rsid w:val="00301978"/>
    <w:rsid w:val="00302A12"/>
    <w:rsid w:val="00302EDB"/>
    <w:rsid w:val="003030B5"/>
    <w:rsid w:val="00303256"/>
    <w:rsid w:val="0030332C"/>
    <w:rsid w:val="00303563"/>
    <w:rsid w:val="003039C4"/>
    <w:rsid w:val="00303F55"/>
    <w:rsid w:val="00304D86"/>
    <w:rsid w:val="00305117"/>
    <w:rsid w:val="003051C2"/>
    <w:rsid w:val="0030586C"/>
    <w:rsid w:val="003067CE"/>
    <w:rsid w:val="003069DD"/>
    <w:rsid w:val="00306CB3"/>
    <w:rsid w:val="003074E7"/>
    <w:rsid w:val="00307FAC"/>
    <w:rsid w:val="003115D6"/>
    <w:rsid w:val="00311784"/>
    <w:rsid w:val="0031187D"/>
    <w:rsid w:val="00312296"/>
    <w:rsid w:val="0031279E"/>
    <w:rsid w:val="00314F0E"/>
    <w:rsid w:val="00315385"/>
    <w:rsid w:val="003153B2"/>
    <w:rsid w:val="00315FED"/>
    <w:rsid w:val="003165D8"/>
    <w:rsid w:val="003171C9"/>
    <w:rsid w:val="0032046A"/>
    <w:rsid w:val="00320B4E"/>
    <w:rsid w:val="00321D8E"/>
    <w:rsid w:val="003223B8"/>
    <w:rsid w:val="00323588"/>
    <w:rsid w:val="00323919"/>
    <w:rsid w:val="00323B0B"/>
    <w:rsid w:val="003242AC"/>
    <w:rsid w:val="0032485E"/>
    <w:rsid w:val="003248BD"/>
    <w:rsid w:val="00325137"/>
    <w:rsid w:val="003252D1"/>
    <w:rsid w:val="00325768"/>
    <w:rsid w:val="00325928"/>
    <w:rsid w:val="003266CB"/>
    <w:rsid w:val="00326A2F"/>
    <w:rsid w:val="00326AC4"/>
    <w:rsid w:val="00326F5A"/>
    <w:rsid w:val="00327932"/>
    <w:rsid w:val="003279E4"/>
    <w:rsid w:val="003303D0"/>
    <w:rsid w:val="003308E6"/>
    <w:rsid w:val="003314F9"/>
    <w:rsid w:val="00331913"/>
    <w:rsid w:val="003319FF"/>
    <w:rsid w:val="0033268B"/>
    <w:rsid w:val="00332863"/>
    <w:rsid w:val="00333179"/>
    <w:rsid w:val="0033317E"/>
    <w:rsid w:val="003331BC"/>
    <w:rsid w:val="00333934"/>
    <w:rsid w:val="00334B62"/>
    <w:rsid w:val="00334E5F"/>
    <w:rsid w:val="00334E61"/>
    <w:rsid w:val="00335269"/>
    <w:rsid w:val="00335A25"/>
    <w:rsid w:val="0033684D"/>
    <w:rsid w:val="00336CC6"/>
    <w:rsid w:val="0033751A"/>
    <w:rsid w:val="003379A8"/>
    <w:rsid w:val="00337B42"/>
    <w:rsid w:val="00337F15"/>
    <w:rsid w:val="0034067B"/>
    <w:rsid w:val="0034138C"/>
    <w:rsid w:val="003414B3"/>
    <w:rsid w:val="00341B42"/>
    <w:rsid w:val="00341D14"/>
    <w:rsid w:val="00342407"/>
    <w:rsid w:val="003425DC"/>
    <w:rsid w:val="00343106"/>
    <w:rsid w:val="0034348F"/>
    <w:rsid w:val="003438AA"/>
    <w:rsid w:val="00343ED0"/>
    <w:rsid w:val="00343ED1"/>
    <w:rsid w:val="00343FD0"/>
    <w:rsid w:val="003447B6"/>
    <w:rsid w:val="00344906"/>
    <w:rsid w:val="00344EEE"/>
    <w:rsid w:val="00346A72"/>
    <w:rsid w:val="003472F1"/>
    <w:rsid w:val="0035101D"/>
    <w:rsid w:val="0035108A"/>
    <w:rsid w:val="00351392"/>
    <w:rsid w:val="003515F5"/>
    <w:rsid w:val="00351C1B"/>
    <w:rsid w:val="003524CD"/>
    <w:rsid w:val="00352B07"/>
    <w:rsid w:val="00353743"/>
    <w:rsid w:val="003549CD"/>
    <w:rsid w:val="00355301"/>
    <w:rsid w:val="0035548F"/>
    <w:rsid w:val="003560D5"/>
    <w:rsid w:val="003561D5"/>
    <w:rsid w:val="00356525"/>
    <w:rsid w:val="00356653"/>
    <w:rsid w:val="00356DCB"/>
    <w:rsid w:val="0035743F"/>
    <w:rsid w:val="00357BE2"/>
    <w:rsid w:val="00357D49"/>
    <w:rsid w:val="003608DB"/>
    <w:rsid w:val="0036170C"/>
    <w:rsid w:val="0036194D"/>
    <w:rsid w:val="00361B28"/>
    <w:rsid w:val="003622D6"/>
    <w:rsid w:val="00362606"/>
    <w:rsid w:val="00364496"/>
    <w:rsid w:val="00364AE6"/>
    <w:rsid w:val="0036522E"/>
    <w:rsid w:val="003652BB"/>
    <w:rsid w:val="00366287"/>
    <w:rsid w:val="003667F9"/>
    <w:rsid w:val="00366E0F"/>
    <w:rsid w:val="003672AC"/>
    <w:rsid w:val="003679EE"/>
    <w:rsid w:val="00370126"/>
    <w:rsid w:val="0037099D"/>
    <w:rsid w:val="00370B56"/>
    <w:rsid w:val="00370C31"/>
    <w:rsid w:val="0037114B"/>
    <w:rsid w:val="00371BF7"/>
    <w:rsid w:val="003723F5"/>
    <w:rsid w:val="0037302E"/>
    <w:rsid w:val="0037323E"/>
    <w:rsid w:val="00373A7C"/>
    <w:rsid w:val="00373AFD"/>
    <w:rsid w:val="00373D12"/>
    <w:rsid w:val="00373E6A"/>
    <w:rsid w:val="003740F3"/>
    <w:rsid w:val="003743ED"/>
    <w:rsid w:val="003760C5"/>
    <w:rsid w:val="00376C8B"/>
    <w:rsid w:val="00376F41"/>
    <w:rsid w:val="00377220"/>
    <w:rsid w:val="00377B19"/>
    <w:rsid w:val="00380462"/>
    <w:rsid w:val="0038165B"/>
    <w:rsid w:val="00381A72"/>
    <w:rsid w:val="00381BDC"/>
    <w:rsid w:val="00381C13"/>
    <w:rsid w:val="0038225E"/>
    <w:rsid w:val="00382DD4"/>
    <w:rsid w:val="00382E0E"/>
    <w:rsid w:val="003843AF"/>
    <w:rsid w:val="0038445C"/>
    <w:rsid w:val="00384525"/>
    <w:rsid w:val="0038460E"/>
    <w:rsid w:val="00384676"/>
    <w:rsid w:val="003846FC"/>
    <w:rsid w:val="003850E1"/>
    <w:rsid w:val="00385B19"/>
    <w:rsid w:val="00386171"/>
    <w:rsid w:val="0038629C"/>
    <w:rsid w:val="00386DC2"/>
    <w:rsid w:val="00387253"/>
    <w:rsid w:val="00387A4E"/>
    <w:rsid w:val="00387B0E"/>
    <w:rsid w:val="003904A8"/>
    <w:rsid w:val="00390857"/>
    <w:rsid w:val="003911A7"/>
    <w:rsid w:val="003915DE"/>
    <w:rsid w:val="00391C43"/>
    <w:rsid w:val="00391E25"/>
    <w:rsid w:val="00393435"/>
    <w:rsid w:val="003938DD"/>
    <w:rsid w:val="00394A28"/>
    <w:rsid w:val="00394A83"/>
    <w:rsid w:val="00394C3E"/>
    <w:rsid w:val="00395C48"/>
    <w:rsid w:val="0039740A"/>
    <w:rsid w:val="00397CE9"/>
    <w:rsid w:val="00397DA6"/>
    <w:rsid w:val="00397E55"/>
    <w:rsid w:val="003A0129"/>
    <w:rsid w:val="003A08E9"/>
    <w:rsid w:val="003A095B"/>
    <w:rsid w:val="003A0D95"/>
    <w:rsid w:val="003A115E"/>
    <w:rsid w:val="003A1BC8"/>
    <w:rsid w:val="003A1EB7"/>
    <w:rsid w:val="003A2D8B"/>
    <w:rsid w:val="003A3BAD"/>
    <w:rsid w:val="003A4AA8"/>
    <w:rsid w:val="003A4BF3"/>
    <w:rsid w:val="003A4CA3"/>
    <w:rsid w:val="003A75BF"/>
    <w:rsid w:val="003A767F"/>
    <w:rsid w:val="003B0A2D"/>
    <w:rsid w:val="003B1048"/>
    <w:rsid w:val="003B11E2"/>
    <w:rsid w:val="003B15CD"/>
    <w:rsid w:val="003B1D6A"/>
    <w:rsid w:val="003B3BA2"/>
    <w:rsid w:val="003B420D"/>
    <w:rsid w:val="003B4419"/>
    <w:rsid w:val="003B4425"/>
    <w:rsid w:val="003B44A4"/>
    <w:rsid w:val="003B576A"/>
    <w:rsid w:val="003B62D8"/>
    <w:rsid w:val="003B6C75"/>
    <w:rsid w:val="003B7CE2"/>
    <w:rsid w:val="003C1502"/>
    <w:rsid w:val="003C2213"/>
    <w:rsid w:val="003C23B2"/>
    <w:rsid w:val="003C2CCF"/>
    <w:rsid w:val="003C2CDB"/>
    <w:rsid w:val="003C339F"/>
    <w:rsid w:val="003C3B3E"/>
    <w:rsid w:val="003C4453"/>
    <w:rsid w:val="003C54D4"/>
    <w:rsid w:val="003C626B"/>
    <w:rsid w:val="003C6B4C"/>
    <w:rsid w:val="003C6C16"/>
    <w:rsid w:val="003C6E36"/>
    <w:rsid w:val="003C6E56"/>
    <w:rsid w:val="003C6F04"/>
    <w:rsid w:val="003C716D"/>
    <w:rsid w:val="003C71BF"/>
    <w:rsid w:val="003C7844"/>
    <w:rsid w:val="003D0641"/>
    <w:rsid w:val="003D0B53"/>
    <w:rsid w:val="003D154B"/>
    <w:rsid w:val="003D1821"/>
    <w:rsid w:val="003D2F7F"/>
    <w:rsid w:val="003D351E"/>
    <w:rsid w:val="003D3D0E"/>
    <w:rsid w:val="003D4217"/>
    <w:rsid w:val="003D5C79"/>
    <w:rsid w:val="003D60E2"/>
    <w:rsid w:val="003D794D"/>
    <w:rsid w:val="003E0E3A"/>
    <w:rsid w:val="003E1E69"/>
    <w:rsid w:val="003E3024"/>
    <w:rsid w:val="003E3058"/>
    <w:rsid w:val="003E31EB"/>
    <w:rsid w:val="003E395F"/>
    <w:rsid w:val="003E3B2F"/>
    <w:rsid w:val="003E3F8D"/>
    <w:rsid w:val="003E4198"/>
    <w:rsid w:val="003E4868"/>
    <w:rsid w:val="003E4C59"/>
    <w:rsid w:val="003E5448"/>
    <w:rsid w:val="003E5CFC"/>
    <w:rsid w:val="003E5FBE"/>
    <w:rsid w:val="003E6A2F"/>
    <w:rsid w:val="003E72A5"/>
    <w:rsid w:val="003E76A9"/>
    <w:rsid w:val="003E7C4E"/>
    <w:rsid w:val="003F0809"/>
    <w:rsid w:val="003F0C03"/>
    <w:rsid w:val="003F1149"/>
    <w:rsid w:val="003F1CBD"/>
    <w:rsid w:val="003F1D8A"/>
    <w:rsid w:val="003F2669"/>
    <w:rsid w:val="003F2843"/>
    <w:rsid w:val="003F3CA8"/>
    <w:rsid w:val="003F4C12"/>
    <w:rsid w:val="003F501F"/>
    <w:rsid w:val="003F538E"/>
    <w:rsid w:val="003F592D"/>
    <w:rsid w:val="003F6117"/>
    <w:rsid w:val="003F6331"/>
    <w:rsid w:val="003F6A8C"/>
    <w:rsid w:val="003F755C"/>
    <w:rsid w:val="003F7704"/>
    <w:rsid w:val="003F78C2"/>
    <w:rsid w:val="0040028F"/>
    <w:rsid w:val="00400656"/>
    <w:rsid w:val="00400BF3"/>
    <w:rsid w:val="00400D78"/>
    <w:rsid w:val="0040116D"/>
    <w:rsid w:val="00401FD5"/>
    <w:rsid w:val="00402974"/>
    <w:rsid w:val="00403DC5"/>
    <w:rsid w:val="00403EA0"/>
    <w:rsid w:val="00404318"/>
    <w:rsid w:val="00404E6F"/>
    <w:rsid w:val="00405BE0"/>
    <w:rsid w:val="0040614E"/>
    <w:rsid w:val="00406ADA"/>
    <w:rsid w:val="00406F01"/>
    <w:rsid w:val="004071C0"/>
    <w:rsid w:val="004072C0"/>
    <w:rsid w:val="00407699"/>
    <w:rsid w:val="00410092"/>
    <w:rsid w:val="004102FC"/>
    <w:rsid w:val="0041040D"/>
    <w:rsid w:val="004106D0"/>
    <w:rsid w:val="00410EEC"/>
    <w:rsid w:val="004110E6"/>
    <w:rsid w:val="00411801"/>
    <w:rsid w:val="0041249D"/>
    <w:rsid w:val="00412687"/>
    <w:rsid w:val="00412DA4"/>
    <w:rsid w:val="004144CE"/>
    <w:rsid w:val="004153DD"/>
    <w:rsid w:val="0041684C"/>
    <w:rsid w:val="004168BA"/>
    <w:rsid w:val="00416D50"/>
    <w:rsid w:val="00416D97"/>
    <w:rsid w:val="00416FD5"/>
    <w:rsid w:val="00417221"/>
    <w:rsid w:val="00417772"/>
    <w:rsid w:val="00420241"/>
    <w:rsid w:val="0042029A"/>
    <w:rsid w:val="0042049F"/>
    <w:rsid w:val="004204BF"/>
    <w:rsid w:val="004207EB"/>
    <w:rsid w:val="00420C46"/>
    <w:rsid w:val="00420E6A"/>
    <w:rsid w:val="00421572"/>
    <w:rsid w:val="0042171E"/>
    <w:rsid w:val="00421883"/>
    <w:rsid w:val="0042202D"/>
    <w:rsid w:val="004220FB"/>
    <w:rsid w:val="004223DB"/>
    <w:rsid w:val="00422591"/>
    <w:rsid w:val="004228FC"/>
    <w:rsid w:val="00423321"/>
    <w:rsid w:val="004236FB"/>
    <w:rsid w:val="00423998"/>
    <w:rsid w:val="00424180"/>
    <w:rsid w:val="0042488D"/>
    <w:rsid w:val="00425621"/>
    <w:rsid w:val="00425A9E"/>
    <w:rsid w:val="004262C2"/>
    <w:rsid w:val="00426523"/>
    <w:rsid w:val="00426D6B"/>
    <w:rsid w:val="0042769E"/>
    <w:rsid w:val="0042781A"/>
    <w:rsid w:val="00427EB3"/>
    <w:rsid w:val="00430489"/>
    <w:rsid w:val="00431210"/>
    <w:rsid w:val="00431310"/>
    <w:rsid w:val="00431CD0"/>
    <w:rsid w:val="00431E6C"/>
    <w:rsid w:val="00432A43"/>
    <w:rsid w:val="00433CE7"/>
    <w:rsid w:val="00433E2B"/>
    <w:rsid w:val="004346D5"/>
    <w:rsid w:val="0043496D"/>
    <w:rsid w:val="00435796"/>
    <w:rsid w:val="00435E4A"/>
    <w:rsid w:val="00437161"/>
    <w:rsid w:val="004374D7"/>
    <w:rsid w:val="00437521"/>
    <w:rsid w:val="00437F04"/>
    <w:rsid w:val="0044153F"/>
    <w:rsid w:val="00441E68"/>
    <w:rsid w:val="00441F4D"/>
    <w:rsid w:val="004425BA"/>
    <w:rsid w:val="0044272B"/>
    <w:rsid w:val="00442916"/>
    <w:rsid w:val="004436E7"/>
    <w:rsid w:val="00446017"/>
    <w:rsid w:val="00446A04"/>
    <w:rsid w:val="00446A95"/>
    <w:rsid w:val="004479B2"/>
    <w:rsid w:val="00450269"/>
    <w:rsid w:val="0045049E"/>
    <w:rsid w:val="004504FF"/>
    <w:rsid w:val="0045161C"/>
    <w:rsid w:val="00451631"/>
    <w:rsid w:val="004525C1"/>
    <w:rsid w:val="00452738"/>
    <w:rsid w:val="004527BB"/>
    <w:rsid w:val="0045293C"/>
    <w:rsid w:val="004529EC"/>
    <w:rsid w:val="00453153"/>
    <w:rsid w:val="00453841"/>
    <w:rsid w:val="0045395D"/>
    <w:rsid w:val="00453AF9"/>
    <w:rsid w:val="00453B28"/>
    <w:rsid w:val="004541AC"/>
    <w:rsid w:val="00454F45"/>
    <w:rsid w:val="004559EF"/>
    <w:rsid w:val="00456091"/>
    <w:rsid w:val="00456ABA"/>
    <w:rsid w:val="00457776"/>
    <w:rsid w:val="00457B1B"/>
    <w:rsid w:val="00457CB3"/>
    <w:rsid w:val="00460B20"/>
    <w:rsid w:val="0046141E"/>
    <w:rsid w:val="00461C2C"/>
    <w:rsid w:val="00462FFB"/>
    <w:rsid w:val="00463834"/>
    <w:rsid w:val="00463DB5"/>
    <w:rsid w:val="00465055"/>
    <w:rsid w:val="00465FB6"/>
    <w:rsid w:val="00466321"/>
    <w:rsid w:val="004668B2"/>
    <w:rsid w:val="004669FA"/>
    <w:rsid w:val="0046737D"/>
    <w:rsid w:val="00467653"/>
    <w:rsid w:val="00467B3E"/>
    <w:rsid w:val="00467DAF"/>
    <w:rsid w:val="00470118"/>
    <w:rsid w:val="00470193"/>
    <w:rsid w:val="00470209"/>
    <w:rsid w:val="00470288"/>
    <w:rsid w:val="004704D7"/>
    <w:rsid w:val="00470579"/>
    <w:rsid w:val="00470862"/>
    <w:rsid w:val="00470986"/>
    <w:rsid w:val="0047195B"/>
    <w:rsid w:val="00471D12"/>
    <w:rsid w:val="00472348"/>
    <w:rsid w:val="004739B6"/>
    <w:rsid w:val="00473C87"/>
    <w:rsid w:val="0047564D"/>
    <w:rsid w:val="00475B64"/>
    <w:rsid w:val="00475F3C"/>
    <w:rsid w:val="004760D5"/>
    <w:rsid w:val="004765EF"/>
    <w:rsid w:val="00477868"/>
    <w:rsid w:val="00477C25"/>
    <w:rsid w:val="00480522"/>
    <w:rsid w:val="00480EE1"/>
    <w:rsid w:val="0048116F"/>
    <w:rsid w:val="004814D9"/>
    <w:rsid w:val="00481527"/>
    <w:rsid w:val="004816D0"/>
    <w:rsid w:val="00482260"/>
    <w:rsid w:val="0048295F"/>
    <w:rsid w:val="0048329E"/>
    <w:rsid w:val="00483B7A"/>
    <w:rsid w:val="00483B93"/>
    <w:rsid w:val="00484B9B"/>
    <w:rsid w:val="004855F6"/>
    <w:rsid w:val="00485E01"/>
    <w:rsid w:val="00486545"/>
    <w:rsid w:val="0048661E"/>
    <w:rsid w:val="004868C4"/>
    <w:rsid w:val="00486D22"/>
    <w:rsid w:val="004870B8"/>
    <w:rsid w:val="00487892"/>
    <w:rsid w:val="004879C8"/>
    <w:rsid w:val="004900D5"/>
    <w:rsid w:val="00490212"/>
    <w:rsid w:val="00490D0D"/>
    <w:rsid w:val="004926CD"/>
    <w:rsid w:val="0049283D"/>
    <w:rsid w:val="00492C0A"/>
    <w:rsid w:val="00493C48"/>
    <w:rsid w:val="00494670"/>
    <w:rsid w:val="00494796"/>
    <w:rsid w:val="0049497B"/>
    <w:rsid w:val="00494BFF"/>
    <w:rsid w:val="00494F4A"/>
    <w:rsid w:val="00495537"/>
    <w:rsid w:val="0049586E"/>
    <w:rsid w:val="004958EC"/>
    <w:rsid w:val="00496B5F"/>
    <w:rsid w:val="0049763D"/>
    <w:rsid w:val="004A05AD"/>
    <w:rsid w:val="004A0613"/>
    <w:rsid w:val="004A075E"/>
    <w:rsid w:val="004A10FE"/>
    <w:rsid w:val="004A14E6"/>
    <w:rsid w:val="004A1906"/>
    <w:rsid w:val="004A1A56"/>
    <w:rsid w:val="004A1E0E"/>
    <w:rsid w:val="004A2B43"/>
    <w:rsid w:val="004A3823"/>
    <w:rsid w:val="004A3D83"/>
    <w:rsid w:val="004A4215"/>
    <w:rsid w:val="004A475F"/>
    <w:rsid w:val="004A51DC"/>
    <w:rsid w:val="004A5531"/>
    <w:rsid w:val="004A6580"/>
    <w:rsid w:val="004A65FB"/>
    <w:rsid w:val="004A66B1"/>
    <w:rsid w:val="004A68CD"/>
    <w:rsid w:val="004A6F79"/>
    <w:rsid w:val="004A70E1"/>
    <w:rsid w:val="004A73BB"/>
    <w:rsid w:val="004A7E9C"/>
    <w:rsid w:val="004B0104"/>
    <w:rsid w:val="004B07DA"/>
    <w:rsid w:val="004B1822"/>
    <w:rsid w:val="004B2028"/>
    <w:rsid w:val="004B221C"/>
    <w:rsid w:val="004B2FA2"/>
    <w:rsid w:val="004B33F4"/>
    <w:rsid w:val="004B3C6E"/>
    <w:rsid w:val="004B3EED"/>
    <w:rsid w:val="004B3EF9"/>
    <w:rsid w:val="004B4031"/>
    <w:rsid w:val="004B4CD6"/>
    <w:rsid w:val="004B4F80"/>
    <w:rsid w:val="004B5026"/>
    <w:rsid w:val="004B523C"/>
    <w:rsid w:val="004B5887"/>
    <w:rsid w:val="004B595A"/>
    <w:rsid w:val="004B735A"/>
    <w:rsid w:val="004C0054"/>
    <w:rsid w:val="004C121C"/>
    <w:rsid w:val="004C165F"/>
    <w:rsid w:val="004C1D46"/>
    <w:rsid w:val="004C22B9"/>
    <w:rsid w:val="004C23C1"/>
    <w:rsid w:val="004C3A78"/>
    <w:rsid w:val="004C3AFC"/>
    <w:rsid w:val="004C3C5D"/>
    <w:rsid w:val="004C56A6"/>
    <w:rsid w:val="004C58C4"/>
    <w:rsid w:val="004C63F4"/>
    <w:rsid w:val="004C7714"/>
    <w:rsid w:val="004C7DE9"/>
    <w:rsid w:val="004D0475"/>
    <w:rsid w:val="004D1A20"/>
    <w:rsid w:val="004D1F7F"/>
    <w:rsid w:val="004D2615"/>
    <w:rsid w:val="004D28CF"/>
    <w:rsid w:val="004D2CEC"/>
    <w:rsid w:val="004D30E3"/>
    <w:rsid w:val="004D34EA"/>
    <w:rsid w:val="004D3958"/>
    <w:rsid w:val="004D4BD0"/>
    <w:rsid w:val="004D5F35"/>
    <w:rsid w:val="004D65F0"/>
    <w:rsid w:val="004D71C3"/>
    <w:rsid w:val="004D7473"/>
    <w:rsid w:val="004E2402"/>
    <w:rsid w:val="004E2766"/>
    <w:rsid w:val="004E2B79"/>
    <w:rsid w:val="004E2D1E"/>
    <w:rsid w:val="004E38C8"/>
    <w:rsid w:val="004E412F"/>
    <w:rsid w:val="004E4EB0"/>
    <w:rsid w:val="004E683C"/>
    <w:rsid w:val="004E6946"/>
    <w:rsid w:val="004E7EC2"/>
    <w:rsid w:val="004F01A9"/>
    <w:rsid w:val="004F0389"/>
    <w:rsid w:val="004F09A9"/>
    <w:rsid w:val="004F1178"/>
    <w:rsid w:val="004F1672"/>
    <w:rsid w:val="004F1AD8"/>
    <w:rsid w:val="004F1B43"/>
    <w:rsid w:val="004F20C5"/>
    <w:rsid w:val="004F2722"/>
    <w:rsid w:val="004F28C9"/>
    <w:rsid w:val="004F35B2"/>
    <w:rsid w:val="004F3924"/>
    <w:rsid w:val="004F49CC"/>
    <w:rsid w:val="004F4D4C"/>
    <w:rsid w:val="004F4FED"/>
    <w:rsid w:val="004F58B0"/>
    <w:rsid w:val="004F6156"/>
    <w:rsid w:val="004F7453"/>
    <w:rsid w:val="004F77BC"/>
    <w:rsid w:val="004F7E1E"/>
    <w:rsid w:val="005007A3"/>
    <w:rsid w:val="00500E95"/>
    <w:rsid w:val="005010BF"/>
    <w:rsid w:val="005018F0"/>
    <w:rsid w:val="00501961"/>
    <w:rsid w:val="005020E3"/>
    <w:rsid w:val="0050321A"/>
    <w:rsid w:val="00503347"/>
    <w:rsid w:val="00503488"/>
    <w:rsid w:val="005039CB"/>
    <w:rsid w:val="00504CE1"/>
    <w:rsid w:val="005051C9"/>
    <w:rsid w:val="00505342"/>
    <w:rsid w:val="0050554A"/>
    <w:rsid w:val="0050558F"/>
    <w:rsid w:val="0050573C"/>
    <w:rsid w:val="0050598D"/>
    <w:rsid w:val="00506003"/>
    <w:rsid w:val="00506286"/>
    <w:rsid w:val="0050657C"/>
    <w:rsid w:val="00506987"/>
    <w:rsid w:val="00507EDE"/>
    <w:rsid w:val="00507F55"/>
    <w:rsid w:val="00510813"/>
    <w:rsid w:val="00511315"/>
    <w:rsid w:val="0051198D"/>
    <w:rsid w:val="00511990"/>
    <w:rsid w:val="00511DE0"/>
    <w:rsid w:val="005120D1"/>
    <w:rsid w:val="0051238D"/>
    <w:rsid w:val="00513777"/>
    <w:rsid w:val="005142EB"/>
    <w:rsid w:val="00514870"/>
    <w:rsid w:val="00514B9B"/>
    <w:rsid w:val="00514DCF"/>
    <w:rsid w:val="005150C0"/>
    <w:rsid w:val="00515A34"/>
    <w:rsid w:val="00517E09"/>
    <w:rsid w:val="00517F02"/>
    <w:rsid w:val="00521486"/>
    <w:rsid w:val="00521C07"/>
    <w:rsid w:val="00522967"/>
    <w:rsid w:val="00522EDD"/>
    <w:rsid w:val="00523A25"/>
    <w:rsid w:val="00523EBD"/>
    <w:rsid w:val="00524303"/>
    <w:rsid w:val="005248BD"/>
    <w:rsid w:val="00524903"/>
    <w:rsid w:val="00524D81"/>
    <w:rsid w:val="00524F03"/>
    <w:rsid w:val="0052570C"/>
    <w:rsid w:val="005258A2"/>
    <w:rsid w:val="005264AD"/>
    <w:rsid w:val="0052695D"/>
    <w:rsid w:val="005270E8"/>
    <w:rsid w:val="005272B9"/>
    <w:rsid w:val="0052740A"/>
    <w:rsid w:val="00527A5C"/>
    <w:rsid w:val="005303CC"/>
    <w:rsid w:val="005303D4"/>
    <w:rsid w:val="00530433"/>
    <w:rsid w:val="00530C4D"/>
    <w:rsid w:val="00532743"/>
    <w:rsid w:val="00533DB7"/>
    <w:rsid w:val="00534A34"/>
    <w:rsid w:val="005356B6"/>
    <w:rsid w:val="00535DBE"/>
    <w:rsid w:val="00535EAD"/>
    <w:rsid w:val="00536000"/>
    <w:rsid w:val="005379C9"/>
    <w:rsid w:val="005401AE"/>
    <w:rsid w:val="00541D56"/>
    <w:rsid w:val="00542B44"/>
    <w:rsid w:val="00542E07"/>
    <w:rsid w:val="00544332"/>
    <w:rsid w:val="00544D1D"/>
    <w:rsid w:val="00545424"/>
    <w:rsid w:val="005463A1"/>
    <w:rsid w:val="00546537"/>
    <w:rsid w:val="00546654"/>
    <w:rsid w:val="005466E1"/>
    <w:rsid w:val="00546804"/>
    <w:rsid w:val="0055128C"/>
    <w:rsid w:val="0055162E"/>
    <w:rsid w:val="005521FA"/>
    <w:rsid w:val="005529D1"/>
    <w:rsid w:val="00553C4A"/>
    <w:rsid w:val="00553DAE"/>
    <w:rsid w:val="0055432E"/>
    <w:rsid w:val="005548AE"/>
    <w:rsid w:val="00554A7B"/>
    <w:rsid w:val="00554BC9"/>
    <w:rsid w:val="0055572C"/>
    <w:rsid w:val="00555F84"/>
    <w:rsid w:val="00556881"/>
    <w:rsid w:val="00557195"/>
    <w:rsid w:val="005574FC"/>
    <w:rsid w:val="00557B96"/>
    <w:rsid w:val="0056022E"/>
    <w:rsid w:val="0056039B"/>
    <w:rsid w:val="00560963"/>
    <w:rsid w:val="00560A10"/>
    <w:rsid w:val="00560B62"/>
    <w:rsid w:val="0056106A"/>
    <w:rsid w:val="00561800"/>
    <w:rsid w:val="00561CB9"/>
    <w:rsid w:val="005626C5"/>
    <w:rsid w:val="00562948"/>
    <w:rsid w:val="0056318F"/>
    <w:rsid w:val="005631A1"/>
    <w:rsid w:val="005648E7"/>
    <w:rsid w:val="00564C21"/>
    <w:rsid w:val="00565717"/>
    <w:rsid w:val="005660FA"/>
    <w:rsid w:val="005661DD"/>
    <w:rsid w:val="00567B50"/>
    <w:rsid w:val="00567C9F"/>
    <w:rsid w:val="00567FD2"/>
    <w:rsid w:val="00570CAB"/>
    <w:rsid w:val="00571005"/>
    <w:rsid w:val="005711A3"/>
    <w:rsid w:val="00571324"/>
    <w:rsid w:val="00571743"/>
    <w:rsid w:val="00571902"/>
    <w:rsid w:val="00572032"/>
    <w:rsid w:val="005720AE"/>
    <w:rsid w:val="00572333"/>
    <w:rsid w:val="0057241C"/>
    <w:rsid w:val="00572D76"/>
    <w:rsid w:val="00574735"/>
    <w:rsid w:val="00574AB9"/>
    <w:rsid w:val="00575A22"/>
    <w:rsid w:val="00575B7D"/>
    <w:rsid w:val="00576FDD"/>
    <w:rsid w:val="00577357"/>
    <w:rsid w:val="0057798B"/>
    <w:rsid w:val="00577D2B"/>
    <w:rsid w:val="00577DAC"/>
    <w:rsid w:val="00580893"/>
    <w:rsid w:val="00580A5D"/>
    <w:rsid w:val="005812C5"/>
    <w:rsid w:val="00581CA3"/>
    <w:rsid w:val="005824D6"/>
    <w:rsid w:val="00582850"/>
    <w:rsid w:val="005832CC"/>
    <w:rsid w:val="0058336F"/>
    <w:rsid w:val="005836DE"/>
    <w:rsid w:val="005837F4"/>
    <w:rsid w:val="0058389E"/>
    <w:rsid w:val="00583B77"/>
    <w:rsid w:val="00583EC4"/>
    <w:rsid w:val="00584315"/>
    <w:rsid w:val="005845D6"/>
    <w:rsid w:val="005848DC"/>
    <w:rsid w:val="00584B45"/>
    <w:rsid w:val="00585643"/>
    <w:rsid w:val="00585A69"/>
    <w:rsid w:val="005860F5"/>
    <w:rsid w:val="0058648E"/>
    <w:rsid w:val="00590006"/>
    <w:rsid w:val="00590106"/>
    <w:rsid w:val="00591FBA"/>
    <w:rsid w:val="0059234B"/>
    <w:rsid w:val="00592870"/>
    <w:rsid w:val="0059392A"/>
    <w:rsid w:val="00593C22"/>
    <w:rsid w:val="00593D38"/>
    <w:rsid w:val="00593E8C"/>
    <w:rsid w:val="00594D77"/>
    <w:rsid w:val="00595017"/>
    <w:rsid w:val="00595120"/>
    <w:rsid w:val="005969E4"/>
    <w:rsid w:val="00596AB8"/>
    <w:rsid w:val="00597438"/>
    <w:rsid w:val="005976D5"/>
    <w:rsid w:val="0059777B"/>
    <w:rsid w:val="005A06B7"/>
    <w:rsid w:val="005A11AB"/>
    <w:rsid w:val="005A14A1"/>
    <w:rsid w:val="005A15A1"/>
    <w:rsid w:val="005A162C"/>
    <w:rsid w:val="005A1759"/>
    <w:rsid w:val="005A1D5B"/>
    <w:rsid w:val="005A1E8F"/>
    <w:rsid w:val="005A24F9"/>
    <w:rsid w:val="005A256D"/>
    <w:rsid w:val="005A2807"/>
    <w:rsid w:val="005A3952"/>
    <w:rsid w:val="005A4EF4"/>
    <w:rsid w:val="005A6455"/>
    <w:rsid w:val="005A68A7"/>
    <w:rsid w:val="005A7A1A"/>
    <w:rsid w:val="005B0709"/>
    <w:rsid w:val="005B07CD"/>
    <w:rsid w:val="005B08B3"/>
    <w:rsid w:val="005B157F"/>
    <w:rsid w:val="005B1DFA"/>
    <w:rsid w:val="005B3269"/>
    <w:rsid w:val="005B36E6"/>
    <w:rsid w:val="005B3CB9"/>
    <w:rsid w:val="005B3D90"/>
    <w:rsid w:val="005B4158"/>
    <w:rsid w:val="005B4423"/>
    <w:rsid w:val="005B4452"/>
    <w:rsid w:val="005B44F3"/>
    <w:rsid w:val="005B49BC"/>
    <w:rsid w:val="005B544B"/>
    <w:rsid w:val="005B5D86"/>
    <w:rsid w:val="005B737B"/>
    <w:rsid w:val="005B73A6"/>
    <w:rsid w:val="005B73B4"/>
    <w:rsid w:val="005B771C"/>
    <w:rsid w:val="005B7D21"/>
    <w:rsid w:val="005C011F"/>
    <w:rsid w:val="005C0378"/>
    <w:rsid w:val="005C0FDE"/>
    <w:rsid w:val="005C1867"/>
    <w:rsid w:val="005C21CB"/>
    <w:rsid w:val="005C2285"/>
    <w:rsid w:val="005C28B8"/>
    <w:rsid w:val="005C2CAC"/>
    <w:rsid w:val="005C4377"/>
    <w:rsid w:val="005C4495"/>
    <w:rsid w:val="005C4CFE"/>
    <w:rsid w:val="005C5116"/>
    <w:rsid w:val="005C6195"/>
    <w:rsid w:val="005C6D13"/>
    <w:rsid w:val="005C7D99"/>
    <w:rsid w:val="005D255F"/>
    <w:rsid w:val="005D2AC0"/>
    <w:rsid w:val="005D2D59"/>
    <w:rsid w:val="005D3005"/>
    <w:rsid w:val="005D36AB"/>
    <w:rsid w:val="005D45C7"/>
    <w:rsid w:val="005D55D3"/>
    <w:rsid w:val="005D6074"/>
    <w:rsid w:val="005D612E"/>
    <w:rsid w:val="005D628C"/>
    <w:rsid w:val="005D647E"/>
    <w:rsid w:val="005D6658"/>
    <w:rsid w:val="005D7058"/>
    <w:rsid w:val="005D79EA"/>
    <w:rsid w:val="005D7B81"/>
    <w:rsid w:val="005D7D89"/>
    <w:rsid w:val="005E03F9"/>
    <w:rsid w:val="005E0833"/>
    <w:rsid w:val="005E0C18"/>
    <w:rsid w:val="005E17FE"/>
    <w:rsid w:val="005E281D"/>
    <w:rsid w:val="005E2847"/>
    <w:rsid w:val="005E362E"/>
    <w:rsid w:val="005E37D9"/>
    <w:rsid w:val="005E4AAC"/>
    <w:rsid w:val="005E58CA"/>
    <w:rsid w:val="005E664E"/>
    <w:rsid w:val="005E6A2D"/>
    <w:rsid w:val="005E74B5"/>
    <w:rsid w:val="005E79B0"/>
    <w:rsid w:val="005E7B4D"/>
    <w:rsid w:val="005F14C5"/>
    <w:rsid w:val="005F1BCA"/>
    <w:rsid w:val="005F1FB9"/>
    <w:rsid w:val="005F2ABC"/>
    <w:rsid w:val="005F2DB4"/>
    <w:rsid w:val="005F35A5"/>
    <w:rsid w:val="005F3FA9"/>
    <w:rsid w:val="005F493D"/>
    <w:rsid w:val="005F4C41"/>
    <w:rsid w:val="005F512A"/>
    <w:rsid w:val="005F5944"/>
    <w:rsid w:val="005F71A0"/>
    <w:rsid w:val="005F7258"/>
    <w:rsid w:val="005F7E0C"/>
    <w:rsid w:val="006002F3"/>
    <w:rsid w:val="00600452"/>
    <w:rsid w:val="00600D76"/>
    <w:rsid w:val="00600E2C"/>
    <w:rsid w:val="00601242"/>
    <w:rsid w:val="0060168F"/>
    <w:rsid w:val="00601E78"/>
    <w:rsid w:val="00602A4D"/>
    <w:rsid w:val="00602E78"/>
    <w:rsid w:val="006037E0"/>
    <w:rsid w:val="00603A99"/>
    <w:rsid w:val="00603E80"/>
    <w:rsid w:val="00603F60"/>
    <w:rsid w:val="0060461D"/>
    <w:rsid w:val="00604890"/>
    <w:rsid w:val="00605521"/>
    <w:rsid w:val="0060579B"/>
    <w:rsid w:val="00605940"/>
    <w:rsid w:val="00605BB1"/>
    <w:rsid w:val="00606EE4"/>
    <w:rsid w:val="00607066"/>
    <w:rsid w:val="006076F1"/>
    <w:rsid w:val="0060786E"/>
    <w:rsid w:val="006106F5"/>
    <w:rsid w:val="00610893"/>
    <w:rsid w:val="00610A60"/>
    <w:rsid w:val="00610BD5"/>
    <w:rsid w:val="00611DEC"/>
    <w:rsid w:val="00612164"/>
    <w:rsid w:val="006137AF"/>
    <w:rsid w:val="0061427E"/>
    <w:rsid w:val="006143B8"/>
    <w:rsid w:val="0061448B"/>
    <w:rsid w:val="00614FFA"/>
    <w:rsid w:val="006162C3"/>
    <w:rsid w:val="0061631C"/>
    <w:rsid w:val="00616545"/>
    <w:rsid w:val="00616AC0"/>
    <w:rsid w:val="00616D60"/>
    <w:rsid w:val="006170F0"/>
    <w:rsid w:val="006171F4"/>
    <w:rsid w:val="006174F0"/>
    <w:rsid w:val="006175FD"/>
    <w:rsid w:val="00617CC3"/>
    <w:rsid w:val="006207A1"/>
    <w:rsid w:val="00620E1D"/>
    <w:rsid w:val="00623008"/>
    <w:rsid w:val="00623D71"/>
    <w:rsid w:val="00623ECC"/>
    <w:rsid w:val="00624D68"/>
    <w:rsid w:val="006250B9"/>
    <w:rsid w:val="00626CC2"/>
    <w:rsid w:val="00626DBD"/>
    <w:rsid w:val="006270CD"/>
    <w:rsid w:val="0062763E"/>
    <w:rsid w:val="00627CC1"/>
    <w:rsid w:val="006306DB"/>
    <w:rsid w:val="0063121D"/>
    <w:rsid w:val="006318F0"/>
    <w:rsid w:val="00632373"/>
    <w:rsid w:val="006328B1"/>
    <w:rsid w:val="00633EE9"/>
    <w:rsid w:val="00634429"/>
    <w:rsid w:val="00634690"/>
    <w:rsid w:val="00634817"/>
    <w:rsid w:val="006357B6"/>
    <w:rsid w:val="00635F02"/>
    <w:rsid w:val="00636532"/>
    <w:rsid w:val="00636B13"/>
    <w:rsid w:val="00636B9B"/>
    <w:rsid w:val="006370F3"/>
    <w:rsid w:val="006377A6"/>
    <w:rsid w:val="00637A3D"/>
    <w:rsid w:val="006411EF"/>
    <w:rsid w:val="00643268"/>
    <w:rsid w:val="00644C69"/>
    <w:rsid w:val="0064513C"/>
    <w:rsid w:val="006465FE"/>
    <w:rsid w:val="00646960"/>
    <w:rsid w:val="0064775D"/>
    <w:rsid w:val="00647856"/>
    <w:rsid w:val="00651279"/>
    <w:rsid w:val="00651E63"/>
    <w:rsid w:val="00653C3D"/>
    <w:rsid w:val="006541CE"/>
    <w:rsid w:val="00654325"/>
    <w:rsid w:val="00654F04"/>
    <w:rsid w:val="006555BD"/>
    <w:rsid w:val="00655AAD"/>
    <w:rsid w:val="00656C44"/>
    <w:rsid w:val="0065715C"/>
    <w:rsid w:val="0066012A"/>
    <w:rsid w:val="00660B89"/>
    <w:rsid w:val="0066116F"/>
    <w:rsid w:val="00661223"/>
    <w:rsid w:val="0066160C"/>
    <w:rsid w:val="00661827"/>
    <w:rsid w:val="0066347A"/>
    <w:rsid w:val="00663984"/>
    <w:rsid w:val="00665BFD"/>
    <w:rsid w:val="006661F0"/>
    <w:rsid w:val="006665BD"/>
    <w:rsid w:val="00666C4E"/>
    <w:rsid w:val="00666F7B"/>
    <w:rsid w:val="006679C0"/>
    <w:rsid w:val="00667E21"/>
    <w:rsid w:val="00667FC2"/>
    <w:rsid w:val="006717A1"/>
    <w:rsid w:val="00671AA4"/>
    <w:rsid w:val="0067228C"/>
    <w:rsid w:val="0067366D"/>
    <w:rsid w:val="0067389A"/>
    <w:rsid w:val="0067485B"/>
    <w:rsid w:val="006748B8"/>
    <w:rsid w:val="00675621"/>
    <w:rsid w:val="00675AC7"/>
    <w:rsid w:val="006761F9"/>
    <w:rsid w:val="0067631D"/>
    <w:rsid w:val="006764E5"/>
    <w:rsid w:val="00676574"/>
    <w:rsid w:val="00677552"/>
    <w:rsid w:val="006775C3"/>
    <w:rsid w:val="00677D01"/>
    <w:rsid w:val="00680410"/>
    <w:rsid w:val="00680E93"/>
    <w:rsid w:val="0068100F"/>
    <w:rsid w:val="00681148"/>
    <w:rsid w:val="006816B5"/>
    <w:rsid w:val="00681AF8"/>
    <w:rsid w:val="00681AFA"/>
    <w:rsid w:val="00681D76"/>
    <w:rsid w:val="00682430"/>
    <w:rsid w:val="00683F82"/>
    <w:rsid w:val="00684E6E"/>
    <w:rsid w:val="0068587C"/>
    <w:rsid w:val="006859C4"/>
    <w:rsid w:val="0068626A"/>
    <w:rsid w:val="0068663A"/>
    <w:rsid w:val="00687B78"/>
    <w:rsid w:val="0069158F"/>
    <w:rsid w:val="00691DBE"/>
    <w:rsid w:val="00691F23"/>
    <w:rsid w:val="006926A1"/>
    <w:rsid w:val="0069290A"/>
    <w:rsid w:val="0069293E"/>
    <w:rsid w:val="00692BED"/>
    <w:rsid w:val="006936C9"/>
    <w:rsid w:val="00694BF8"/>
    <w:rsid w:val="00694C2D"/>
    <w:rsid w:val="006954C0"/>
    <w:rsid w:val="00696489"/>
    <w:rsid w:val="00696A2F"/>
    <w:rsid w:val="00696D37"/>
    <w:rsid w:val="0069701B"/>
    <w:rsid w:val="006972B9"/>
    <w:rsid w:val="006976F7"/>
    <w:rsid w:val="0069775A"/>
    <w:rsid w:val="00697813"/>
    <w:rsid w:val="006A15FB"/>
    <w:rsid w:val="006A1E30"/>
    <w:rsid w:val="006A1FF1"/>
    <w:rsid w:val="006A2195"/>
    <w:rsid w:val="006A2329"/>
    <w:rsid w:val="006A23EF"/>
    <w:rsid w:val="006A35C1"/>
    <w:rsid w:val="006A3EE8"/>
    <w:rsid w:val="006A567F"/>
    <w:rsid w:val="006A6011"/>
    <w:rsid w:val="006A6DCC"/>
    <w:rsid w:val="006A6F31"/>
    <w:rsid w:val="006A72BF"/>
    <w:rsid w:val="006A7876"/>
    <w:rsid w:val="006A7A82"/>
    <w:rsid w:val="006B03F2"/>
    <w:rsid w:val="006B10C6"/>
    <w:rsid w:val="006B1929"/>
    <w:rsid w:val="006B1B90"/>
    <w:rsid w:val="006B20A8"/>
    <w:rsid w:val="006B227F"/>
    <w:rsid w:val="006B2C35"/>
    <w:rsid w:val="006B304C"/>
    <w:rsid w:val="006B37DC"/>
    <w:rsid w:val="006B4660"/>
    <w:rsid w:val="006B4B31"/>
    <w:rsid w:val="006B4F68"/>
    <w:rsid w:val="006B507A"/>
    <w:rsid w:val="006B50F7"/>
    <w:rsid w:val="006B557C"/>
    <w:rsid w:val="006B5819"/>
    <w:rsid w:val="006B584F"/>
    <w:rsid w:val="006B603F"/>
    <w:rsid w:val="006B6346"/>
    <w:rsid w:val="006B69A4"/>
    <w:rsid w:val="006B706D"/>
    <w:rsid w:val="006B733E"/>
    <w:rsid w:val="006C0048"/>
    <w:rsid w:val="006C0365"/>
    <w:rsid w:val="006C04BC"/>
    <w:rsid w:val="006C0592"/>
    <w:rsid w:val="006C08DA"/>
    <w:rsid w:val="006C09FF"/>
    <w:rsid w:val="006C0C4A"/>
    <w:rsid w:val="006C10B6"/>
    <w:rsid w:val="006C1AF5"/>
    <w:rsid w:val="006C1D43"/>
    <w:rsid w:val="006C23C6"/>
    <w:rsid w:val="006C272E"/>
    <w:rsid w:val="006C30B7"/>
    <w:rsid w:val="006C3830"/>
    <w:rsid w:val="006C3BCB"/>
    <w:rsid w:val="006C429A"/>
    <w:rsid w:val="006C48D5"/>
    <w:rsid w:val="006C492F"/>
    <w:rsid w:val="006C4B5F"/>
    <w:rsid w:val="006C4DE7"/>
    <w:rsid w:val="006C5479"/>
    <w:rsid w:val="006C5F1D"/>
    <w:rsid w:val="006C6087"/>
    <w:rsid w:val="006C67C4"/>
    <w:rsid w:val="006C7434"/>
    <w:rsid w:val="006C79C9"/>
    <w:rsid w:val="006C7ED1"/>
    <w:rsid w:val="006D01E6"/>
    <w:rsid w:val="006D0A80"/>
    <w:rsid w:val="006D0AE9"/>
    <w:rsid w:val="006D13B5"/>
    <w:rsid w:val="006D204D"/>
    <w:rsid w:val="006D223F"/>
    <w:rsid w:val="006D230F"/>
    <w:rsid w:val="006D2F81"/>
    <w:rsid w:val="006D3F2B"/>
    <w:rsid w:val="006D47A7"/>
    <w:rsid w:val="006D5B63"/>
    <w:rsid w:val="006D5BEF"/>
    <w:rsid w:val="006D63F1"/>
    <w:rsid w:val="006D6BE4"/>
    <w:rsid w:val="006D6E51"/>
    <w:rsid w:val="006D78BF"/>
    <w:rsid w:val="006E086E"/>
    <w:rsid w:val="006E0A33"/>
    <w:rsid w:val="006E11C9"/>
    <w:rsid w:val="006E129B"/>
    <w:rsid w:val="006E12FF"/>
    <w:rsid w:val="006E1881"/>
    <w:rsid w:val="006E2E00"/>
    <w:rsid w:val="006E3CAB"/>
    <w:rsid w:val="006E3CC7"/>
    <w:rsid w:val="006E452D"/>
    <w:rsid w:val="006E46BF"/>
    <w:rsid w:val="006E4C11"/>
    <w:rsid w:val="006E50F8"/>
    <w:rsid w:val="006E5508"/>
    <w:rsid w:val="006E607E"/>
    <w:rsid w:val="006E656E"/>
    <w:rsid w:val="006E76A1"/>
    <w:rsid w:val="006E7E5B"/>
    <w:rsid w:val="006F0156"/>
    <w:rsid w:val="006F024D"/>
    <w:rsid w:val="006F1124"/>
    <w:rsid w:val="006F1226"/>
    <w:rsid w:val="006F1BBB"/>
    <w:rsid w:val="006F25AB"/>
    <w:rsid w:val="006F495C"/>
    <w:rsid w:val="006F49F2"/>
    <w:rsid w:val="006F4F29"/>
    <w:rsid w:val="006F4F30"/>
    <w:rsid w:val="006F5F75"/>
    <w:rsid w:val="006F672E"/>
    <w:rsid w:val="006F6ABD"/>
    <w:rsid w:val="006F6F2D"/>
    <w:rsid w:val="006F71B3"/>
    <w:rsid w:val="007002F8"/>
    <w:rsid w:val="00700805"/>
    <w:rsid w:val="007014FD"/>
    <w:rsid w:val="0070150F"/>
    <w:rsid w:val="007018D3"/>
    <w:rsid w:val="007018E5"/>
    <w:rsid w:val="00702588"/>
    <w:rsid w:val="00702CF5"/>
    <w:rsid w:val="00702E9D"/>
    <w:rsid w:val="00704A49"/>
    <w:rsid w:val="0070523F"/>
    <w:rsid w:val="007059B9"/>
    <w:rsid w:val="00706590"/>
    <w:rsid w:val="00706C5D"/>
    <w:rsid w:val="00707171"/>
    <w:rsid w:val="007073F8"/>
    <w:rsid w:val="00707A94"/>
    <w:rsid w:val="00707E12"/>
    <w:rsid w:val="00711D5F"/>
    <w:rsid w:val="00711F08"/>
    <w:rsid w:val="00712A72"/>
    <w:rsid w:val="00712D8A"/>
    <w:rsid w:val="00713899"/>
    <w:rsid w:val="00713D56"/>
    <w:rsid w:val="00714237"/>
    <w:rsid w:val="00714EB1"/>
    <w:rsid w:val="00715680"/>
    <w:rsid w:val="0071570C"/>
    <w:rsid w:val="00715E47"/>
    <w:rsid w:val="0071662C"/>
    <w:rsid w:val="007176CA"/>
    <w:rsid w:val="00720B95"/>
    <w:rsid w:val="00721C23"/>
    <w:rsid w:val="00721D80"/>
    <w:rsid w:val="00721F47"/>
    <w:rsid w:val="00721FF4"/>
    <w:rsid w:val="0072210B"/>
    <w:rsid w:val="00722586"/>
    <w:rsid w:val="00722625"/>
    <w:rsid w:val="00722B5C"/>
    <w:rsid w:val="00723049"/>
    <w:rsid w:val="00723113"/>
    <w:rsid w:val="00724379"/>
    <w:rsid w:val="00724ADB"/>
    <w:rsid w:val="00726FFE"/>
    <w:rsid w:val="00727364"/>
    <w:rsid w:val="007276BA"/>
    <w:rsid w:val="007278F2"/>
    <w:rsid w:val="00730272"/>
    <w:rsid w:val="00730AFF"/>
    <w:rsid w:val="00730B70"/>
    <w:rsid w:val="00730CFB"/>
    <w:rsid w:val="007314AC"/>
    <w:rsid w:val="00731841"/>
    <w:rsid w:val="007320D8"/>
    <w:rsid w:val="007324E4"/>
    <w:rsid w:val="00732922"/>
    <w:rsid w:val="00732D12"/>
    <w:rsid w:val="00733521"/>
    <w:rsid w:val="00733B52"/>
    <w:rsid w:val="00734739"/>
    <w:rsid w:val="00734964"/>
    <w:rsid w:val="00735DC3"/>
    <w:rsid w:val="00735EE7"/>
    <w:rsid w:val="0073651D"/>
    <w:rsid w:val="0073680B"/>
    <w:rsid w:val="00736FC0"/>
    <w:rsid w:val="00737037"/>
    <w:rsid w:val="007378F2"/>
    <w:rsid w:val="00737B07"/>
    <w:rsid w:val="00737FBE"/>
    <w:rsid w:val="007401E5"/>
    <w:rsid w:val="00740B77"/>
    <w:rsid w:val="00741CD3"/>
    <w:rsid w:val="00743749"/>
    <w:rsid w:val="007438EB"/>
    <w:rsid w:val="00743937"/>
    <w:rsid w:val="00743952"/>
    <w:rsid w:val="00743BF2"/>
    <w:rsid w:val="007445C1"/>
    <w:rsid w:val="00744672"/>
    <w:rsid w:val="00744A25"/>
    <w:rsid w:val="00744CD8"/>
    <w:rsid w:val="00744F64"/>
    <w:rsid w:val="0074510F"/>
    <w:rsid w:val="00745FCB"/>
    <w:rsid w:val="00746944"/>
    <w:rsid w:val="00747021"/>
    <w:rsid w:val="00747104"/>
    <w:rsid w:val="0074796A"/>
    <w:rsid w:val="007479CE"/>
    <w:rsid w:val="00750ABC"/>
    <w:rsid w:val="00751120"/>
    <w:rsid w:val="007515DD"/>
    <w:rsid w:val="0075162E"/>
    <w:rsid w:val="00752F0E"/>
    <w:rsid w:val="00753072"/>
    <w:rsid w:val="0075321C"/>
    <w:rsid w:val="00754034"/>
    <w:rsid w:val="00754329"/>
    <w:rsid w:val="00754AE7"/>
    <w:rsid w:val="00754C04"/>
    <w:rsid w:val="00755640"/>
    <w:rsid w:val="00755BD8"/>
    <w:rsid w:val="0075644D"/>
    <w:rsid w:val="00756556"/>
    <w:rsid w:val="0075685C"/>
    <w:rsid w:val="00756C7E"/>
    <w:rsid w:val="007572CD"/>
    <w:rsid w:val="00757EDC"/>
    <w:rsid w:val="007605B7"/>
    <w:rsid w:val="00761034"/>
    <w:rsid w:val="007618C4"/>
    <w:rsid w:val="00761C8E"/>
    <w:rsid w:val="00761CCD"/>
    <w:rsid w:val="007620A5"/>
    <w:rsid w:val="00762BC0"/>
    <w:rsid w:val="00763A44"/>
    <w:rsid w:val="007643AB"/>
    <w:rsid w:val="0076468D"/>
    <w:rsid w:val="00764BFA"/>
    <w:rsid w:val="00764C31"/>
    <w:rsid w:val="00765C7D"/>
    <w:rsid w:val="007666CB"/>
    <w:rsid w:val="00766C3A"/>
    <w:rsid w:val="00767034"/>
    <w:rsid w:val="0076784D"/>
    <w:rsid w:val="00767980"/>
    <w:rsid w:val="0077088C"/>
    <w:rsid w:val="00770B19"/>
    <w:rsid w:val="00770D0E"/>
    <w:rsid w:val="007713E7"/>
    <w:rsid w:val="007717A1"/>
    <w:rsid w:val="007718E5"/>
    <w:rsid w:val="00772E62"/>
    <w:rsid w:val="007739DE"/>
    <w:rsid w:val="00773C03"/>
    <w:rsid w:val="0077463F"/>
    <w:rsid w:val="007748B4"/>
    <w:rsid w:val="00775A1B"/>
    <w:rsid w:val="00775E49"/>
    <w:rsid w:val="00776061"/>
    <w:rsid w:val="0077664D"/>
    <w:rsid w:val="00777D5F"/>
    <w:rsid w:val="0078089A"/>
    <w:rsid w:val="00781F39"/>
    <w:rsid w:val="00782E4F"/>
    <w:rsid w:val="007836EA"/>
    <w:rsid w:val="00784108"/>
    <w:rsid w:val="0078424C"/>
    <w:rsid w:val="00784267"/>
    <w:rsid w:val="0078449D"/>
    <w:rsid w:val="00784CDA"/>
    <w:rsid w:val="007850FB"/>
    <w:rsid w:val="0078583F"/>
    <w:rsid w:val="00785D32"/>
    <w:rsid w:val="00785DE6"/>
    <w:rsid w:val="007862F2"/>
    <w:rsid w:val="00786387"/>
    <w:rsid w:val="00786A8B"/>
    <w:rsid w:val="00787EAB"/>
    <w:rsid w:val="00787EAD"/>
    <w:rsid w:val="00790272"/>
    <w:rsid w:val="007906C4"/>
    <w:rsid w:val="00791052"/>
    <w:rsid w:val="00791380"/>
    <w:rsid w:val="0079190B"/>
    <w:rsid w:val="0079249D"/>
    <w:rsid w:val="007925A6"/>
    <w:rsid w:val="00793855"/>
    <w:rsid w:val="007940EA"/>
    <w:rsid w:val="007941B4"/>
    <w:rsid w:val="007944CA"/>
    <w:rsid w:val="007948E2"/>
    <w:rsid w:val="007950BD"/>
    <w:rsid w:val="00795C24"/>
    <w:rsid w:val="00796161"/>
    <w:rsid w:val="00796511"/>
    <w:rsid w:val="007967E8"/>
    <w:rsid w:val="00796B0C"/>
    <w:rsid w:val="00796B41"/>
    <w:rsid w:val="00796BE0"/>
    <w:rsid w:val="00796F5B"/>
    <w:rsid w:val="00797052"/>
    <w:rsid w:val="007A0C42"/>
    <w:rsid w:val="007A1563"/>
    <w:rsid w:val="007A162A"/>
    <w:rsid w:val="007A1967"/>
    <w:rsid w:val="007A2170"/>
    <w:rsid w:val="007A22BF"/>
    <w:rsid w:val="007A24AC"/>
    <w:rsid w:val="007A3323"/>
    <w:rsid w:val="007A3DB3"/>
    <w:rsid w:val="007A4577"/>
    <w:rsid w:val="007A4998"/>
    <w:rsid w:val="007A4F43"/>
    <w:rsid w:val="007A536E"/>
    <w:rsid w:val="007A5785"/>
    <w:rsid w:val="007A74EE"/>
    <w:rsid w:val="007B0980"/>
    <w:rsid w:val="007B0C72"/>
    <w:rsid w:val="007B13F8"/>
    <w:rsid w:val="007B195F"/>
    <w:rsid w:val="007B1E36"/>
    <w:rsid w:val="007B2377"/>
    <w:rsid w:val="007B2882"/>
    <w:rsid w:val="007B30BD"/>
    <w:rsid w:val="007B3F69"/>
    <w:rsid w:val="007B450F"/>
    <w:rsid w:val="007B47E0"/>
    <w:rsid w:val="007B5196"/>
    <w:rsid w:val="007B550A"/>
    <w:rsid w:val="007B63CB"/>
    <w:rsid w:val="007B72B8"/>
    <w:rsid w:val="007B750F"/>
    <w:rsid w:val="007B769E"/>
    <w:rsid w:val="007B77CE"/>
    <w:rsid w:val="007B7A58"/>
    <w:rsid w:val="007C0BA6"/>
    <w:rsid w:val="007C0FE8"/>
    <w:rsid w:val="007C14A1"/>
    <w:rsid w:val="007C1EBD"/>
    <w:rsid w:val="007C21B5"/>
    <w:rsid w:val="007C3592"/>
    <w:rsid w:val="007C3B60"/>
    <w:rsid w:val="007C3BE9"/>
    <w:rsid w:val="007C43BA"/>
    <w:rsid w:val="007C4BEF"/>
    <w:rsid w:val="007C5291"/>
    <w:rsid w:val="007C5BDF"/>
    <w:rsid w:val="007C5C89"/>
    <w:rsid w:val="007C62AA"/>
    <w:rsid w:val="007C64F4"/>
    <w:rsid w:val="007C6765"/>
    <w:rsid w:val="007C683F"/>
    <w:rsid w:val="007C70A3"/>
    <w:rsid w:val="007D1B23"/>
    <w:rsid w:val="007D30CC"/>
    <w:rsid w:val="007D4EAE"/>
    <w:rsid w:val="007D5D7B"/>
    <w:rsid w:val="007D5F80"/>
    <w:rsid w:val="007D7513"/>
    <w:rsid w:val="007D75AD"/>
    <w:rsid w:val="007D774B"/>
    <w:rsid w:val="007D7CF4"/>
    <w:rsid w:val="007D7F4F"/>
    <w:rsid w:val="007E058B"/>
    <w:rsid w:val="007E06F4"/>
    <w:rsid w:val="007E0BE1"/>
    <w:rsid w:val="007E0BFB"/>
    <w:rsid w:val="007E13E9"/>
    <w:rsid w:val="007E2404"/>
    <w:rsid w:val="007E3991"/>
    <w:rsid w:val="007E3DC8"/>
    <w:rsid w:val="007E42CB"/>
    <w:rsid w:val="007E4669"/>
    <w:rsid w:val="007E4854"/>
    <w:rsid w:val="007E4BD2"/>
    <w:rsid w:val="007E581E"/>
    <w:rsid w:val="007E60FB"/>
    <w:rsid w:val="007E67DB"/>
    <w:rsid w:val="007E7D5F"/>
    <w:rsid w:val="007E7E88"/>
    <w:rsid w:val="007F0000"/>
    <w:rsid w:val="007F12FC"/>
    <w:rsid w:val="007F1A14"/>
    <w:rsid w:val="007F1C82"/>
    <w:rsid w:val="007F29BF"/>
    <w:rsid w:val="007F3728"/>
    <w:rsid w:val="007F3834"/>
    <w:rsid w:val="007F3DA0"/>
    <w:rsid w:val="007F437D"/>
    <w:rsid w:val="007F49D1"/>
    <w:rsid w:val="007F6075"/>
    <w:rsid w:val="007F6CB4"/>
    <w:rsid w:val="007F6D5E"/>
    <w:rsid w:val="007F6ED7"/>
    <w:rsid w:val="0080065C"/>
    <w:rsid w:val="008009E4"/>
    <w:rsid w:val="00800BFB"/>
    <w:rsid w:val="00800CB2"/>
    <w:rsid w:val="00801393"/>
    <w:rsid w:val="008015F9"/>
    <w:rsid w:val="00801962"/>
    <w:rsid w:val="00802F88"/>
    <w:rsid w:val="00803451"/>
    <w:rsid w:val="0080373D"/>
    <w:rsid w:val="0080440A"/>
    <w:rsid w:val="00804DB3"/>
    <w:rsid w:val="00805380"/>
    <w:rsid w:val="008054C6"/>
    <w:rsid w:val="008056F5"/>
    <w:rsid w:val="00805772"/>
    <w:rsid w:val="008058CA"/>
    <w:rsid w:val="00806047"/>
    <w:rsid w:val="008067D9"/>
    <w:rsid w:val="00806FF0"/>
    <w:rsid w:val="00807BFC"/>
    <w:rsid w:val="008102A9"/>
    <w:rsid w:val="008106B9"/>
    <w:rsid w:val="008109A2"/>
    <w:rsid w:val="00810AD5"/>
    <w:rsid w:val="008116B0"/>
    <w:rsid w:val="0081260C"/>
    <w:rsid w:val="0081275B"/>
    <w:rsid w:val="0081293E"/>
    <w:rsid w:val="00812A2E"/>
    <w:rsid w:val="008133FE"/>
    <w:rsid w:val="008136DF"/>
    <w:rsid w:val="00814315"/>
    <w:rsid w:val="00814D35"/>
    <w:rsid w:val="008151A5"/>
    <w:rsid w:val="00815465"/>
    <w:rsid w:val="00815C0F"/>
    <w:rsid w:val="0081648A"/>
    <w:rsid w:val="00816A2B"/>
    <w:rsid w:val="00816A40"/>
    <w:rsid w:val="00816FB4"/>
    <w:rsid w:val="008171D8"/>
    <w:rsid w:val="00817E9A"/>
    <w:rsid w:val="00820BD5"/>
    <w:rsid w:val="00821493"/>
    <w:rsid w:val="00821F97"/>
    <w:rsid w:val="0082201E"/>
    <w:rsid w:val="008220DF"/>
    <w:rsid w:val="0082229E"/>
    <w:rsid w:val="008227CE"/>
    <w:rsid w:val="00824D1E"/>
    <w:rsid w:val="0082562A"/>
    <w:rsid w:val="00826178"/>
    <w:rsid w:val="008261C4"/>
    <w:rsid w:val="00826498"/>
    <w:rsid w:val="00826DF5"/>
    <w:rsid w:val="00826F9B"/>
    <w:rsid w:val="00826FCC"/>
    <w:rsid w:val="00827623"/>
    <w:rsid w:val="008306BD"/>
    <w:rsid w:val="0083070D"/>
    <w:rsid w:val="00830D26"/>
    <w:rsid w:val="00830F07"/>
    <w:rsid w:val="008311E0"/>
    <w:rsid w:val="0083169C"/>
    <w:rsid w:val="00831A80"/>
    <w:rsid w:val="0083340C"/>
    <w:rsid w:val="0083354B"/>
    <w:rsid w:val="00833743"/>
    <w:rsid w:val="00833D62"/>
    <w:rsid w:val="00833E7A"/>
    <w:rsid w:val="00833FF7"/>
    <w:rsid w:val="008340A4"/>
    <w:rsid w:val="00834CF9"/>
    <w:rsid w:val="0083503B"/>
    <w:rsid w:val="00835B41"/>
    <w:rsid w:val="00836142"/>
    <w:rsid w:val="0083652D"/>
    <w:rsid w:val="008367FD"/>
    <w:rsid w:val="008378CE"/>
    <w:rsid w:val="00837B77"/>
    <w:rsid w:val="0084047D"/>
    <w:rsid w:val="00840996"/>
    <w:rsid w:val="008410F0"/>
    <w:rsid w:val="00841159"/>
    <w:rsid w:val="00841B4F"/>
    <w:rsid w:val="0084328B"/>
    <w:rsid w:val="008443D9"/>
    <w:rsid w:val="00844B43"/>
    <w:rsid w:val="00844DE5"/>
    <w:rsid w:val="00844E3E"/>
    <w:rsid w:val="008454F9"/>
    <w:rsid w:val="00846EA4"/>
    <w:rsid w:val="00847707"/>
    <w:rsid w:val="0085048B"/>
    <w:rsid w:val="00851DC4"/>
    <w:rsid w:val="008521FF"/>
    <w:rsid w:val="008525AE"/>
    <w:rsid w:val="0085270B"/>
    <w:rsid w:val="00852ECE"/>
    <w:rsid w:val="00853274"/>
    <w:rsid w:val="008536EA"/>
    <w:rsid w:val="008537D9"/>
    <w:rsid w:val="008539F5"/>
    <w:rsid w:val="00853E92"/>
    <w:rsid w:val="00854774"/>
    <w:rsid w:val="00854810"/>
    <w:rsid w:val="00855868"/>
    <w:rsid w:val="00855C38"/>
    <w:rsid w:val="00856AF7"/>
    <w:rsid w:val="00857B90"/>
    <w:rsid w:val="00857C29"/>
    <w:rsid w:val="00860F17"/>
    <w:rsid w:val="008612A3"/>
    <w:rsid w:val="00861376"/>
    <w:rsid w:val="008617D3"/>
    <w:rsid w:val="00861D1E"/>
    <w:rsid w:val="00861FDD"/>
    <w:rsid w:val="00862232"/>
    <w:rsid w:val="00862A16"/>
    <w:rsid w:val="00862C5C"/>
    <w:rsid w:val="00862FFC"/>
    <w:rsid w:val="008630B6"/>
    <w:rsid w:val="0086364D"/>
    <w:rsid w:val="00863BB9"/>
    <w:rsid w:val="00864AFB"/>
    <w:rsid w:val="00864E1C"/>
    <w:rsid w:val="00865451"/>
    <w:rsid w:val="00865DCD"/>
    <w:rsid w:val="00866A26"/>
    <w:rsid w:val="00866A7D"/>
    <w:rsid w:val="008677D7"/>
    <w:rsid w:val="00867DC8"/>
    <w:rsid w:val="00870209"/>
    <w:rsid w:val="008706BB"/>
    <w:rsid w:val="008709FA"/>
    <w:rsid w:val="00870B4E"/>
    <w:rsid w:val="00871006"/>
    <w:rsid w:val="008710C5"/>
    <w:rsid w:val="0087135F"/>
    <w:rsid w:val="00871A42"/>
    <w:rsid w:val="00871AC6"/>
    <w:rsid w:val="008725AA"/>
    <w:rsid w:val="00872D94"/>
    <w:rsid w:val="00872EDB"/>
    <w:rsid w:val="00873524"/>
    <w:rsid w:val="00873C79"/>
    <w:rsid w:val="00873DD7"/>
    <w:rsid w:val="00874755"/>
    <w:rsid w:val="008755D1"/>
    <w:rsid w:val="0087569C"/>
    <w:rsid w:val="00876216"/>
    <w:rsid w:val="00876B4B"/>
    <w:rsid w:val="008779BC"/>
    <w:rsid w:val="008802B7"/>
    <w:rsid w:val="00880364"/>
    <w:rsid w:val="00880646"/>
    <w:rsid w:val="008806DA"/>
    <w:rsid w:val="00880842"/>
    <w:rsid w:val="00880BC2"/>
    <w:rsid w:val="00880F68"/>
    <w:rsid w:val="0088117A"/>
    <w:rsid w:val="00881657"/>
    <w:rsid w:val="008824C3"/>
    <w:rsid w:val="0088270A"/>
    <w:rsid w:val="00883806"/>
    <w:rsid w:val="00883CAB"/>
    <w:rsid w:val="00885C1F"/>
    <w:rsid w:val="00885F82"/>
    <w:rsid w:val="00886310"/>
    <w:rsid w:val="00886BF3"/>
    <w:rsid w:val="00887063"/>
    <w:rsid w:val="008871FF"/>
    <w:rsid w:val="00887416"/>
    <w:rsid w:val="00887813"/>
    <w:rsid w:val="0088782F"/>
    <w:rsid w:val="00887934"/>
    <w:rsid w:val="00887D3B"/>
    <w:rsid w:val="00887E36"/>
    <w:rsid w:val="00887F8E"/>
    <w:rsid w:val="00890C1A"/>
    <w:rsid w:val="00890D90"/>
    <w:rsid w:val="008911CA"/>
    <w:rsid w:val="00891592"/>
    <w:rsid w:val="0089184B"/>
    <w:rsid w:val="00891E9E"/>
    <w:rsid w:val="00892098"/>
    <w:rsid w:val="00893245"/>
    <w:rsid w:val="00893393"/>
    <w:rsid w:val="0089374C"/>
    <w:rsid w:val="00893CAF"/>
    <w:rsid w:val="0089423A"/>
    <w:rsid w:val="0089444E"/>
    <w:rsid w:val="00894875"/>
    <w:rsid w:val="0089596C"/>
    <w:rsid w:val="00896404"/>
    <w:rsid w:val="00896488"/>
    <w:rsid w:val="00896B48"/>
    <w:rsid w:val="00897626"/>
    <w:rsid w:val="00897735"/>
    <w:rsid w:val="008A0357"/>
    <w:rsid w:val="008A163B"/>
    <w:rsid w:val="008A267E"/>
    <w:rsid w:val="008A2F68"/>
    <w:rsid w:val="008A35ED"/>
    <w:rsid w:val="008A3B61"/>
    <w:rsid w:val="008A3CDB"/>
    <w:rsid w:val="008A452F"/>
    <w:rsid w:val="008A50D6"/>
    <w:rsid w:val="008A531B"/>
    <w:rsid w:val="008A57CE"/>
    <w:rsid w:val="008A59AA"/>
    <w:rsid w:val="008A5E2D"/>
    <w:rsid w:val="008A73A4"/>
    <w:rsid w:val="008B1BD0"/>
    <w:rsid w:val="008B278E"/>
    <w:rsid w:val="008B2D56"/>
    <w:rsid w:val="008B3123"/>
    <w:rsid w:val="008B37AB"/>
    <w:rsid w:val="008B3824"/>
    <w:rsid w:val="008B3CAC"/>
    <w:rsid w:val="008B3DB8"/>
    <w:rsid w:val="008B44B7"/>
    <w:rsid w:val="008B4816"/>
    <w:rsid w:val="008B4FA6"/>
    <w:rsid w:val="008B5282"/>
    <w:rsid w:val="008B5407"/>
    <w:rsid w:val="008B6097"/>
    <w:rsid w:val="008B6551"/>
    <w:rsid w:val="008B67CA"/>
    <w:rsid w:val="008B6CD0"/>
    <w:rsid w:val="008B74D2"/>
    <w:rsid w:val="008B7B3C"/>
    <w:rsid w:val="008B7C17"/>
    <w:rsid w:val="008C0C77"/>
    <w:rsid w:val="008C1C33"/>
    <w:rsid w:val="008C20E0"/>
    <w:rsid w:val="008C2D01"/>
    <w:rsid w:val="008C30F0"/>
    <w:rsid w:val="008C3527"/>
    <w:rsid w:val="008C3BB0"/>
    <w:rsid w:val="008C40E6"/>
    <w:rsid w:val="008C54FC"/>
    <w:rsid w:val="008C5CAF"/>
    <w:rsid w:val="008C6384"/>
    <w:rsid w:val="008C6A1B"/>
    <w:rsid w:val="008C6F37"/>
    <w:rsid w:val="008D00FA"/>
    <w:rsid w:val="008D03DE"/>
    <w:rsid w:val="008D0499"/>
    <w:rsid w:val="008D0C46"/>
    <w:rsid w:val="008D0F7A"/>
    <w:rsid w:val="008D170B"/>
    <w:rsid w:val="008D18EE"/>
    <w:rsid w:val="008D1CFE"/>
    <w:rsid w:val="008D1F61"/>
    <w:rsid w:val="008D2822"/>
    <w:rsid w:val="008D2B0C"/>
    <w:rsid w:val="008D32B6"/>
    <w:rsid w:val="008D3693"/>
    <w:rsid w:val="008D3F42"/>
    <w:rsid w:val="008D3FCC"/>
    <w:rsid w:val="008D4448"/>
    <w:rsid w:val="008D4A9A"/>
    <w:rsid w:val="008D57D3"/>
    <w:rsid w:val="008D5971"/>
    <w:rsid w:val="008D5ABB"/>
    <w:rsid w:val="008D6245"/>
    <w:rsid w:val="008D62AC"/>
    <w:rsid w:val="008D68E4"/>
    <w:rsid w:val="008D7744"/>
    <w:rsid w:val="008D7A2F"/>
    <w:rsid w:val="008E0403"/>
    <w:rsid w:val="008E0506"/>
    <w:rsid w:val="008E052A"/>
    <w:rsid w:val="008E0C53"/>
    <w:rsid w:val="008E0CFF"/>
    <w:rsid w:val="008E1371"/>
    <w:rsid w:val="008E1631"/>
    <w:rsid w:val="008E1C5A"/>
    <w:rsid w:val="008E3519"/>
    <w:rsid w:val="008E3A41"/>
    <w:rsid w:val="008E3F7C"/>
    <w:rsid w:val="008E4463"/>
    <w:rsid w:val="008E491B"/>
    <w:rsid w:val="008E5891"/>
    <w:rsid w:val="008E5D6B"/>
    <w:rsid w:val="008E6630"/>
    <w:rsid w:val="008E76B8"/>
    <w:rsid w:val="008E76F0"/>
    <w:rsid w:val="008F059F"/>
    <w:rsid w:val="008F0920"/>
    <w:rsid w:val="008F11FC"/>
    <w:rsid w:val="008F122C"/>
    <w:rsid w:val="008F15FE"/>
    <w:rsid w:val="008F1833"/>
    <w:rsid w:val="008F1F45"/>
    <w:rsid w:val="008F25B2"/>
    <w:rsid w:val="008F2D29"/>
    <w:rsid w:val="008F34B1"/>
    <w:rsid w:val="008F39A1"/>
    <w:rsid w:val="008F3CC8"/>
    <w:rsid w:val="008F4353"/>
    <w:rsid w:val="008F4F22"/>
    <w:rsid w:val="008F50F5"/>
    <w:rsid w:val="008F5187"/>
    <w:rsid w:val="008F5365"/>
    <w:rsid w:val="008F5C80"/>
    <w:rsid w:val="008F60D8"/>
    <w:rsid w:val="008F6E1E"/>
    <w:rsid w:val="008F7935"/>
    <w:rsid w:val="008F794B"/>
    <w:rsid w:val="00900FC5"/>
    <w:rsid w:val="00901143"/>
    <w:rsid w:val="00901AA7"/>
    <w:rsid w:val="00901C4F"/>
    <w:rsid w:val="00902508"/>
    <w:rsid w:val="00902727"/>
    <w:rsid w:val="0090312B"/>
    <w:rsid w:val="00903A0E"/>
    <w:rsid w:val="00903B07"/>
    <w:rsid w:val="00903C01"/>
    <w:rsid w:val="009043FB"/>
    <w:rsid w:val="00904A82"/>
    <w:rsid w:val="00904C6B"/>
    <w:rsid w:val="009056E6"/>
    <w:rsid w:val="00905D66"/>
    <w:rsid w:val="0090633A"/>
    <w:rsid w:val="00907387"/>
    <w:rsid w:val="009114FF"/>
    <w:rsid w:val="00911989"/>
    <w:rsid w:val="0091216A"/>
    <w:rsid w:val="009121FC"/>
    <w:rsid w:val="0091418A"/>
    <w:rsid w:val="00914806"/>
    <w:rsid w:val="00914917"/>
    <w:rsid w:val="009153CD"/>
    <w:rsid w:val="00916533"/>
    <w:rsid w:val="00916F81"/>
    <w:rsid w:val="0091736D"/>
    <w:rsid w:val="00917BCB"/>
    <w:rsid w:val="00917CC4"/>
    <w:rsid w:val="0092040A"/>
    <w:rsid w:val="00920525"/>
    <w:rsid w:val="00920926"/>
    <w:rsid w:val="009209F3"/>
    <w:rsid w:val="00920FCD"/>
    <w:rsid w:val="009211DE"/>
    <w:rsid w:val="00921472"/>
    <w:rsid w:val="009215CF"/>
    <w:rsid w:val="00921D4E"/>
    <w:rsid w:val="00922065"/>
    <w:rsid w:val="009220B9"/>
    <w:rsid w:val="009231A8"/>
    <w:rsid w:val="00923326"/>
    <w:rsid w:val="009234A3"/>
    <w:rsid w:val="009234DD"/>
    <w:rsid w:val="0092447C"/>
    <w:rsid w:val="00924786"/>
    <w:rsid w:val="00924AF3"/>
    <w:rsid w:val="00924DC5"/>
    <w:rsid w:val="0092516B"/>
    <w:rsid w:val="00925FD2"/>
    <w:rsid w:val="00926F2B"/>
    <w:rsid w:val="00927199"/>
    <w:rsid w:val="0092727E"/>
    <w:rsid w:val="00927704"/>
    <w:rsid w:val="0093037A"/>
    <w:rsid w:val="00930BD3"/>
    <w:rsid w:val="00932070"/>
    <w:rsid w:val="00932677"/>
    <w:rsid w:val="00932F08"/>
    <w:rsid w:val="0093424F"/>
    <w:rsid w:val="009348C7"/>
    <w:rsid w:val="00934A61"/>
    <w:rsid w:val="00935173"/>
    <w:rsid w:val="00935B74"/>
    <w:rsid w:val="00935EE2"/>
    <w:rsid w:val="0093735B"/>
    <w:rsid w:val="0093752B"/>
    <w:rsid w:val="0093794C"/>
    <w:rsid w:val="0094084A"/>
    <w:rsid w:val="009409CC"/>
    <w:rsid w:val="009409D9"/>
    <w:rsid w:val="00940FEA"/>
    <w:rsid w:val="00941324"/>
    <w:rsid w:val="0094135A"/>
    <w:rsid w:val="0094154D"/>
    <w:rsid w:val="009416E5"/>
    <w:rsid w:val="00941B8B"/>
    <w:rsid w:val="00941E0B"/>
    <w:rsid w:val="00942A50"/>
    <w:rsid w:val="009437FC"/>
    <w:rsid w:val="0094430A"/>
    <w:rsid w:val="009448FD"/>
    <w:rsid w:val="009449CF"/>
    <w:rsid w:val="009454C3"/>
    <w:rsid w:val="009455B0"/>
    <w:rsid w:val="00945C46"/>
    <w:rsid w:val="00946BF0"/>
    <w:rsid w:val="0094764C"/>
    <w:rsid w:val="00947E7E"/>
    <w:rsid w:val="009507FE"/>
    <w:rsid w:val="0095097C"/>
    <w:rsid w:val="00950C96"/>
    <w:rsid w:val="00950FC4"/>
    <w:rsid w:val="00951208"/>
    <w:rsid w:val="0095155F"/>
    <w:rsid w:val="009517FF"/>
    <w:rsid w:val="00952021"/>
    <w:rsid w:val="00952A21"/>
    <w:rsid w:val="00952E9C"/>
    <w:rsid w:val="00953D63"/>
    <w:rsid w:val="00954089"/>
    <w:rsid w:val="00954429"/>
    <w:rsid w:val="00954BA9"/>
    <w:rsid w:val="00955455"/>
    <w:rsid w:val="0095574D"/>
    <w:rsid w:val="00955C3E"/>
    <w:rsid w:val="00956098"/>
    <w:rsid w:val="009561EA"/>
    <w:rsid w:val="009563CE"/>
    <w:rsid w:val="009570E7"/>
    <w:rsid w:val="009575C7"/>
    <w:rsid w:val="009576E2"/>
    <w:rsid w:val="009576FF"/>
    <w:rsid w:val="00957963"/>
    <w:rsid w:val="00960084"/>
    <w:rsid w:val="00960394"/>
    <w:rsid w:val="00961AFB"/>
    <w:rsid w:val="00961EAA"/>
    <w:rsid w:val="00964610"/>
    <w:rsid w:val="00964649"/>
    <w:rsid w:val="0096546E"/>
    <w:rsid w:val="00966D4B"/>
    <w:rsid w:val="009673A7"/>
    <w:rsid w:val="009677ED"/>
    <w:rsid w:val="00967805"/>
    <w:rsid w:val="00970131"/>
    <w:rsid w:val="00970AA0"/>
    <w:rsid w:val="00971416"/>
    <w:rsid w:val="009729CD"/>
    <w:rsid w:val="00972F75"/>
    <w:rsid w:val="00973851"/>
    <w:rsid w:val="00973B57"/>
    <w:rsid w:val="00973C8B"/>
    <w:rsid w:val="00974594"/>
    <w:rsid w:val="009745D5"/>
    <w:rsid w:val="00974A46"/>
    <w:rsid w:val="00974AA7"/>
    <w:rsid w:val="009759E2"/>
    <w:rsid w:val="00975EE3"/>
    <w:rsid w:val="00976328"/>
    <w:rsid w:val="0097680D"/>
    <w:rsid w:val="009773F2"/>
    <w:rsid w:val="00977DD0"/>
    <w:rsid w:val="00980A3F"/>
    <w:rsid w:val="00980C3B"/>
    <w:rsid w:val="00980E93"/>
    <w:rsid w:val="00981583"/>
    <w:rsid w:val="00981774"/>
    <w:rsid w:val="00981A76"/>
    <w:rsid w:val="00981C61"/>
    <w:rsid w:val="00982438"/>
    <w:rsid w:val="0098404C"/>
    <w:rsid w:val="0098456F"/>
    <w:rsid w:val="00984CAF"/>
    <w:rsid w:val="00985283"/>
    <w:rsid w:val="00985F9F"/>
    <w:rsid w:val="00985FD7"/>
    <w:rsid w:val="009864E7"/>
    <w:rsid w:val="0098666C"/>
    <w:rsid w:val="00986ED6"/>
    <w:rsid w:val="00986FE0"/>
    <w:rsid w:val="00987E7A"/>
    <w:rsid w:val="00990437"/>
    <w:rsid w:val="00990459"/>
    <w:rsid w:val="00990D34"/>
    <w:rsid w:val="00990F85"/>
    <w:rsid w:val="009912F9"/>
    <w:rsid w:val="009920FA"/>
    <w:rsid w:val="00992D55"/>
    <w:rsid w:val="00992FE5"/>
    <w:rsid w:val="009934D2"/>
    <w:rsid w:val="00993A4D"/>
    <w:rsid w:val="00993B05"/>
    <w:rsid w:val="00995992"/>
    <w:rsid w:val="00995ADB"/>
    <w:rsid w:val="00996123"/>
    <w:rsid w:val="00997266"/>
    <w:rsid w:val="009972BB"/>
    <w:rsid w:val="009A03E5"/>
    <w:rsid w:val="009A0F3B"/>
    <w:rsid w:val="009A1A1C"/>
    <w:rsid w:val="009A1BB4"/>
    <w:rsid w:val="009A2028"/>
    <w:rsid w:val="009A2052"/>
    <w:rsid w:val="009A23E2"/>
    <w:rsid w:val="009A2628"/>
    <w:rsid w:val="009A3200"/>
    <w:rsid w:val="009A355F"/>
    <w:rsid w:val="009A3A4A"/>
    <w:rsid w:val="009A3C34"/>
    <w:rsid w:val="009A57A8"/>
    <w:rsid w:val="009A6440"/>
    <w:rsid w:val="009A65A2"/>
    <w:rsid w:val="009A6840"/>
    <w:rsid w:val="009A6ED7"/>
    <w:rsid w:val="009A7918"/>
    <w:rsid w:val="009A7B71"/>
    <w:rsid w:val="009B0897"/>
    <w:rsid w:val="009B0E73"/>
    <w:rsid w:val="009B1EE5"/>
    <w:rsid w:val="009B1F4C"/>
    <w:rsid w:val="009B2092"/>
    <w:rsid w:val="009B21C2"/>
    <w:rsid w:val="009B2CD7"/>
    <w:rsid w:val="009B2F86"/>
    <w:rsid w:val="009B3533"/>
    <w:rsid w:val="009B3D85"/>
    <w:rsid w:val="009B4047"/>
    <w:rsid w:val="009B4225"/>
    <w:rsid w:val="009B48A9"/>
    <w:rsid w:val="009B5453"/>
    <w:rsid w:val="009B568A"/>
    <w:rsid w:val="009B7123"/>
    <w:rsid w:val="009B7BD9"/>
    <w:rsid w:val="009C0050"/>
    <w:rsid w:val="009C0B2C"/>
    <w:rsid w:val="009C12EA"/>
    <w:rsid w:val="009C165A"/>
    <w:rsid w:val="009C1E38"/>
    <w:rsid w:val="009C1FB1"/>
    <w:rsid w:val="009C2284"/>
    <w:rsid w:val="009C2A5F"/>
    <w:rsid w:val="009C304A"/>
    <w:rsid w:val="009C53B3"/>
    <w:rsid w:val="009C5664"/>
    <w:rsid w:val="009C69B2"/>
    <w:rsid w:val="009C7DD5"/>
    <w:rsid w:val="009D043E"/>
    <w:rsid w:val="009D0BE9"/>
    <w:rsid w:val="009D0BF4"/>
    <w:rsid w:val="009D2B4C"/>
    <w:rsid w:val="009D359F"/>
    <w:rsid w:val="009D3FD4"/>
    <w:rsid w:val="009D5239"/>
    <w:rsid w:val="009D6E07"/>
    <w:rsid w:val="009D7A7E"/>
    <w:rsid w:val="009E0328"/>
    <w:rsid w:val="009E06D2"/>
    <w:rsid w:val="009E07BA"/>
    <w:rsid w:val="009E1DD2"/>
    <w:rsid w:val="009E1EE0"/>
    <w:rsid w:val="009E227D"/>
    <w:rsid w:val="009E2284"/>
    <w:rsid w:val="009E25A3"/>
    <w:rsid w:val="009E2BB0"/>
    <w:rsid w:val="009E336D"/>
    <w:rsid w:val="009E3788"/>
    <w:rsid w:val="009E3FBC"/>
    <w:rsid w:val="009E5019"/>
    <w:rsid w:val="009E528B"/>
    <w:rsid w:val="009E5515"/>
    <w:rsid w:val="009E625F"/>
    <w:rsid w:val="009E714F"/>
    <w:rsid w:val="009E732D"/>
    <w:rsid w:val="009E77C0"/>
    <w:rsid w:val="009E7B9C"/>
    <w:rsid w:val="009F008E"/>
    <w:rsid w:val="009F053B"/>
    <w:rsid w:val="009F0907"/>
    <w:rsid w:val="009F1947"/>
    <w:rsid w:val="009F318A"/>
    <w:rsid w:val="009F3228"/>
    <w:rsid w:val="009F357C"/>
    <w:rsid w:val="009F4047"/>
    <w:rsid w:val="009F4BA7"/>
    <w:rsid w:val="009F4DC6"/>
    <w:rsid w:val="009F5156"/>
    <w:rsid w:val="009F57D2"/>
    <w:rsid w:val="009F5BDD"/>
    <w:rsid w:val="009F5DB6"/>
    <w:rsid w:val="009F6DC6"/>
    <w:rsid w:val="009F6F1A"/>
    <w:rsid w:val="009F74EB"/>
    <w:rsid w:val="009F76B5"/>
    <w:rsid w:val="009F7B02"/>
    <w:rsid w:val="00A00566"/>
    <w:rsid w:val="00A00876"/>
    <w:rsid w:val="00A00CC5"/>
    <w:rsid w:val="00A0150E"/>
    <w:rsid w:val="00A0176B"/>
    <w:rsid w:val="00A0195B"/>
    <w:rsid w:val="00A01A87"/>
    <w:rsid w:val="00A03B77"/>
    <w:rsid w:val="00A0417A"/>
    <w:rsid w:val="00A0496C"/>
    <w:rsid w:val="00A04B18"/>
    <w:rsid w:val="00A04F1B"/>
    <w:rsid w:val="00A0501B"/>
    <w:rsid w:val="00A069C4"/>
    <w:rsid w:val="00A069E3"/>
    <w:rsid w:val="00A0755D"/>
    <w:rsid w:val="00A07A43"/>
    <w:rsid w:val="00A1047A"/>
    <w:rsid w:val="00A13904"/>
    <w:rsid w:val="00A13BC4"/>
    <w:rsid w:val="00A141C1"/>
    <w:rsid w:val="00A14301"/>
    <w:rsid w:val="00A14457"/>
    <w:rsid w:val="00A14947"/>
    <w:rsid w:val="00A158C5"/>
    <w:rsid w:val="00A16E84"/>
    <w:rsid w:val="00A16FA9"/>
    <w:rsid w:val="00A1738C"/>
    <w:rsid w:val="00A177C4"/>
    <w:rsid w:val="00A17B4A"/>
    <w:rsid w:val="00A17C1B"/>
    <w:rsid w:val="00A207E8"/>
    <w:rsid w:val="00A20C8D"/>
    <w:rsid w:val="00A20EDC"/>
    <w:rsid w:val="00A215A8"/>
    <w:rsid w:val="00A21A37"/>
    <w:rsid w:val="00A22225"/>
    <w:rsid w:val="00A2273E"/>
    <w:rsid w:val="00A227D8"/>
    <w:rsid w:val="00A22967"/>
    <w:rsid w:val="00A22E06"/>
    <w:rsid w:val="00A23A5A"/>
    <w:rsid w:val="00A24482"/>
    <w:rsid w:val="00A24CFE"/>
    <w:rsid w:val="00A25B7F"/>
    <w:rsid w:val="00A262D2"/>
    <w:rsid w:val="00A263C9"/>
    <w:rsid w:val="00A26811"/>
    <w:rsid w:val="00A269A4"/>
    <w:rsid w:val="00A26EC0"/>
    <w:rsid w:val="00A273BF"/>
    <w:rsid w:val="00A277A7"/>
    <w:rsid w:val="00A27AC3"/>
    <w:rsid w:val="00A30175"/>
    <w:rsid w:val="00A302E9"/>
    <w:rsid w:val="00A30556"/>
    <w:rsid w:val="00A31FF4"/>
    <w:rsid w:val="00A320DB"/>
    <w:rsid w:val="00A32A83"/>
    <w:rsid w:val="00A334ED"/>
    <w:rsid w:val="00A33980"/>
    <w:rsid w:val="00A3466C"/>
    <w:rsid w:val="00A351BD"/>
    <w:rsid w:val="00A3526C"/>
    <w:rsid w:val="00A35730"/>
    <w:rsid w:val="00A366C0"/>
    <w:rsid w:val="00A368DB"/>
    <w:rsid w:val="00A36B58"/>
    <w:rsid w:val="00A3765C"/>
    <w:rsid w:val="00A40315"/>
    <w:rsid w:val="00A40A1F"/>
    <w:rsid w:val="00A40A46"/>
    <w:rsid w:val="00A40AAB"/>
    <w:rsid w:val="00A423AA"/>
    <w:rsid w:val="00A4272F"/>
    <w:rsid w:val="00A42CEE"/>
    <w:rsid w:val="00A42E39"/>
    <w:rsid w:val="00A44042"/>
    <w:rsid w:val="00A441B3"/>
    <w:rsid w:val="00A44E69"/>
    <w:rsid w:val="00A45160"/>
    <w:rsid w:val="00A46739"/>
    <w:rsid w:val="00A46A2C"/>
    <w:rsid w:val="00A47535"/>
    <w:rsid w:val="00A47593"/>
    <w:rsid w:val="00A47DE5"/>
    <w:rsid w:val="00A508B5"/>
    <w:rsid w:val="00A50CF5"/>
    <w:rsid w:val="00A50E34"/>
    <w:rsid w:val="00A5188E"/>
    <w:rsid w:val="00A52C42"/>
    <w:rsid w:val="00A535F9"/>
    <w:rsid w:val="00A53AEF"/>
    <w:rsid w:val="00A53D61"/>
    <w:rsid w:val="00A53EC6"/>
    <w:rsid w:val="00A54126"/>
    <w:rsid w:val="00A54176"/>
    <w:rsid w:val="00A54858"/>
    <w:rsid w:val="00A54B42"/>
    <w:rsid w:val="00A54E64"/>
    <w:rsid w:val="00A55829"/>
    <w:rsid w:val="00A55AF6"/>
    <w:rsid w:val="00A55C0F"/>
    <w:rsid w:val="00A55EA1"/>
    <w:rsid w:val="00A55FCA"/>
    <w:rsid w:val="00A56057"/>
    <w:rsid w:val="00A57453"/>
    <w:rsid w:val="00A57E13"/>
    <w:rsid w:val="00A57F77"/>
    <w:rsid w:val="00A6090C"/>
    <w:rsid w:val="00A6279B"/>
    <w:rsid w:val="00A62BB8"/>
    <w:rsid w:val="00A62D49"/>
    <w:rsid w:val="00A63B9B"/>
    <w:rsid w:val="00A63BCD"/>
    <w:rsid w:val="00A644DD"/>
    <w:rsid w:val="00A671C0"/>
    <w:rsid w:val="00A672DD"/>
    <w:rsid w:val="00A7031C"/>
    <w:rsid w:val="00A7074D"/>
    <w:rsid w:val="00A70BF6"/>
    <w:rsid w:val="00A70FFD"/>
    <w:rsid w:val="00A71873"/>
    <w:rsid w:val="00A7199A"/>
    <w:rsid w:val="00A7427E"/>
    <w:rsid w:val="00A74884"/>
    <w:rsid w:val="00A74B93"/>
    <w:rsid w:val="00A74D9D"/>
    <w:rsid w:val="00A750DB"/>
    <w:rsid w:val="00A758F3"/>
    <w:rsid w:val="00A76012"/>
    <w:rsid w:val="00A76610"/>
    <w:rsid w:val="00A7680E"/>
    <w:rsid w:val="00A7762D"/>
    <w:rsid w:val="00A80291"/>
    <w:rsid w:val="00A80FB7"/>
    <w:rsid w:val="00A81100"/>
    <w:rsid w:val="00A819B3"/>
    <w:rsid w:val="00A819CF"/>
    <w:rsid w:val="00A81EDA"/>
    <w:rsid w:val="00A82686"/>
    <w:rsid w:val="00A83570"/>
    <w:rsid w:val="00A83C33"/>
    <w:rsid w:val="00A84104"/>
    <w:rsid w:val="00A8580D"/>
    <w:rsid w:val="00A861AB"/>
    <w:rsid w:val="00A86474"/>
    <w:rsid w:val="00A8713F"/>
    <w:rsid w:val="00A871F4"/>
    <w:rsid w:val="00A872E9"/>
    <w:rsid w:val="00A8739F"/>
    <w:rsid w:val="00A87CB6"/>
    <w:rsid w:val="00A9038D"/>
    <w:rsid w:val="00A90534"/>
    <w:rsid w:val="00A9077D"/>
    <w:rsid w:val="00A90BA1"/>
    <w:rsid w:val="00A9122A"/>
    <w:rsid w:val="00A913E4"/>
    <w:rsid w:val="00A91C1F"/>
    <w:rsid w:val="00A92150"/>
    <w:rsid w:val="00A924EE"/>
    <w:rsid w:val="00A92DD1"/>
    <w:rsid w:val="00A93CB8"/>
    <w:rsid w:val="00A93FB9"/>
    <w:rsid w:val="00A94FE1"/>
    <w:rsid w:val="00A95767"/>
    <w:rsid w:val="00A95931"/>
    <w:rsid w:val="00A96D0A"/>
    <w:rsid w:val="00A96FC8"/>
    <w:rsid w:val="00A97A9A"/>
    <w:rsid w:val="00A97F7A"/>
    <w:rsid w:val="00AA0671"/>
    <w:rsid w:val="00AA0D6E"/>
    <w:rsid w:val="00AA11D0"/>
    <w:rsid w:val="00AA1356"/>
    <w:rsid w:val="00AA1C0B"/>
    <w:rsid w:val="00AA2531"/>
    <w:rsid w:val="00AA2592"/>
    <w:rsid w:val="00AA3613"/>
    <w:rsid w:val="00AA3AED"/>
    <w:rsid w:val="00AA3CA1"/>
    <w:rsid w:val="00AA3F0F"/>
    <w:rsid w:val="00AA5205"/>
    <w:rsid w:val="00AA5845"/>
    <w:rsid w:val="00AA59D3"/>
    <w:rsid w:val="00AA631E"/>
    <w:rsid w:val="00AA6AFF"/>
    <w:rsid w:val="00AA6F60"/>
    <w:rsid w:val="00AA7675"/>
    <w:rsid w:val="00AA7C42"/>
    <w:rsid w:val="00AA7E3D"/>
    <w:rsid w:val="00AB0C2F"/>
    <w:rsid w:val="00AB15F0"/>
    <w:rsid w:val="00AB1E09"/>
    <w:rsid w:val="00AB29AD"/>
    <w:rsid w:val="00AB2A43"/>
    <w:rsid w:val="00AB322F"/>
    <w:rsid w:val="00AB3871"/>
    <w:rsid w:val="00AB3DB6"/>
    <w:rsid w:val="00AB5330"/>
    <w:rsid w:val="00AB537C"/>
    <w:rsid w:val="00AB5759"/>
    <w:rsid w:val="00AB66DA"/>
    <w:rsid w:val="00AB6AE2"/>
    <w:rsid w:val="00AB6E18"/>
    <w:rsid w:val="00AB74FE"/>
    <w:rsid w:val="00AB7747"/>
    <w:rsid w:val="00AB7E47"/>
    <w:rsid w:val="00AB7EA3"/>
    <w:rsid w:val="00AC063A"/>
    <w:rsid w:val="00AC074F"/>
    <w:rsid w:val="00AC0B6E"/>
    <w:rsid w:val="00AC0CBC"/>
    <w:rsid w:val="00AC14CE"/>
    <w:rsid w:val="00AC1635"/>
    <w:rsid w:val="00AC1D8F"/>
    <w:rsid w:val="00AC2832"/>
    <w:rsid w:val="00AC2A56"/>
    <w:rsid w:val="00AC2BF6"/>
    <w:rsid w:val="00AC359E"/>
    <w:rsid w:val="00AC445A"/>
    <w:rsid w:val="00AC4EE9"/>
    <w:rsid w:val="00AC5201"/>
    <w:rsid w:val="00AC5386"/>
    <w:rsid w:val="00AC73C5"/>
    <w:rsid w:val="00AC7484"/>
    <w:rsid w:val="00AC76DE"/>
    <w:rsid w:val="00AD045B"/>
    <w:rsid w:val="00AD053D"/>
    <w:rsid w:val="00AD055E"/>
    <w:rsid w:val="00AD05EC"/>
    <w:rsid w:val="00AD0934"/>
    <w:rsid w:val="00AD1077"/>
    <w:rsid w:val="00AD1265"/>
    <w:rsid w:val="00AD1383"/>
    <w:rsid w:val="00AD1689"/>
    <w:rsid w:val="00AD1D69"/>
    <w:rsid w:val="00AD2E2E"/>
    <w:rsid w:val="00AD397B"/>
    <w:rsid w:val="00AD3B65"/>
    <w:rsid w:val="00AD3F70"/>
    <w:rsid w:val="00AD43C6"/>
    <w:rsid w:val="00AD47A7"/>
    <w:rsid w:val="00AD5114"/>
    <w:rsid w:val="00AD6534"/>
    <w:rsid w:val="00AD65D4"/>
    <w:rsid w:val="00AD6765"/>
    <w:rsid w:val="00AD6BB9"/>
    <w:rsid w:val="00AD72CD"/>
    <w:rsid w:val="00AD74B4"/>
    <w:rsid w:val="00AD7868"/>
    <w:rsid w:val="00AE10FC"/>
    <w:rsid w:val="00AE1816"/>
    <w:rsid w:val="00AE2470"/>
    <w:rsid w:val="00AE2E58"/>
    <w:rsid w:val="00AE2F37"/>
    <w:rsid w:val="00AE3138"/>
    <w:rsid w:val="00AE3872"/>
    <w:rsid w:val="00AE3CFA"/>
    <w:rsid w:val="00AE3D99"/>
    <w:rsid w:val="00AE47F2"/>
    <w:rsid w:val="00AE5594"/>
    <w:rsid w:val="00AE5CC1"/>
    <w:rsid w:val="00AE62E6"/>
    <w:rsid w:val="00AE6C94"/>
    <w:rsid w:val="00AE7125"/>
    <w:rsid w:val="00AE7A36"/>
    <w:rsid w:val="00AF0CBF"/>
    <w:rsid w:val="00AF23F7"/>
    <w:rsid w:val="00AF253E"/>
    <w:rsid w:val="00AF257F"/>
    <w:rsid w:val="00AF2C95"/>
    <w:rsid w:val="00AF2E87"/>
    <w:rsid w:val="00AF33CF"/>
    <w:rsid w:val="00AF35DE"/>
    <w:rsid w:val="00AF3C54"/>
    <w:rsid w:val="00AF41D4"/>
    <w:rsid w:val="00AF4282"/>
    <w:rsid w:val="00AF4D50"/>
    <w:rsid w:val="00AF6179"/>
    <w:rsid w:val="00AF6475"/>
    <w:rsid w:val="00AF64DC"/>
    <w:rsid w:val="00AF677E"/>
    <w:rsid w:val="00AF692C"/>
    <w:rsid w:val="00AF6ABD"/>
    <w:rsid w:val="00AF718D"/>
    <w:rsid w:val="00AF7325"/>
    <w:rsid w:val="00B000FE"/>
    <w:rsid w:val="00B00E1F"/>
    <w:rsid w:val="00B01262"/>
    <w:rsid w:val="00B01744"/>
    <w:rsid w:val="00B01871"/>
    <w:rsid w:val="00B01BA9"/>
    <w:rsid w:val="00B025E2"/>
    <w:rsid w:val="00B02899"/>
    <w:rsid w:val="00B02C1D"/>
    <w:rsid w:val="00B03083"/>
    <w:rsid w:val="00B03717"/>
    <w:rsid w:val="00B0382D"/>
    <w:rsid w:val="00B04548"/>
    <w:rsid w:val="00B048BA"/>
    <w:rsid w:val="00B04951"/>
    <w:rsid w:val="00B053B7"/>
    <w:rsid w:val="00B05781"/>
    <w:rsid w:val="00B067A5"/>
    <w:rsid w:val="00B06B13"/>
    <w:rsid w:val="00B07168"/>
    <w:rsid w:val="00B07513"/>
    <w:rsid w:val="00B07DD7"/>
    <w:rsid w:val="00B1037A"/>
    <w:rsid w:val="00B1079E"/>
    <w:rsid w:val="00B115ED"/>
    <w:rsid w:val="00B119B3"/>
    <w:rsid w:val="00B11AF2"/>
    <w:rsid w:val="00B11DA6"/>
    <w:rsid w:val="00B1295A"/>
    <w:rsid w:val="00B12DE0"/>
    <w:rsid w:val="00B13618"/>
    <w:rsid w:val="00B141AF"/>
    <w:rsid w:val="00B14BC1"/>
    <w:rsid w:val="00B1515B"/>
    <w:rsid w:val="00B1535B"/>
    <w:rsid w:val="00B156E9"/>
    <w:rsid w:val="00B1588D"/>
    <w:rsid w:val="00B15CC6"/>
    <w:rsid w:val="00B174DB"/>
    <w:rsid w:val="00B17DC1"/>
    <w:rsid w:val="00B20A45"/>
    <w:rsid w:val="00B216A8"/>
    <w:rsid w:val="00B21EF4"/>
    <w:rsid w:val="00B22147"/>
    <w:rsid w:val="00B227F7"/>
    <w:rsid w:val="00B22C5C"/>
    <w:rsid w:val="00B22D77"/>
    <w:rsid w:val="00B23EF3"/>
    <w:rsid w:val="00B24244"/>
    <w:rsid w:val="00B24F30"/>
    <w:rsid w:val="00B2503B"/>
    <w:rsid w:val="00B2584B"/>
    <w:rsid w:val="00B2590D"/>
    <w:rsid w:val="00B25A94"/>
    <w:rsid w:val="00B2744B"/>
    <w:rsid w:val="00B27538"/>
    <w:rsid w:val="00B27AD9"/>
    <w:rsid w:val="00B27EEF"/>
    <w:rsid w:val="00B30101"/>
    <w:rsid w:val="00B30F67"/>
    <w:rsid w:val="00B31567"/>
    <w:rsid w:val="00B31ABF"/>
    <w:rsid w:val="00B32382"/>
    <w:rsid w:val="00B324E7"/>
    <w:rsid w:val="00B33BE3"/>
    <w:rsid w:val="00B35023"/>
    <w:rsid w:val="00B360B1"/>
    <w:rsid w:val="00B4023F"/>
    <w:rsid w:val="00B406E8"/>
    <w:rsid w:val="00B41B2D"/>
    <w:rsid w:val="00B41D4B"/>
    <w:rsid w:val="00B420C0"/>
    <w:rsid w:val="00B4314F"/>
    <w:rsid w:val="00B434CB"/>
    <w:rsid w:val="00B43D19"/>
    <w:rsid w:val="00B44854"/>
    <w:rsid w:val="00B45396"/>
    <w:rsid w:val="00B45641"/>
    <w:rsid w:val="00B45BC9"/>
    <w:rsid w:val="00B46110"/>
    <w:rsid w:val="00B461A6"/>
    <w:rsid w:val="00B46DDC"/>
    <w:rsid w:val="00B4702F"/>
    <w:rsid w:val="00B4758C"/>
    <w:rsid w:val="00B500BB"/>
    <w:rsid w:val="00B50318"/>
    <w:rsid w:val="00B50CB8"/>
    <w:rsid w:val="00B51930"/>
    <w:rsid w:val="00B51941"/>
    <w:rsid w:val="00B51B32"/>
    <w:rsid w:val="00B528AC"/>
    <w:rsid w:val="00B52E86"/>
    <w:rsid w:val="00B53B5D"/>
    <w:rsid w:val="00B53BA7"/>
    <w:rsid w:val="00B54DDF"/>
    <w:rsid w:val="00B553AF"/>
    <w:rsid w:val="00B553FA"/>
    <w:rsid w:val="00B557D2"/>
    <w:rsid w:val="00B56824"/>
    <w:rsid w:val="00B56F6F"/>
    <w:rsid w:val="00B576AA"/>
    <w:rsid w:val="00B57961"/>
    <w:rsid w:val="00B57A97"/>
    <w:rsid w:val="00B6055E"/>
    <w:rsid w:val="00B607CE"/>
    <w:rsid w:val="00B60E8F"/>
    <w:rsid w:val="00B60F37"/>
    <w:rsid w:val="00B61043"/>
    <w:rsid w:val="00B61431"/>
    <w:rsid w:val="00B61656"/>
    <w:rsid w:val="00B616B7"/>
    <w:rsid w:val="00B63085"/>
    <w:rsid w:val="00B6317D"/>
    <w:rsid w:val="00B6353D"/>
    <w:rsid w:val="00B63649"/>
    <w:rsid w:val="00B63B03"/>
    <w:rsid w:val="00B63EB4"/>
    <w:rsid w:val="00B64FCE"/>
    <w:rsid w:val="00B6529C"/>
    <w:rsid w:val="00B65894"/>
    <w:rsid w:val="00B65B4D"/>
    <w:rsid w:val="00B65D4D"/>
    <w:rsid w:val="00B66376"/>
    <w:rsid w:val="00B66B40"/>
    <w:rsid w:val="00B66CB0"/>
    <w:rsid w:val="00B67A98"/>
    <w:rsid w:val="00B707C1"/>
    <w:rsid w:val="00B707E8"/>
    <w:rsid w:val="00B708A6"/>
    <w:rsid w:val="00B70D62"/>
    <w:rsid w:val="00B727DE"/>
    <w:rsid w:val="00B72C87"/>
    <w:rsid w:val="00B72CC5"/>
    <w:rsid w:val="00B72F85"/>
    <w:rsid w:val="00B744FE"/>
    <w:rsid w:val="00B74562"/>
    <w:rsid w:val="00B7481F"/>
    <w:rsid w:val="00B75AF1"/>
    <w:rsid w:val="00B7633F"/>
    <w:rsid w:val="00B7703C"/>
    <w:rsid w:val="00B7723F"/>
    <w:rsid w:val="00B80534"/>
    <w:rsid w:val="00B80717"/>
    <w:rsid w:val="00B80BF6"/>
    <w:rsid w:val="00B80C2B"/>
    <w:rsid w:val="00B82505"/>
    <w:rsid w:val="00B827CD"/>
    <w:rsid w:val="00B8323B"/>
    <w:rsid w:val="00B833D9"/>
    <w:rsid w:val="00B83B07"/>
    <w:rsid w:val="00B8433C"/>
    <w:rsid w:val="00B84C01"/>
    <w:rsid w:val="00B84C74"/>
    <w:rsid w:val="00B84EBA"/>
    <w:rsid w:val="00B85439"/>
    <w:rsid w:val="00B85A51"/>
    <w:rsid w:val="00B8663F"/>
    <w:rsid w:val="00B86E45"/>
    <w:rsid w:val="00B87491"/>
    <w:rsid w:val="00B87741"/>
    <w:rsid w:val="00B90AEB"/>
    <w:rsid w:val="00B91711"/>
    <w:rsid w:val="00B918FF"/>
    <w:rsid w:val="00B9276D"/>
    <w:rsid w:val="00B92DA5"/>
    <w:rsid w:val="00B92E16"/>
    <w:rsid w:val="00B9306B"/>
    <w:rsid w:val="00B93237"/>
    <w:rsid w:val="00B9357F"/>
    <w:rsid w:val="00B9363A"/>
    <w:rsid w:val="00B9392A"/>
    <w:rsid w:val="00B9398A"/>
    <w:rsid w:val="00B93BB1"/>
    <w:rsid w:val="00B94533"/>
    <w:rsid w:val="00B949DE"/>
    <w:rsid w:val="00B94FD3"/>
    <w:rsid w:val="00B95572"/>
    <w:rsid w:val="00B958E2"/>
    <w:rsid w:val="00B95A8C"/>
    <w:rsid w:val="00B967D7"/>
    <w:rsid w:val="00B97334"/>
    <w:rsid w:val="00B9770F"/>
    <w:rsid w:val="00B9773C"/>
    <w:rsid w:val="00B97B1B"/>
    <w:rsid w:val="00BA00CA"/>
    <w:rsid w:val="00BA0448"/>
    <w:rsid w:val="00BA0730"/>
    <w:rsid w:val="00BA154D"/>
    <w:rsid w:val="00BA1582"/>
    <w:rsid w:val="00BA22F0"/>
    <w:rsid w:val="00BA29E9"/>
    <w:rsid w:val="00BA2A72"/>
    <w:rsid w:val="00BA2CDB"/>
    <w:rsid w:val="00BA2F28"/>
    <w:rsid w:val="00BA3A1D"/>
    <w:rsid w:val="00BA3BE2"/>
    <w:rsid w:val="00BA471B"/>
    <w:rsid w:val="00BA4AF6"/>
    <w:rsid w:val="00BA58FD"/>
    <w:rsid w:val="00BA6680"/>
    <w:rsid w:val="00BA6CA4"/>
    <w:rsid w:val="00BA7142"/>
    <w:rsid w:val="00BB0A1E"/>
    <w:rsid w:val="00BB0A29"/>
    <w:rsid w:val="00BB0C29"/>
    <w:rsid w:val="00BB1E4D"/>
    <w:rsid w:val="00BB237C"/>
    <w:rsid w:val="00BB3156"/>
    <w:rsid w:val="00BB3C09"/>
    <w:rsid w:val="00BB41A3"/>
    <w:rsid w:val="00BB4295"/>
    <w:rsid w:val="00BB439F"/>
    <w:rsid w:val="00BB4CEB"/>
    <w:rsid w:val="00BB52FE"/>
    <w:rsid w:val="00BB639A"/>
    <w:rsid w:val="00BB7843"/>
    <w:rsid w:val="00BB7C43"/>
    <w:rsid w:val="00BB7F88"/>
    <w:rsid w:val="00BC097A"/>
    <w:rsid w:val="00BC0E0D"/>
    <w:rsid w:val="00BC1512"/>
    <w:rsid w:val="00BC1FCD"/>
    <w:rsid w:val="00BC2231"/>
    <w:rsid w:val="00BC239A"/>
    <w:rsid w:val="00BC2889"/>
    <w:rsid w:val="00BC2E17"/>
    <w:rsid w:val="00BC32DC"/>
    <w:rsid w:val="00BC35B6"/>
    <w:rsid w:val="00BC40D1"/>
    <w:rsid w:val="00BC4334"/>
    <w:rsid w:val="00BC4FFF"/>
    <w:rsid w:val="00BC526C"/>
    <w:rsid w:val="00BC576B"/>
    <w:rsid w:val="00BC6670"/>
    <w:rsid w:val="00BC6A05"/>
    <w:rsid w:val="00BC6B64"/>
    <w:rsid w:val="00BC7796"/>
    <w:rsid w:val="00BC795D"/>
    <w:rsid w:val="00BC7BAB"/>
    <w:rsid w:val="00BD02D9"/>
    <w:rsid w:val="00BD0D31"/>
    <w:rsid w:val="00BD1087"/>
    <w:rsid w:val="00BD1398"/>
    <w:rsid w:val="00BD1B51"/>
    <w:rsid w:val="00BD217F"/>
    <w:rsid w:val="00BD234B"/>
    <w:rsid w:val="00BD23AC"/>
    <w:rsid w:val="00BD27F0"/>
    <w:rsid w:val="00BD335C"/>
    <w:rsid w:val="00BD3BE0"/>
    <w:rsid w:val="00BD434D"/>
    <w:rsid w:val="00BD4528"/>
    <w:rsid w:val="00BD4596"/>
    <w:rsid w:val="00BD4C85"/>
    <w:rsid w:val="00BD5621"/>
    <w:rsid w:val="00BD576B"/>
    <w:rsid w:val="00BD5D7C"/>
    <w:rsid w:val="00BD61D9"/>
    <w:rsid w:val="00BD625E"/>
    <w:rsid w:val="00BD6975"/>
    <w:rsid w:val="00BD6BD6"/>
    <w:rsid w:val="00BD76C3"/>
    <w:rsid w:val="00BD79F7"/>
    <w:rsid w:val="00BD7DD1"/>
    <w:rsid w:val="00BD7F6D"/>
    <w:rsid w:val="00BE0429"/>
    <w:rsid w:val="00BE0702"/>
    <w:rsid w:val="00BE0DC7"/>
    <w:rsid w:val="00BE1405"/>
    <w:rsid w:val="00BE1C06"/>
    <w:rsid w:val="00BE24EB"/>
    <w:rsid w:val="00BE29CF"/>
    <w:rsid w:val="00BE312D"/>
    <w:rsid w:val="00BE3701"/>
    <w:rsid w:val="00BE3E2E"/>
    <w:rsid w:val="00BE433D"/>
    <w:rsid w:val="00BE53DD"/>
    <w:rsid w:val="00BE651B"/>
    <w:rsid w:val="00BF0195"/>
    <w:rsid w:val="00BF0669"/>
    <w:rsid w:val="00BF0E1F"/>
    <w:rsid w:val="00BF15BB"/>
    <w:rsid w:val="00BF1722"/>
    <w:rsid w:val="00BF1C20"/>
    <w:rsid w:val="00BF1FAF"/>
    <w:rsid w:val="00BF2B6A"/>
    <w:rsid w:val="00BF32ED"/>
    <w:rsid w:val="00BF394B"/>
    <w:rsid w:val="00BF3C7D"/>
    <w:rsid w:val="00BF53D9"/>
    <w:rsid w:val="00BF541F"/>
    <w:rsid w:val="00BF54D6"/>
    <w:rsid w:val="00BF59E3"/>
    <w:rsid w:val="00BF5A4D"/>
    <w:rsid w:val="00BF6249"/>
    <w:rsid w:val="00BF66A9"/>
    <w:rsid w:val="00BF66D4"/>
    <w:rsid w:val="00BF7CA1"/>
    <w:rsid w:val="00C000B7"/>
    <w:rsid w:val="00C00152"/>
    <w:rsid w:val="00C009E5"/>
    <w:rsid w:val="00C00E52"/>
    <w:rsid w:val="00C018F1"/>
    <w:rsid w:val="00C02F9F"/>
    <w:rsid w:val="00C02FD1"/>
    <w:rsid w:val="00C03472"/>
    <w:rsid w:val="00C03EB7"/>
    <w:rsid w:val="00C03F32"/>
    <w:rsid w:val="00C04662"/>
    <w:rsid w:val="00C04E6A"/>
    <w:rsid w:val="00C0521B"/>
    <w:rsid w:val="00C0529D"/>
    <w:rsid w:val="00C05631"/>
    <w:rsid w:val="00C05CA1"/>
    <w:rsid w:val="00C06161"/>
    <w:rsid w:val="00C06335"/>
    <w:rsid w:val="00C06A86"/>
    <w:rsid w:val="00C06AD8"/>
    <w:rsid w:val="00C06CB7"/>
    <w:rsid w:val="00C07271"/>
    <w:rsid w:val="00C10578"/>
    <w:rsid w:val="00C11A54"/>
    <w:rsid w:val="00C12563"/>
    <w:rsid w:val="00C125B2"/>
    <w:rsid w:val="00C135BC"/>
    <w:rsid w:val="00C13EA5"/>
    <w:rsid w:val="00C1403E"/>
    <w:rsid w:val="00C1406E"/>
    <w:rsid w:val="00C14544"/>
    <w:rsid w:val="00C157BB"/>
    <w:rsid w:val="00C15C95"/>
    <w:rsid w:val="00C161C0"/>
    <w:rsid w:val="00C16CC3"/>
    <w:rsid w:val="00C17205"/>
    <w:rsid w:val="00C17459"/>
    <w:rsid w:val="00C17F65"/>
    <w:rsid w:val="00C2110C"/>
    <w:rsid w:val="00C21481"/>
    <w:rsid w:val="00C218B7"/>
    <w:rsid w:val="00C2211E"/>
    <w:rsid w:val="00C22A08"/>
    <w:rsid w:val="00C23679"/>
    <w:rsid w:val="00C2477D"/>
    <w:rsid w:val="00C2489B"/>
    <w:rsid w:val="00C25465"/>
    <w:rsid w:val="00C25542"/>
    <w:rsid w:val="00C2596A"/>
    <w:rsid w:val="00C25A58"/>
    <w:rsid w:val="00C261BD"/>
    <w:rsid w:val="00C2735F"/>
    <w:rsid w:val="00C2742A"/>
    <w:rsid w:val="00C27537"/>
    <w:rsid w:val="00C27A81"/>
    <w:rsid w:val="00C27ABB"/>
    <w:rsid w:val="00C27C9C"/>
    <w:rsid w:val="00C27F79"/>
    <w:rsid w:val="00C307D6"/>
    <w:rsid w:val="00C3094F"/>
    <w:rsid w:val="00C315EF"/>
    <w:rsid w:val="00C31D6D"/>
    <w:rsid w:val="00C32532"/>
    <w:rsid w:val="00C328FE"/>
    <w:rsid w:val="00C3340A"/>
    <w:rsid w:val="00C33507"/>
    <w:rsid w:val="00C33B1E"/>
    <w:rsid w:val="00C33C2E"/>
    <w:rsid w:val="00C34FDF"/>
    <w:rsid w:val="00C35000"/>
    <w:rsid w:val="00C36762"/>
    <w:rsid w:val="00C36B7C"/>
    <w:rsid w:val="00C36FE4"/>
    <w:rsid w:val="00C37B15"/>
    <w:rsid w:val="00C37D74"/>
    <w:rsid w:val="00C4050F"/>
    <w:rsid w:val="00C410CB"/>
    <w:rsid w:val="00C414FF"/>
    <w:rsid w:val="00C41A4B"/>
    <w:rsid w:val="00C430F2"/>
    <w:rsid w:val="00C43ACA"/>
    <w:rsid w:val="00C43F8F"/>
    <w:rsid w:val="00C4409D"/>
    <w:rsid w:val="00C44E72"/>
    <w:rsid w:val="00C4535F"/>
    <w:rsid w:val="00C45A06"/>
    <w:rsid w:val="00C45AF2"/>
    <w:rsid w:val="00C45B83"/>
    <w:rsid w:val="00C46F2C"/>
    <w:rsid w:val="00C46FE2"/>
    <w:rsid w:val="00C47E5B"/>
    <w:rsid w:val="00C5060C"/>
    <w:rsid w:val="00C50C58"/>
    <w:rsid w:val="00C50E3D"/>
    <w:rsid w:val="00C51851"/>
    <w:rsid w:val="00C52573"/>
    <w:rsid w:val="00C52905"/>
    <w:rsid w:val="00C53284"/>
    <w:rsid w:val="00C54551"/>
    <w:rsid w:val="00C54AA6"/>
    <w:rsid w:val="00C55078"/>
    <w:rsid w:val="00C55F26"/>
    <w:rsid w:val="00C57027"/>
    <w:rsid w:val="00C57167"/>
    <w:rsid w:val="00C607A2"/>
    <w:rsid w:val="00C6103B"/>
    <w:rsid w:val="00C61070"/>
    <w:rsid w:val="00C61475"/>
    <w:rsid w:val="00C619FC"/>
    <w:rsid w:val="00C61E4B"/>
    <w:rsid w:val="00C6200E"/>
    <w:rsid w:val="00C62C85"/>
    <w:rsid w:val="00C631BB"/>
    <w:rsid w:val="00C63E3C"/>
    <w:rsid w:val="00C6418A"/>
    <w:rsid w:val="00C64BFF"/>
    <w:rsid w:val="00C64E26"/>
    <w:rsid w:val="00C65255"/>
    <w:rsid w:val="00C65633"/>
    <w:rsid w:val="00C658F9"/>
    <w:rsid w:val="00C65D01"/>
    <w:rsid w:val="00C669D1"/>
    <w:rsid w:val="00C67749"/>
    <w:rsid w:val="00C6787D"/>
    <w:rsid w:val="00C7034D"/>
    <w:rsid w:val="00C704E9"/>
    <w:rsid w:val="00C71A79"/>
    <w:rsid w:val="00C726C7"/>
    <w:rsid w:val="00C72732"/>
    <w:rsid w:val="00C727DA"/>
    <w:rsid w:val="00C72FD2"/>
    <w:rsid w:val="00C730B6"/>
    <w:rsid w:val="00C73496"/>
    <w:rsid w:val="00C7532A"/>
    <w:rsid w:val="00C75603"/>
    <w:rsid w:val="00C75652"/>
    <w:rsid w:val="00C75B96"/>
    <w:rsid w:val="00C76225"/>
    <w:rsid w:val="00C763C9"/>
    <w:rsid w:val="00C777B5"/>
    <w:rsid w:val="00C80057"/>
    <w:rsid w:val="00C812C9"/>
    <w:rsid w:val="00C8141E"/>
    <w:rsid w:val="00C81D30"/>
    <w:rsid w:val="00C81E0E"/>
    <w:rsid w:val="00C821E0"/>
    <w:rsid w:val="00C82232"/>
    <w:rsid w:val="00C82913"/>
    <w:rsid w:val="00C838C9"/>
    <w:rsid w:val="00C83FB6"/>
    <w:rsid w:val="00C84743"/>
    <w:rsid w:val="00C84F16"/>
    <w:rsid w:val="00C85C78"/>
    <w:rsid w:val="00C8642A"/>
    <w:rsid w:val="00C86EE8"/>
    <w:rsid w:val="00C87E0A"/>
    <w:rsid w:val="00C91E0B"/>
    <w:rsid w:val="00C927E1"/>
    <w:rsid w:val="00C929B7"/>
    <w:rsid w:val="00C92DC2"/>
    <w:rsid w:val="00C92FB4"/>
    <w:rsid w:val="00C93CEA"/>
    <w:rsid w:val="00C93F19"/>
    <w:rsid w:val="00C94D36"/>
    <w:rsid w:val="00C94FFC"/>
    <w:rsid w:val="00C9555B"/>
    <w:rsid w:val="00C95BE5"/>
    <w:rsid w:val="00C966EC"/>
    <w:rsid w:val="00C970FA"/>
    <w:rsid w:val="00C972B1"/>
    <w:rsid w:val="00CA1382"/>
    <w:rsid w:val="00CA16B5"/>
    <w:rsid w:val="00CA2CCE"/>
    <w:rsid w:val="00CA3568"/>
    <w:rsid w:val="00CA3685"/>
    <w:rsid w:val="00CA37CB"/>
    <w:rsid w:val="00CA3908"/>
    <w:rsid w:val="00CA3DAA"/>
    <w:rsid w:val="00CA3F40"/>
    <w:rsid w:val="00CA43FD"/>
    <w:rsid w:val="00CA47D8"/>
    <w:rsid w:val="00CA4A77"/>
    <w:rsid w:val="00CA5868"/>
    <w:rsid w:val="00CA6A12"/>
    <w:rsid w:val="00CA6EB3"/>
    <w:rsid w:val="00CA74FB"/>
    <w:rsid w:val="00CA7598"/>
    <w:rsid w:val="00CA7DCC"/>
    <w:rsid w:val="00CA7EF8"/>
    <w:rsid w:val="00CB026D"/>
    <w:rsid w:val="00CB1312"/>
    <w:rsid w:val="00CB1F08"/>
    <w:rsid w:val="00CB210C"/>
    <w:rsid w:val="00CB3AF6"/>
    <w:rsid w:val="00CB48D5"/>
    <w:rsid w:val="00CB56C6"/>
    <w:rsid w:val="00CB5F72"/>
    <w:rsid w:val="00CB61FC"/>
    <w:rsid w:val="00CB6F25"/>
    <w:rsid w:val="00CB6F99"/>
    <w:rsid w:val="00CB70F7"/>
    <w:rsid w:val="00CB7751"/>
    <w:rsid w:val="00CB7775"/>
    <w:rsid w:val="00CB7BF9"/>
    <w:rsid w:val="00CB7DCA"/>
    <w:rsid w:val="00CC08AE"/>
    <w:rsid w:val="00CC2AB0"/>
    <w:rsid w:val="00CC2F33"/>
    <w:rsid w:val="00CC33C6"/>
    <w:rsid w:val="00CC36B2"/>
    <w:rsid w:val="00CC3821"/>
    <w:rsid w:val="00CC4762"/>
    <w:rsid w:val="00CC489B"/>
    <w:rsid w:val="00CC5276"/>
    <w:rsid w:val="00CC59B0"/>
    <w:rsid w:val="00CC6B81"/>
    <w:rsid w:val="00CC7E14"/>
    <w:rsid w:val="00CD0564"/>
    <w:rsid w:val="00CD072D"/>
    <w:rsid w:val="00CD0B32"/>
    <w:rsid w:val="00CD0EA9"/>
    <w:rsid w:val="00CD0F78"/>
    <w:rsid w:val="00CD15F8"/>
    <w:rsid w:val="00CD1D9D"/>
    <w:rsid w:val="00CD2A7F"/>
    <w:rsid w:val="00CD2B15"/>
    <w:rsid w:val="00CD2BCD"/>
    <w:rsid w:val="00CD3960"/>
    <w:rsid w:val="00CD3A4C"/>
    <w:rsid w:val="00CD3E6C"/>
    <w:rsid w:val="00CD4DDC"/>
    <w:rsid w:val="00CD4E94"/>
    <w:rsid w:val="00CD53E9"/>
    <w:rsid w:val="00CD561E"/>
    <w:rsid w:val="00CD5C35"/>
    <w:rsid w:val="00CD5D00"/>
    <w:rsid w:val="00CD5D85"/>
    <w:rsid w:val="00CD6246"/>
    <w:rsid w:val="00CD6ABF"/>
    <w:rsid w:val="00CD7C43"/>
    <w:rsid w:val="00CD7D57"/>
    <w:rsid w:val="00CE01B5"/>
    <w:rsid w:val="00CE049C"/>
    <w:rsid w:val="00CE10E9"/>
    <w:rsid w:val="00CE13B6"/>
    <w:rsid w:val="00CE1547"/>
    <w:rsid w:val="00CE1F52"/>
    <w:rsid w:val="00CE259F"/>
    <w:rsid w:val="00CE2910"/>
    <w:rsid w:val="00CE2C4F"/>
    <w:rsid w:val="00CE4262"/>
    <w:rsid w:val="00CE4491"/>
    <w:rsid w:val="00CE5337"/>
    <w:rsid w:val="00CE5393"/>
    <w:rsid w:val="00CE5FC6"/>
    <w:rsid w:val="00CE67AA"/>
    <w:rsid w:val="00CE6BB2"/>
    <w:rsid w:val="00CE6F5E"/>
    <w:rsid w:val="00CE778C"/>
    <w:rsid w:val="00CE7B16"/>
    <w:rsid w:val="00CE7BDC"/>
    <w:rsid w:val="00CF08A1"/>
    <w:rsid w:val="00CF0F11"/>
    <w:rsid w:val="00CF1181"/>
    <w:rsid w:val="00CF1B89"/>
    <w:rsid w:val="00CF36BE"/>
    <w:rsid w:val="00CF39C3"/>
    <w:rsid w:val="00CF3CC8"/>
    <w:rsid w:val="00CF42F9"/>
    <w:rsid w:val="00CF4959"/>
    <w:rsid w:val="00CF6000"/>
    <w:rsid w:val="00CF6D29"/>
    <w:rsid w:val="00CF6F50"/>
    <w:rsid w:val="00CF763E"/>
    <w:rsid w:val="00D003F3"/>
    <w:rsid w:val="00D0072F"/>
    <w:rsid w:val="00D008C6"/>
    <w:rsid w:val="00D00CDE"/>
    <w:rsid w:val="00D013CA"/>
    <w:rsid w:val="00D01EB2"/>
    <w:rsid w:val="00D026A5"/>
    <w:rsid w:val="00D027DC"/>
    <w:rsid w:val="00D028BE"/>
    <w:rsid w:val="00D033B1"/>
    <w:rsid w:val="00D0364F"/>
    <w:rsid w:val="00D03FB9"/>
    <w:rsid w:val="00D04A47"/>
    <w:rsid w:val="00D0509E"/>
    <w:rsid w:val="00D05AF7"/>
    <w:rsid w:val="00D05BA3"/>
    <w:rsid w:val="00D05F67"/>
    <w:rsid w:val="00D06834"/>
    <w:rsid w:val="00D06E17"/>
    <w:rsid w:val="00D072D2"/>
    <w:rsid w:val="00D07331"/>
    <w:rsid w:val="00D0758F"/>
    <w:rsid w:val="00D07E59"/>
    <w:rsid w:val="00D11668"/>
    <w:rsid w:val="00D117B9"/>
    <w:rsid w:val="00D128A2"/>
    <w:rsid w:val="00D1294D"/>
    <w:rsid w:val="00D12C71"/>
    <w:rsid w:val="00D134DD"/>
    <w:rsid w:val="00D139CE"/>
    <w:rsid w:val="00D140BD"/>
    <w:rsid w:val="00D14CBC"/>
    <w:rsid w:val="00D15433"/>
    <w:rsid w:val="00D1623E"/>
    <w:rsid w:val="00D16246"/>
    <w:rsid w:val="00D16521"/>
    <w:rsid w:val="00D17911"/>
    <w:rsid w:val="00D20128"/>
    <w:rsid w:val="00D20C55"/>
    <w:rsid w:val="00D20CE8"/>
    <w:rsid w:val="00D21551"/>
    <w:rsid w:val="00D217BF"/>
    <w:rsid w:val="00D21F9E"/>
    <w:rsid w:val="00D22056"/>
    <w:rsid w:val="00D22AFB"/>
    <w:rsid w:val="00D22BD6"/>
    <w:rsid w:val="00D22EE5"/>
    <w:rsid w:val="00D22FEA"/>
    <w:rsid w:val="00D23C69"/>
    <w:rsid w:val="00D24200"/>
    <w:rsid w:val="00D242B0"/>
    <w:rsid w:val="00D251BC"/>
    <w:rsid w:val="00D255F5"/>
    <w:rsid w:val="00D2591F"/>
    <w:rsid w:val="00D25B50"/>
    <w:rsid w:val="00D25C29"/>
    <w:rsid w:val="00D26F9F"/>
    <w:rsid w:val="00D303BE"/>
    <w:rsid w:val="00D306A5"/>
    <w:rsid w:val="00D308ED"/>
    <w:rsid w:val="00D315BD"/>
    <w:rsid w:val="00D31F49"/>
    <w:rsid w:val="00D32B75"/>
    <w:rsid w:val="00D32BE3"/>
    <w:rsid w:val="00D336C1"/>
    <w:rsid w:val="00D33BD2"/>
    <w:rsid w:val="00D345C0"/>
    <w:rsid w:val="00D34BA4"/>
    <w:rsid w:val="00D35843"/>
    <w:rsid w:val="00D3596E"/>
    <w:rsid w:val="00D35ADE"/>
    <w:rsid w:val="00D36714"/>
    <w:rsid w:val="00D36D86"/>
    <w:rsid w:val="00D37809"/>
    <w:rsid w:val="00D40126"/>
    <w:rsid w:val="00D4055B"/>
    <w:rsid w:val="00D406A0"/>
    <w:rsid w:val="00D408AB"/>
    <w:rsid w:val="00D409BA"/>
    <w:rsid w:val="00D40BAD"/>
    <w:rsid w:val="00D413E5"/>
    <w:rsid w:val="00D428AA"/>
    <w:rsid w:val="00D42DF7"/>
    <w:rsid w:val="00D43E27"/>
    <w:rsid w:val="00D44060"/>
    <w:rsid w:val="00D449FC"/>
    <w:rsid w:val="00D44F4F"/>
    <w:rsid w:val="00D451CC"/>
    <w:rsid w:val="00D4541F"/>
    <w:rsid w:val="00D454EA"/>
    <w:rsid w:val="00D45749"/>
    <w:rsid w:val="00D45B58"/>
    <w:rsid w:val="00D45E2E"/>
    <w:rsid w:val="00D50952"/>
    <w:rsid w:val="00D50A34"/>
    <w:rsid w:val="00D519FE"/>
    <w:rsid w:val="00D51A2D"/>
    <w:rsid w:val="00D51F78"/>
    <w:rsid w:val="00D528FA"/>
    <w:rsid w:val="00D52E8E"/>
    <w:rsid w:val="00D53205"/>
    <w:rsid w:val="00D5323C"/>
    <w:rsid w:val="00D53729"/>
    <w:rsid w:val="00D53EFA"/>
    <w:rsid w:val="00D53F55"/>
    <w:rsid w:val="00D53FBF"/>
    <w:rsid w:val="00D54BAA"/>
    <w:rsid w:val="00D54E67"/>
    <w:rsid w:val="00D557B5"/>
    <w:rsid w:val="00D55ABE"/>
    <w:rsid w:val="00D55F5A"/>
    <w:rsid w:val="00D56C8F"/>
    <w:rsid w:val="00D600D3"/>
    <w:rsid w:val="00D60163"/>
    <w:rsid w:val="00D60320"/>
    <w:rsid w:val="00D604F6"/>
    <w:rsid w:val="00D60555"/>
    <w:rsid w:val="00D60772"/>
    <w:rsid w:val="00D61785"/>
    <w:rsid w:val="00D61C6C"/>
    <w:rsid w:val="00D6261F"/>
    <w:rsid w:val="00D63108"/>
    <w:rsid w:val="00D63197"/>
    <w:rsid w:val="00D641C5"/>
    <w:rsid w:val="00D64E8E"/>
    <w:rsid w:val="00D6581C"/>
    <w:rsid w:val="00D66D81"/>
    <w:rsid w:val="00D6741C"/>
    <w:rsid w:val="00D67D39"/>
    <w:rsid w:val="00D700DE"/>
    <w:rsid w:val="00D70A9C"/>
    <w:rsid w:val="00D70BEE"/>
    <w:rsid w:val="00D70CE9"/>
    <w:rsid w:val="00D7131D"/>
    <w:rsid w:val="00D71521"/>
    <w:rsid w:val="00D72051"/>
    <w:rsid w:val="00D726B0"/>
    <w:rsid w:val="00D728B8"/>
    <w:rsid w:val="00D72916"/>
    <w:rsid w:val="00D73865"/>
    <w:rsid w:val="00D73B1D"/>
    <w:rsid w:val="00D74DAB"/>
    <w:rsid w:val="00D751E2"/>
    <w:rsid w:val="00D752D2"/>
    <w:rsid w:val="00D75701"/>
    <w:rsid w:val="00D75AF6"/>
    <w:rsid w:val="00D75E90"/>
    <w:rsid w:val="00D76692"/>
    <w:rsid w:val="00D76823"/>
    <w:rsid w:val="00D77CFD"/>
    <w:rsid w:val="00D77DC6"/>
    <w:rsid w:val="00D77E98"/>
    <w:rsid w:val="00D808CD"/>
    <w:rsid w:val="00D80C3B"/>
    <w:rsid w:val="00D81109"/>
    <w:rsid w:val="00D814DC"/>
    <w:rsid w:val="00D827AF"/>
    <w:rsid w:val="00D82A88"/>
    <w:rsid w:val="00D82E12"/>
    <w:rsid w:val="00D833F0"/>
    <w:rsid w:val="00D8466A"/>
    <w:rsid w:val="00D866FC"/>
    <w:rsid w:val="00D8716D"/>
    <w:rsid w:val="00D8726B"/>
    <w:rsid w:val="00D87ECE"/>
    <w:rsid w:val="00D900B6"/>
    <w:rsid w:val="00D91B9E"/>
    <w:rsid w:val="00D92601"/>
    <w:rsid w:val="00D934CC"/>
    <w:rsid w:val="00D93611"/>
    <w:rsid w:val="00D937CA"/>
    <w:rsid w:val="00D93B57"/>
    <w:rsid w:val="00D94A7C"/>
    <w:rsid w:val="00D94DC3"/>
    <w:rsid w:val="00D94DF0"/>
    <w:rsid w:val="00D9552B"/>
    <w:rsid w:val="00D95896"/>
    <w:rsid w:val="00D95959"/>
    <w:rsid w:val="00D96BC2"/>
    <w:rsid w:val="00D96D73"/>
    <w:rsid w:val="00D9760A"/>
    <w:rsid w:val="00D97E55"/>
    <w:rsid w:val="00DA07A5"/>
    <w:rsid w:val="00DA0DBD"/>
    <w:rsid w:val="00DA1386"/>
    <w:rsid w:val="00DA17EA"/>
    <w:rsid w:val="00DA21E0"/>
    <w:rsid w:val="00DA2576"/>
    <w:rsid w:val="00DA390A"/>
    <w:rsid w:val="00DA40CF"/>
    <w:rsid w:val="00DA4CCD"/>
    <w:rsid w:val="00DA5A02"/>
    <w:rsid w:val="00DA621F"/>
    <w:rsid w:val="00DA687E"/>
    <w:rsid w:val="00DA70CE"/>
    <w:rsid w:val="00DB1166"/>
    <w:rsid w:val="00DB1827"/>
    <w:rsid w:val="00DB1E5F"/>
    <w:rsid w:val="00DB275A"/>
    <w:rsid w:val="00DB2983"/>
    <w:rsid w:val="00DB324A"/>
    <w:rsid w:val="00DB3C7B"/>
    <w:rsid w:val="00DB48A0"/>
    <w:rsid w:val="00DB52A9"/>
    <w:rsid w:val="00DB57BA"/>
    <w:rsid w:val="00DB5AA4"/>
    <w:rsid w:val="00DB5B0D"/>
    <w:rsid w:val="00DB5F64"/>
    <w:rsid w:val="00DB609B"/>
    <w:rsid w:val="00DB62DA"/>
    <w:rsid w:val="00DB6A31"/>
    <w:rsid w:val="00DB6D01"/>
    <w:rsid w:val="00DB7031"/>
    <w:rsid w:val="00DC0302"/>
    <w:rsid w:val="00DC0EEE"/>
    <w:rsid w:val="00DC1257"/>
    <w:rsid w:val="00DC13D6"/>
    <w:rsid w:val="00DC1948"/>
    <w:rsid w:val="00DC2758"/>
    <w:rsid w:val="00DC2C0A"/>
    <w:rsid w:val="00DC2C93"/>
    <w:rsid w:val="00DC2F37"/>
    <w:rsid w:val="00DC33D2"/>
    <w:rsid w:val="00DC3662"/>
    <w:rsid w:val="00DC3DC0"/>
    <w:rsid w:val="00DC3DEF"/>
    <w:rsid w:val="00DC400F"/>
    <w:rsid w:val="00DC423D"/>
    <w:rsid w:val="00DC4981"/>
    <w:rsid w:val="00DC5360"/>
    <w:rsid w:val="00DC5B2B"/>
    <w:rsid w:val="00DC6057"/>
    <w:rsid w:val="00DC68EE"/>
    <w:rsid w:val="00DC6DF8"/>
    <w:rsid w:val="00DC6F87"/>
    <w:rsid w:val="00DC7276"/>
    <w:rsid w:val="00DC7FB3"/>
    <w:rsid w:val="00DD110B"/>
    <w:rsid w:val="00DD1246"/>
    <w:rsid w:val="00DD20F3"/>
    <w:rsid w:val="00DD2193"/>
    <w:rsid w:val="00DD2918"/>
    <w:rsid w:val="00DD2D7F"/>
    <w:rsid w:val="00DD2E42"/>
    <w:rsid w:val="00DD318D"/>
    <w:rsid w:val="00DD3CEF"/>
    <w:rsid w:val="00DD40E4"/>
    <w:rsid w:val="00DD47E2"/>
    <w:rsid w:val="00DD50B1"/>
    <w:rsid w:val="00DD5127"/>
    <w:rsid w:val="00DD5555"/>
    <w:rsid w:val="00DD608A"/>
    <w:rsid w:val="00DE0811"/>
    <w:rsid w:val="00DE0BBA"/>
    <w:rsid w:val="00DE1EFC"/>
    <w:rsid w:val="00DE212C"/>
    <w:rsid w:val="00DE277B"/>
    <w:rsid w:val="00DE2A5F"/>
    <w:rsid w:val="00DE32DA"/>
    <w:rsid w:val="00DE33F4"/>
    <w:rsid w:val="00DE3AB5"/>
    <w:rsid w:val="00DE3BA3"/>
    <w:rsid w:val="00DE43A6"/>
    <w:rsid w:val="00DE4A64"/>
    <w:rsid w:val="00DE4C7B"/>
    <w:rsid w:val="00DE5AE1"/>
    <w:rsid w:val="00DE644B"/>
    <w:rsid w:val="00DE6C3A"/>
    <w:rsid w:val="00DE7942"/>
    <w:rsid w:val="00DE7B07"/>
    <w:rsid w:val="00DF1009"/>
    <w:rsid w:val="00DF1698"/>
    <w:rsid w:val="00DF189B"/>
    <w:rsid w:val="00DF1AFF"/>
    <w:rsid w:val="00DF2E12"/>
    <w:rsid w:val="00DF3CD4"/>
    <w:rsid w:val="00DF3D49"/>
    <w:rsid w:val="00DF3E8E"/>
    <w:rsid w:val="00DF514A"/>
    <w:rsid w:val="00DF57E2"/>
    <w:rsid w:val="00DF5B8B"/>
    <w:rsid w:val="00DF5F95"/>
    <w:rsid w:val="00DF6578"/>
    <w:rsid w:val="00DF6690"/>
    <w:rsid w:val="00DF66DF"/>
    <w:rsid w:val="00DF6804"/>
    <w:rsid w:val="00DF6AFB"/>
    <w:rsid w:val="00DF7751"/>
    <w:rsid w:val="00DF7D09"/>
    <w:rsid w:val="00DF7E52"/>
    <w:rsid w:val="00DF7F57"/>
    <w:rsid w:val="00E003A3"/>
    <w:rsid w:val="00E003A5"/>
    <w:rsid w:val="00E00607"/>
    <w:rsid w:val="00E006DB"/>
    <w:rsid w:val="00E0098E"/>
    <w:rsid w:val="00E00A44"/>
    <w:rsid w:val="00E00ADC"/>
    <w:rsid w:val="00E010D2"/>
    <w:rsid w:val="00E01A5F"/>
    <w:rsid w:val="00E02AE0"/>
    <w:rsid w:val="00E02B36"/>
    <w:rsid w:val="00E0358D"/>
    <w:rsid w:val="00E03A2E"/>
    <w:rsid w:val="00E03C7B"/>
    <w:rsid w:val="00E03D5F"/>
    <w:rsid w:val="00E04036"/>
    <w:rsid w:val="00E04323"/>
    <w:rsid w:val="00E0464F"/>
    <w:rsid w:val="00E048BC"/>
    <w:rsid w:val="00E04E8E"/>
    <w:rsid w:val="00E05179"/>
    <w:rsid w:val="00E05A34"/>
    <w:rsid w:val="00E070A2"/>
    <w:rsid w:val="00E070B3"/>
    <w:rsid w:val="00E0795D"/>
    <w:rsid w:val="00E07BD4"/>
    <w:rsid w:val="00E07DF4"/>
    <w:rsid w:val="00E10084"/>
    <w:rsid w:val="00E10E02"/>
    <w:rsid w:val="00E10ED1"/>
    <w:rsid w:val="00E11200"/>
    <w:rsid w:val="00E112CA"/>
    <w:rsid w:val="00E116B5"/>
    <w:rsid w:val="00E12603"/>
    <w:rsid w:val="00E140D7"/>
    <w:rsid w:val="00E14A51"/>
    <w:rsid w:val="00E15272"/>
    <w:rsid w:val="00E15D07"/>
    <w:rsid w:val="00E15F1C"/>
    <w:rsid w:val="00E160CD"/>
    <w:rsid w:val="00E160E5"/>
    <w:rsid w:val="00E170A2"/>
    <w:rsid w:val="00E172E6"/>
    <w:rsid w:val="00E208C8"/>
    <w:rsid w:val="00E20986"/>
    <w:rsid w:val="00E20ACF"/>
    <w:rsid w:val="00E21350"/>
    <w:rsid w:val="00E214F5"/>
    <w:rsid w:val="00E22A44"/>
    <w:rsid w:val="00E22AF5"/>
    <w:rsid w:val="00E22C8C"/>
    <w:rsid w:val="00E23105"/>
    <w:rsid w:val="00E24771"/>
    <w:rsid w:val="00E2480E"/>
    <w:rsid w:val="00E2528F"/>
    <w:rsid w:val="00E25D20"/>
    <w:rsid w:val="00E2656A"/>
    <w:rsid w:val="00E267F5"/>
    <w:rsid w:val="00E27151"/>
    <w:rsid w:val="00E276C3"/>
    <w:rsid w:val="00E3064F"/>
    <w:rsid w:val="00E3222A"/>
    <w:rsid w:val="00E3242F"/>
    <w:rsid w:val="00E32D77"/>
    <w:rsid w:val="00E3351B"/>
    <w:rsid w:val="00E33C6E"/>
    <w:rsid w:val="00E349D9"/>
    <w:rsid w:val="00E34A03"/>
    <w:rsid w:val="00E35659"/>
    <w:rsid w:val="00E358DE"/>
    <w:rsid w:val="00E35E6B"/>
    <w:rsid w:val="00E35FDB"/>
    <w:rsid w:val="00E3683D"/>
    <w:rsid w:val="00E36B28"/>
    <w:rsid w:val="00E36F7D"/>
    <w:rsid w:val="00E3718F"/>
    <w:rsid w:val="00E3752E"/>
    <w:rsid w:val="00E37671"/>
    <w:rsid w:val="00E40275"/>
    <w:rsid w:val="00E40617"/>
    <w:rsid w:val="00E41198"/>
    <w:rsid w:val="00E41258"/>
    <w:rsid w:val="00E412D0"/>
    <w:rsid w:val="00E41857"/>
    <w:rsid w:val="00E41B44"/>
    <w:rsid w:val="00E42DAB"/>
    <w:rsid w:val="00E42F51"/>
    <w:rsid w:val="00E43011"/>
    <w:rsid w:val="00E430A6"/>
    <w:rsid w:val="00E4358D"/>
    <w:rsid w:val="00E4432B"/>
    <w:rsid w:val="00E4438D"/>
    <w:rsid w:val="00E44EA3"/>
    <w:rsid w:val="00E4524F"/>
    <w:rsid w:val="00E4552D"/>
    <w:rsid w:val="00E45950"/>
    <w:rsid w:val="00E46306"/>
    <w:rsid w:val="00E4704A"/>
    <w:rsid w:val="00E501FA"/>
    <w:rsid w:val="00E51644"/>
    <w:rsid w:val="00E51867"/>
    <w:rsid w:val="00E51FEE"/>
    <w:rsid w:val="00E527B8"/>
    <w:rsid w:val="00E5300D"/>
    <w:rsid w:val="00E532F9"/>
    <w:rsid w:val="00E53E69"/>
    <w:rsid w:val="00E540CB"/>
    <w:rsid w:val="00E5487C"/>
    <w:rsid w:val="00E56322"/>
    <w:rsid w:val="00E567FA"/>
    <w:rsid w:val="00E56A3D"/>
    <w:rsid w:val="00E573A4"/>
    <w:rsid w:val="00E578A2"/>
    <w:rsid w:val="00E57945"/>
    <w:rsid w:val="00E57CC8"/>
    <w:rsid w:val="00E6022B"/>
    <w:rsid w:val="00E60982"/>
    <w:rsid w:val="00E60ED7"/>
    <w:rsid w:val="00E6144F"/>
    <w:rsid w:val="00E62C62"/>
    <w:rsid w:val="00E63525"/>
    <w:rsid w:val="00E635BF"/>
    <w:rsid w:val="00E64775"/>
    <w:rsid w:val="00E64BDD"/>
    <w:rsid w:val="00E64EA9"/>
    <w:rsid w:val="00E654C1"/>
    <w:rsid w:val="00E65555"/>
    <w:rsid w:val="00E65D97"/>
    <w:rsid w:val="00E662FC"/>
    <w:rsid w:val="00E6672C"/>
    <w:rsid w:val="00E7032C"/>
    <w:rsid w:val="00E70A5F"/>
    <w:rsid w:val="00E71132"/>
    <w:rsid w:val="00E71203"/>
    <w:rsid w:val="00E71210"/>
    <w:rsid w:val="00E71913"/>
    <w:rsid w:val="00E71A6A"/>
    <w:rsid w:val="00E72026"/>
    <w:rsid w:val="00E7220D"/>
    <w:rsid w:val="00E727D8"/>
    <w:rsid w:val="00E72A5A"/>
    <w:rsid w:val="00E73141"/>
    <w:rsid w:val="00E73354"/>
    <w:rsid w:val="00E740DC"/>
    <w:rsid w:val="00E7487E"/>
    <w:rsid w:val="00E753BA"/>
    <w:rsid w:val="00E7699F"/>
    <w:rsid w:val="00E77429"/>
    <w:rsid w:val="00E77CD0"/>
    <w:rsid w:val="00E77FE1"/>
    <w:rsid w:val="00E80BAA"/>
    <w:rsid w:val="00E8224F"/>
    <w:rsid w:val="00E834FC"/>
    <w:rsid w:val="00E83B2E"/>
    <w:rsid w:val="00E8495A"/>
    <w:rsid w:val="00E8502F"/>
    <w:rsid w:val="00E85455"/>
    <w:rsid w:val="00E858D9"/>
    <w:rsid w:val="00E858DE"/>
    <w:rsid w:val="00E871B4"/>
    <w:rsid w:val="00E90067"/>
    <w:rsid w:val="00E902D9"/>
    <w:rsid w:val="00E9051A"/>
    <w:rsid w:val="00E9093A"/>
    <w:rsid w:val="00E9179E"/>
    <w:rsid w:val="00E9242D"/>
    <w:rsid w:val="00E929DD"/>
    <w:rsid w:val="00E92A41"/>
    <w:rsid w:val="00E93367"/>
    <w:rsid w:val="00E9393B"/>
    <w:rsid w:val="00E93D35"/>
    <w:rsid w:val="00E949DE"/>
    <w:rsid w:val="00E954B2"/>
    <w:rsid w:val="00E960CC"/>
    <w:rsid w:val="00E9749B"/>
    <w:rsid w:val="00E9756F"/>
    <w:rsid w:val="00E9780B"/>
    <w:rsid w:val="00E97EF0"/>
    <w:rsid w:val="00EA0522"/>
    <w:rsid w:val="00EA0855"/>
    <w:rsid w:val="00EA0A4B"/>
    <w:rsid w:val="00EA0B50"/>
    <w:rsid w:val="00EA0C84"/>
    <w:rsid w:val="00EA1FA3"/>
    <w:rsid w:val="00EA2254"/>
    <w:rsid w:val="00EA45F6"/>
    <w:rsid w:val="00EA4AAA"/>
    <w:rsid w:val="00EA4B17"/>
    <w:rsid w:val="00EA718F"/>
    <w:rsid w:val="00EA73FA"/>
    <w:rsid w:val="00EA76AA"/>
    <w:rsid w:val="00EA786E"/>
    <w:rsid w:val="00EA7CD6"/>
    <w:rsid w:val="00EB0136"/>
    <w:rsid w:val="00EB0CA5"/>
    <w:rsid w:val="00EB16C2"/>
    <w:rsid w:val="00EB18EF"/>
    <w:rsid w:val="00EB2D8C"/>
    <w:rsid w:val="00EB338A"/>
    <w:rsid w:val="00EB3B82"/>
    <w:rsid w:val="00EB3ED2"/>
    <w:rsid w:val="00EB40DF"/>
    <w:rsid w:val="00EB44EB"/>
    <w:rsid w:val="00EB5213"/>
    <w:rsid w:val="00EB5255"/>
    <w:rsid w:val="00EB56CE"/>
    <w:rsid w:val="00EB5C47"/>
    <w:rsid w:val="00EB6273"/>
    <w:rsid w:val="00EB6326"/>
    <w:rsid w:val="00EB6A53"/>
    <w:rsid w:val="00EB6B9E"/>
    <w:rsid w:val="00EB6C2D"/>
    <w:rsid w:val="00EB6EDB"/>
    <w:rsid w:val="00EB71B3"/>
    <w:rsid w:val="00EB79FA"/>
    <w:rsid w:val="00EC0C30"/>
    <w:rsid w:val="00EC13E8"/>
    <w:rsid w:val="00EC2405"/>
    <w:rsid w:val="00EC25BF"/>
    <w:rsid w:val="00EC262E"/>
    <w:rsid w:val="00EC2AD5"/>
    <w:rsid w:val="00EC361F"/>
    <w:rsid w:val="00EC4540"/>
    <w:rsid w:val="00EC477B"/>
    <w:rsid w:val="00EC4990"/>
    <w:rsid w:val="00EC4F3B"/>
    <w:rsid w:val="00EC5B9F"/>
    <w:rsid w:val="00EC5BE7"/>
    <w:rsid w:val="00EC6120"/>
    <w:rsid w:val="00EC69B0"/>
    <w:rsid w:val="00EC6B3B"/>
    <w:rsid w:val="00EC75AA"/>
    <w:rsid w:val="00EC7AF6"/>
    <w:rsid w:val="00EC7E22"/>
    <w:rsid w:val="00EC7FAA"/>
    <w:rsid w:val="00ED0639"/>
    <w:rsid w:val="00ED19C5"/>
    <w:rsid w:val="00ED29AB"/>
    <w:rsid w:val="00ED2D35"/>
    <w:rsid w:val="00ED30D2"/>
    <w:rsid w:val="00ED39E7"/>
    <w:rsid w:val="00ED3A61"/>
    <w:rsid w:val="00ED4DBE"/>
    <w:rsid w:val="00ED50B0"/>
    <w:rsid w:val="00ED5B68"/>
    <w:rsid w:val="00EE051A"/>
    <w:rsid w:val="00EE0C42"/>
    <w:rsid w:val="00EE1232"/>
    <w:rsid w:val="00EE136D"/>
    <w:rsid w:val="00EE17F4"/>
    <w:rsid w:val="00EE18D7"/>
    <w:rsid w:val="00EE2B5B"/>
    <w:rsid w:val="00EE3057"/>
    <w:rsid w:val="00EE429E"/>
    <w:rsid w:val="00EE65DD"/>
    <w:rsid w:val="00EE6B0B"/>
    <w:rsid w:val="00EE7633"/>
    <w:rsid w:val="00EE763B"/>
    <w:rsid w:val="00EF0088"/>
    <w:rsid w:val="00EF00B3"/>
    <w:rsid w:val="00EF0C13"/>
    <w:rsid w:val="00EF0C23"/>
    <w:rsid w:val="00EF13C1"/>
    <w:rsid w:val="00EF15C7"/>
    <w:rsid w:val="00EF344A"/>
    <w:rsid w:val="00EF3649"/>
    <w:rsid w:val="00EF3A92"/>
    <w:rsid w:val="00EF3C58"/>
    <w:rsid w:val="00EF3F07"/>
    <w:rsid w:val="00EF4755"/>
    <w:rsid w:val="00EF4CDC"/>
    <w:rsid w:val="00EF5276"/>
    <w:rsid w:val="00EF5CDC"/>
    <w:rsid w:val="00EF5D16"/>
    <w:rsid w:val="00EF5DA6"/>
    <w:rsid w:val="00EF7135"/>
    <w:rsid w:val="00EF776A"/>
    <w:rsid w:val="00EF7971"/>
    <w:rsid w:val="00F00649"/>
    <w:rsid w:val="00F00E28"/>
    <w:rsid w:val="00F00F90"/>
    <w:rsid w:val="00F0139A"/>
    <w:rsid w:val="00F013F5"/>
    <w:rsid w:val="00F01645"/>
    <w:rsid w:val="00F016EE"/>
    <w:rsid w:val="00F0199F"/>
    <w:rsid w:val="00F027DB"/>
    <w:rsid w:val="00F03786"/>
    <w:rsid w:val="00F03FE9"/>
    <w:rsid w:val="00F041B7"/>
    <w:rsid w:val="00F04AE1"/>
    <w:rsid w:val="00F0503B"/>
    <w:rsid w:val="00F05577"/>
    <w:rsid w:val="00F056B4"/>
    <w:rsid w:val="00F05AC2"/>
    <w:rsid w:val="00F05C4C"/>
    <w:rsid w:val="00F0651F"/>
    <w:rsid w:val="00F070EE"/>
    <w:rsid w:val="00F07173"/>
    <w:rsid w:val="00F07D0D"/>
    <w:rsid w:val="00F07D4E"/>
    <w:rsid w:val="00F07DFF"/>
    <w:rsid w:val="00F10132"/>
    <w:rsid w:val="00F1035E"/>
    <w:rsid w:val="00F10A7B"/>
    <w:rsid w:val="00F10B1D"/>
    <w:rsid w:val="00F110F9"/>
    <w:rsid w:val="00F111F4"/>
    <w:rsid w:val="00F11C13"/>
    <w:rsid w:val="00F1268F"/>
    <w:rsid w:val="00F12A1F"/>
    <w:rsid w:val="00F12B65"/>
    <w:rsid w:val="00F1321D"/>
    <w:rsid w:val="00F1352E"/>
    <w:rsid w:val="00F13551"/>
    <w:rsid w:val="00F13CD7"/>
    <w:rsid w:val="00F140DF"/>
    <w:rsid w:val="00F1448E"/>
    <w:rsid w:val="00F1450E"/>
    <w:rsid w:val="00F14A7A"/>
    <w:rsid w:val="00F14BA4"/>
    <w:rsid w:val="00F14E65"/>
    <w:rsid w:val="00F14FC6"/>
    <w:rsid w:val="00F15890"/>
    <w:rsid w:val="00F168C8"/>
    <w:rsid w:val="00F173BE"/>
    <w:rsid w:val="00F17E6C"/>
    <w:rsid w:val="00F2086F"/>
    <w:rsid w:val="00F20910"/>
    <w:rsid w:val="00F20AD2"/>
    <w:rsid w:val="00F215DD"/>
    <w:rsid w:val="00F22985"/>
    <w:rsid w:val="00F23CAC"/>
    <w:rsid w:val="00F2458E"/>
    <w:rsid w:val="00F24962"/>
    <w:rsid w:val="00F25811"/>
    <w:rsid w:val="00F25B59"/>
    <w:rsid w:val="00F25C81"/>
    <w:rsid w:val="00F2610F"/>
    <w:rsid w:val="00F26575"/>
    <w:rsid w:val="00F26C04"/>
    <w:rsid w:val="00F279A7"/>
    <w:rsid w:val="00F3067F"/>
    <w:rsid w:val="00F30B7F"/>
    <w:rsid w:val="00F30E53"/>
    <w:rsid w:val="00F3116B"/>
    <w:rsid w:val="00F3213C"/>
    <w:rsid w:val="00F3334E"/>
    <w:rsid w:val="00F3383E"/>
    <w:rsid w:val="00F33A12"/>
    <w:rsid w:val="00F3402D"/>
    <w:rsid w:val="00F341FF"/>
    <w:rsid w:val="00F34584"/>
    <w:rsid w:val="00F349A4"/>
    <w:rsid w:val="00F34A1E"/>
    <w:rsid w:val="00F34B7C"/>
    <w:rsid w:val="00F356F2"/>
    <w:rsid w:val="00F35C91"/>
    <w:rsid w:val="00F3670E"/>
    <w:rsid w:val="00F3763F"/>
    <w:rsid w:val="00F37C58"/>
    <w:rsid w:val="00F4047C"/>
    <w:rsid w:val="00F405F8"/>
    <w:rsid w:val="00F40C85"/>
    <w:rsid w:val="00F40EA7"/>
    <w:rsid w:val="00F4221C"/>
    <w:rsid w:val="00F42D1B"/>
    <w:rsid w:val="00F42D26"/>
    <w:rsid w:val="00F42E3C"/>
    <w:rsid w:val="00F43486"/>
    <w:rsid w:val="00F434F4"/>
    <w:rsid w:val="00F437DA"/>
    <w:rsid w:val="00F43B21"/>
    <w:rsid w:val="00F45213"/>
    <w:rsid w:val="00F45740"/>
    <w:rsid w:val="00F45BF1"/>
    <w:rsid w:val="00F45D91"/>
    <w:rsid w:val="00F4622E"/>
    <w:rsid w:val="00F465A7"/>
    <w:rsid w:val="00F47D5F"/>
    <w:rsid w:val="00F5069D"/>
    <w:rsid w:val="00F508B1"/>
    <w:rsid w:val="00F50B7C"/>
    <w:rsid w:val="00F50D88"/>
    <w:rsid w:val="00F51188"/>
    <w:rsid w:val="00F51346"/>
    <w:rsid w:val="00F52214"/>
    <w:rsid w:val="00F52EE3"/>
    <w:rsid w:val="00F54A53"/>
    <w:rsid w:val="00F550E6"/>
    <w:rsid w:val="00F55EB4"/>
    <w:rsid w:val="00F5636C"/>
    <w:rsid w:val="00F573DC"/>
    <w:rsid w:val="00F57838"/>
    <w:rsid w:val="00F601B3"/>
    <w:rsid w:val="00F60259"/>
    <w:rsid w:val="00F6034A"/>
    <w:rsid w:val="00F64274"/>
    <w:rsid w:val="00F64782"/>
    <w:rsid w:val="00F64927"/>
    <w:rsid w:val="00F650DE"/>
    <w:rsid w:val="00F65511"/>
    <w:rsid w:val="00F674F7"/>
    <w:rsid w:val="00F67DD6"/>
    <w:rsid w:val="00F70A47"/>
    <w:rsid w:val="00F71324"/>
    <w:rsid w:val="00F71545"/>
    <w:rsid w:val="00F7166F"/>
    <w:rsid w:val="00F7167E"/>
    <w:rsid w:val="00F71741"/>
    <w:rsid w:val="00F7216F"/>
    <w:rsid w:val="00F72653"/>
    <w:rsid w:val="00F72725"/>
    <w:rsid w:val="00F73F9C"/>
    <w:rsid w:val="00F74345"/>
    <w:rsid w:val="00F74F34"/>
    <w:rsid w:val="00F7527E"/>
    <w:rsid w:val="00F76221"/>
    <w:rsid w:val="00F7670B"/>
    <w:rsid w:val="00F767B3"/>
    <w:rsid w:val="00F767C7"/>
    <w:rsid w:val="00F76ABF"/>
    <w:rsid w:val="00F76FA3"/>
    <w:rsid w:val="00F77E73"/>
    <w:rsid w:val="00F77E8F"/>
    <w:rsid w:val="00F80A0A"/>
    <w:rsid w:val="00F812B6"/>
    <w:rsid w:val="00F81DED"/>
    <w:rsid w:val="00F82B19"/>
    <w:rsid w:val="00F82CA9"/>
    <w:rsid w:val="00F8326C"/>
    <w:rsid w:val="00F833FD"/>
    <w:rsid w:val="00F839C7"/>
    <w:rsid w:val="00F83B2E"/>
    <w:rsid w:val="00F843C1"/>
    <w:rsid w:val="00F844AC"/>
    <w:rsid w:val="00F8475E"/>
    <w:rsid w:val="00F86B48"/>
    <w:rsid w:val="00F86CDB"/>
    <w:rsid w:val="00F8780B"/>
    <w:rsid w:val="00F8787C"/>
    <w:rsid w:val="00F87D33"/>
    <w:rsid w:val="00F90106"/>
    <w:rsid w:val="00F906A4"/>
    <w:rsid w:val="00F906E2"/>
    <w:rsid w:val="00F90D92"/>
    <w:rsid w:val="00F910B2"/>
    <w:rsid w:val="00F91DC3"/>
    <w:rsid w:val="00F9212D"/>
    <w:rsid w:val="00F9223B"/>
    <w:rsid w:val="00F9240E"/>
    <w:rsid w:val="00F92B6E"/>
    <w:rsid w:val="00F93636"/>
    <w:rsid w:val="00F93FEC"/>
    <w:rsid w:val="00F94940"/>
    <w:rsid w:val="00F94DB9"/>
    <w:rsid w:val="00F94FF7"/>
    <w:rsid w:val="00F953C8"/>
    <w:rsid w:val="00F9627D"/>
    <w:rsid w:val="00F96384"/>
    <w:rsid w:val="00F964E4"/>
    <w:rsid w:val="00F965DA"/>
    <w:rsid w:val="00F977E8"/>
    <w:rsid w:val="00F978FC"/>
    <w:rsid w:val="00F9796C"/>
    <w:rsid w:val="00F97AB8"/>
    <w:rsid w:val="00F97DED"/>
    <w:rsid w:val="00F97FD7"/>
    <w:rsid w:val="00FA1026"/>
    <w:rsid w:val="00FA12B6"/>
    <w:rsid w:val="00FA154C"/>
    <w:rsid w:val="00FA38F2"/>
    <w:rsid w:val="00FA406A"/>
    <w:rsid w:val="00FA408A"/>
    <w:rsid w:val="00FA4453"/>
    <w:rsid w:val="00FA4DF9"/>
    <w:rsid w:val="00FA50EE"/>
    <w:rsid w:val="00FA58F7"/>
    <w:rsid w:val="00FA5AB4"/>
    <w:rsid w:val="00FA644B"/>
    <w:rsid w:val="00FA6BC6"/>
    <w:rsid w:val="00FB0651"/>
    <w:rsid w:val="00FB087A"/>
    <w:rsid w:val="00FB0A00"/>
    <w:rsid w:val="00FB1935"/>
    <w:rsid w:val="00FB2859"/>
    <w:rsid w:val="00FB2CA5"/>
    <w:rsid w:val="00FB3562"/>
    <w:rsid w:val="00FB37DA"/>
    <w:rsid w:val="00FB4331"/>
    <w:rsid w:val="00FB4EA5"/>
    <w:rsid w:val="00FB503A"/>
    <w:rsid w:val="00FB50ED"/>
    <w:rsid w:val="00FB516C"/>
    <w:rsid w:val="00FB54E5"/>
    <w:rsid w:val="00FB6F85"/>
    <w:rsid w:val="00FB706D"/>
    <w:rsid w:val="00FB74BA"/>
    <w:rsid w:val="00FC0330"/>
    <w:rsid w:val="00FC06C4"/>
    <w:rsid w:val="00FC06C6"/>
    <w:rsid w:val="00FC0B2E"/>
    <w:rsid w:val="00FC0BEE"/>
    <w:rsid w:val="00FC0F69"/>
    <w:rsid w:val="00FC1118"/>
    <w:rsid w:val="00FC13BF"/>
    <w:rsid w:val="00FC2712"/>
    <w:rsid w:val="00FC2ECB"/>
    <w:rsid w:val="00FC49C6"/>
    <w:rsid w:val="00FC584D"/>
    <w:rsid w:val="00FC5AA7"/>
    <w:rsid w:val="00FC6F11"/>
    <w:rsid w:val="00FC7D5F"/>
    <w:rsid w:val="00FD0236"/>
    <w:rsid w:val="00FD069A"/>
    <w:rsid w:val="00FD12F7"/>
    <w:rsid w:val="00FD18F4"/>
    <w:rsid w:val="00FD206A"/>
    <w:rsid w:val="00FD22F8"/>
    <w:rsid w:val="00FD24C6"/>
    <w:rsid w:val="00FD374E"/>
    <w:rsid w:val="00FD537D"/>
    <w:rsid w:val="00FD54DB"/>
    <w:rsid w:val="00FD59AB"/>
    <w:rsid w:val="00FD59DE"/>
    <w:rsid w:val="00FD5D82"/>
    <w:rsid w:val="00FD619F"/>
    <w:rsid w:val="00FD6347"/>
    <w:rsid w:val="00FD67BE"/>
    <w:rsid w:val="00FD797C"/>
    <w:rsid w:val="00FE07B7"/>
    <w:rsid w:val="00FE18D5"/>
    <w:rsid w:val="00FE1EEC"/>
    <w:rsid w:val="00FE1F23"/>
    <w:rsid w:val="00FE280B"/>
    <w:rsid w:val="00FE2F42"/>
    <w:rsid w:val="00FE40A5"/>
    <w:rsid w:val="00FE4C15"/>
    <w:rsid w:val="00FE4E02"/>
    <w:rsid w:val="00FE4FBC"/>
    <w:rsid w:val="00FE53B4"/>
    <w:rsid w:val="00FE5DE0"/>
    <w:rsid w:val="00FE6D3C"/>
    <w:rsid w:val="00FE6F5F"/>
    <w:rsid w:val="00FE78DD"/>
    <w:rsid w:val="00FF1AC7"/>
    <w:rsid w:val="00FF1AF9"/>
    <w:rsid w:val="00FF1C3F"/>
    <w:rsid w:val="00FF2517"/>
    <w:rsid w:val="00FF390C"/>
    <w:rsid w:val="00FF472E"/>
    <w:rsid w:val="00FF5046"/>
    <w:rsid w:val="00FF5839"/>
    <w:rsid w:val="00FF5CCA"/>
    <w:rsid w:val="00FF689F"/>
    <w:rsid w:val="00FF71B3"/>
    <w:rsid w:val="010333FC"/>
    <w:rsid w:val="0112363F"/>
    <w:rsid w:val="01183860"/>
    <w:rsid w:val="01290F7E"/>
    <w:rsid w:val="013E2ACF"/>
    <w:rsid w:val="015D1E09"/>
    <w:rsid w:val="016D4023"/>
    <w:rsid w:val="0179546C"/>
    <w:rsid w:val="01B607D1"/>
    <w:rsid w:val="020E272F"/>
    <w:rsid w:val="021D673F"/>
    <w:rsid w:val="02555144"/>
    <w:rsid w:val="025C5D21"/>
    <w:rsid w:val="02697903"/>
    <w:rsid w:val="02826B39"/>
    <w:rsid w:val="028B36A9"/>
    <w:rsid w:val="028F385E"/>
    <w:rsid w:val="02A66735"/>
    <w:rsid w:val="02D01FD6"/>
    <w:rsid w:val="02D2752A"/>
    <w:rsid w:val="02D55F39"/>
    <w:rsid w:val="02E45C1C"/>
    <w:rsid w:val="02F1331F"/>
    <w:rsid w:val="02F96569"/>
    <w:rsid w:val="03205E5F"/>
    <w:rsid w:val="03384E9F"/>
    <w:rsid w:val="037800D1"/>
    <w:rsid w:val="0380736F"/>
    <w:rsid w:val="03E676E2"/>
    <w:rsid w:val="03EA7B21"/>
    <w:rsid w:val="042E37DB"/>
    <w:rsid w:val="04461020"/>
    <w:rsid w:val="044C50BA"/>
    <w:rsid w:val="04721AFB"/>
    <w:rsid w:val="04826D2E"/>
    <w:rsid w:val="04F512AE"/>
    <w:rsid w:val="04FF1CC7"/>
    <w:rsid w:val="0505752C"/>
    <w:rsid w:val="051E6A56"/>
    <w:rsid w:val="053E2C54"/>
    <w:rsid w:val="056A4671"/>
    <w:rsid w:val="05810D93"/>
    <w:rsid w:val="058326BE"/>
    <w:rsid w:val="05D27738"/>
    <w:rsid w:val="05F83EAE"/>
    <w:rsid w:val="06105ABA"/>
    <w:rsid w:val="06240F65"/>
    <w:rsid w:val="063521D6"/>
    <w:rsid w:val="063E3A33"/>
    <w:rsid w:val="063E7D85"/>
    <w:rsid w:val="065564A8"/>
    <w:rsid w:val="068528C8"/>
    <w:rsid w:val="069C1ED5"/>
    <w:rsid w:val="06C848BF"/>
    <w:rsid w:val="06DA5A65"/>
    <w:rsid w:val="071D13D8"/>
    <w:rsid w:val="07293586"/>
    <w:rsid w:val="07295285"/>
    <w:rsid w:val="075F6DF0"/>
    <w:rsid w:val="07636392"/>
    <w:rsid w:val="07643B34"/>
    <w:rsid w:val="07770C56"/>
    <w:rsid w:val="078A03D3"/>
    <w:rsid w:val="07D41ACA"/>
    <w:rsid w:val="07F008EC"/>
    <w:rsid w:val="07FE2B6F"/>
    <w:rsid w:val="08002443"/>
    <w:rsid w:val="08156C5F"/>
    <w:rsid w:val="081F54DF"/>
    <w:rsid w:val="0822235E"/>
    <w:rsid w:val="089413BE"/>
    <w:rsid w:val="089B03BE"/>
    <w:rsid w:val="08BB3B65"/>
    <w:rsid w:val="08D833C0"/>
    <w:rsid w:val="090D354E"/>
    <w:rsid w:val="092217DD"/>
    <w:rsid w:val="093A7294"/>
    <w:rsid w:val="0964280A"/>
    <w:rsid w:val="09772BD9"/>
    <w:rsid w:val="099B7A53"/>
    <w:rsid w:val="09A84B40"/>
    <w:rsid w:val="09AB63DF"/>
    <w:rsid w:val="09B8526E"/>
    <w:rsid w:val="09C76EC8"/>
    <w:rsid w:val="09D5345C"/>
    <w:rsid w:val="09E55D95"/>
    <w:rsid w:val="0A075AEF"/>
    <w:rsid w:val="0A263993"/>
    <w:rsid w:val="0A2C6541"/>
    <w:rsid w:val="0A2D3AC2"/>
    <w:rsid w:val="0A456833"/>
    <w:rsid w:val="0A4B7955"/>
    <w:rsid w:val="0A5D1DCF"/>
    <w:rsid w:val="0A651ABA"/>
    <w:rsid w:val="0A851326"/>
    <w:rsid w:val="0A8B57BD"/>
    <w:rsid w:val="0A8F596E"/>
    <w:rsid w:val="0AA755DF"/>
    <w:rsid w:val="0AA84C3E"/>
    <w:rsid w:val="0AB102B4"/>
    <w:rsid w:val="0AB53415"/>
    <w:rsid w:val="0ACE67E0"/>
    <w:rsid w:val="0AF27345"/>
    <w:rsid w:val="0B120D44"/>
    <w:rsid w:val="0B356C71"/>
    <w:rsid w:val="0B400C53"/>
    <w:rsid w:val="0B7A7C11"/>
    <w:rsid w:val="0B8139DF"/>
    <w:rsid w:val="0B841D51"/>
    <w:rsid w:val="0B867103"/>
    <w:rsid w:val="0BD27BF6"/>
    <w:rsid w:val="0C164AE4"/>
    <w:rsid w:val="0C282AB5"/>
    <w:rsid w:val="0C3B3C7D"/>
    <w:rsid w:val="0C7444A6"/>
    <w:rsid w:val="0C831895"/>
    <w:rsid w:val="0C923718"/>
    <w:rsid w:val="0C964D80"/>
    <w:rsid w:val="0CAB2EAE"/>
    <w:rsid w:val="0CB7201A"/>
    <w:rsid w:val="0CC14CD9"/>
    <w:rsid w:val="0D52281F"/>
    <w:rsid w:val="0D6114C8"/>
    <w:rsid w:val="0D621C7D"/>
    <w:rsid w:val="0D865199"/>
    <w:rsid w:val="0D892EDB"/>
    <w:rsid w:val="0D8A1304"/>
    <w:rsid w:val="0DB02D19"/>
    <w:rsid w:val="0DC63226"/>
    <w:rsid w:val="0DCB52A1"/>
    <w:rsid w:val="0DD63885"/>
    <w:rsid w:val="0DDD0DEF"/>
    <w:rsid w:val="0DEA5E0A"/>
    <w:rsid w:val="0E1003F9"/>
    <w:rsid w:val="0E174387"/>
    <w:rsid w:val="0E1E7CFC"/>
    <w:rsid w:val="0E3773AE"/>
    <w:rsid w:val="0E617FE2"/>
    <w:rsid w:val="0E73034D"/>
    <w:rsid w:val="0E875841"/>
    <w:rsid w:val="0E9B0715"/>
    <w:rsid w:val="0EB70D5C"/>
    <w:rsid w:val="0ECC307F"/>
    <w:rsid w:val="0ECE4466"/>
    <w:rsid w:val="0EFE7083"/>
    <w:rsid w:val="0F130CAE"/>
    <w:rsid w:val="0F13775A"/>
    <w:rsid w:val="0F1A12E8"/>
    <w:rsid w:val="0F1B1A59"/>
    <w:rsid w:val="0F5F45FE"/>
    <w:rsid w:val="0F6202A7"/>
    <w:rsid w:val="0F6A2898"/>
    <w:rsid w:val="0F972FDC"/>
    <w:rsid w:val="0F9A112B"/>
    <w:rsid w:val="0FB64800"/>
    <w:rsid w:val="0FD602CC"/>
    <w:rsid w:val="0FEB0870"/>
    <w:rsid w:val="0FFE128F"/>
    <w:rsid w:val="10003853"/>
    <w:rsid w:val="10045779"/>
    <w:rsid w:val="102230E8"/>
    <w:rsid w:val="106D2F64"/>
    <w:rsid w:val="10881228"/>
    <w:rsid w:val="10B63710"/>
    <w:rsid w:val="10F10820"/>
    <w:rsid w:val="111963BD"/>
    <w:rsid w:val="111C2F7A"/>
    <w:rsid w:val="112B2617"/>
    <w:rsid w:val="11530D17"/>
    <w:rsid w:val="11665CA1"/>
    <w:rsid w:val="116E6670"/>
    <w:rsid w:val="118222A2"/>
    <w:rsid w:val="119C7B2D"/>
    <w:rsid w:val="11AF2E67"/>
    <w:rsid w:val="11C06452"/>
    <w:rsid w:val="11F15FE9"/>
    <w:rsid w:val="120571D2"/>
    <w:rsid w:val="12280F14"/>
    <w:rsid w:val="124C7A66"/>
    <w:rsid w:val="12A12A75"/>
    <w:rsid w:val="12FB4D13"/>
    <w:rsid w:val="133564E9"/>
    <w:rsid w:val="13653AA2"/>
    <w:rsid w:val="13845687"/>
    <w:rsid w:val="13951726"/>
    <w:rsid w:val="13DA2A34"/>
    <w:rsid w:val="13DA7649"/>
    <w:rsid w:val="142C5A38"/>
    <w:rsid w:val="14302302"/>
    <w:rsid w:val="14396509"/>
    <w:rsid w:val="14400CD8"/>
    <w:rsid w:val="14423DE3"/>
    <w:rsid w:val="14531B4D"/>
    <w:rsid w:val="14691370"/>
    <w:rsid w:val="14A64372"/>
    <w:rsid w:val="14B96CB5"/>
    <w:rsid w:val="14C85BEF"/>
    <w:rsid w:val="14DD2C3C"/>
    <w:rsid w:val="152A4FA3"/>
    <w:rsid w:val="15451657"/>
    <w:rsid w:val="155362A8"/>
    <w:rsid w:val="15C70A44"/>
    <w:rsid w:val="15F82C75"/>
    <w:rsid w:val="16087E1D"/>
    <w:rsid w:val="16133C89"/>
    <w:rsid w:val="162B4B2F"/>
    <w:rsid w:val="163634D4"/>
    <w:rsid w:val="167C538B"/>
    <w:rsid w:val="168A08AE"/>
    <w:rsid w:val="16946222"/>
    <w:rsid w:val="16A37DAE"/>
    <w:rsid w:val="16A448E1"/>
    <w:rsid w:val="16D57191"/>
    <w:rsid w:val="16E5338E"/>
    <w:rsid w:val="171F46CA"/>
    <w:rsid w:val="17237F39"/>
    <w:rsid w:val="17265D83"/>
    <w:rsid w:val="174E29A3"/>
    <w:rsid w:val="175B1444"/>
    <w:rsid w:val="176F027D"/>
    <w:rsid w:val="17701D14"/>
    <w:rsid w:val="17735226"/>
    <w:rsid w:val="177B1033"/>
    <w:rsid w:val="17CC0594"/>
    <w:rsid w:val="17DC089A"/>
    <w:rsid w:val="17F9187B"/>
    <w:rsid w:val="17FD074D"/>
    <w:rsid w:val="18025D64"/>
    <w:rsid w:val="18071190"/>
    <w:rsid w:val="182A6686"/>
    <w:rsid w:val="182D4DA5"/>
    <w:rsid w:val="18576C24"/>
    <w:rsid w:val="18612795"/>
    <w:rsid w:val="186A2A6C"/>
    <w:rsid w:val="188E75F7"/>
    <w:rsid w:val="189F624C"/>
    <w:rsid w:val="18B03D6E"/>
    <w:rsid w:val="18C67539"/>
    <w:rsid w:val="18C71CBA"/>
    <w:rsid w:val="18E1435C"/>
    <w:rsid w:val="18E929FD"/>
    <w:rsid w:val="194371CC"/>
    <w:rsid w:val="19595BC1"/>
    <w:rsid w:val="19A978C6"/>
    <w:rsid w:val="19B770EA"/>
    <w:rsid w:val="19BC45AF"/>
    <w:rsid w:val="1A1C66C0"/>
    <w:rsid w:val="1A241393"/>
    <w:rsid w:val="1A3F6DFB"/>
    <w:rsid w:val="1A42393B"/>
    <w:rsid w:val="1A530AF8"/>
    <w:rsid w:val="1A5B19FA"/>
    <w:rsid w:val="1AAD45DE"/>
    <w:rsid w:val="1ABC7F92"/>
    <w:rsid w:val="1AF8344E"/>
    <w:rsid w:val="1B046F80"/>
    <w:rsid w:val="1B293607"/>
    <w:rsid w:val="1B3267B5"/>
    <w:rsid w:val="1B3C3174"/>
    <w:rsid w:val="1B40161D"/>
    <w:rsid w:val="1B441859"/>
    <w:rsid w:val="1B4D19EC"/>
    <w:rsid w:val="1B6606B1"/>
    <w:rsid w:val="1B8B6070"/>
    <w:rsid w:val="1BA93D4A"/>
    <w:rsid w:val="1BBE4D03"/>
    <w:rsid w:val="1BDF06B7"/>
    <w:rsid w:val="1C1B6EEE"/>
    <w:rsid w:val="1C5E7925"/>
    <w:rsid w:val="1CCA15B4"/>
    <w:rsid w:val="1CE34E72"/>
    <w:rsid w:val="1CE67A02"/>
    <w:rsid w:val="1CFD070F"/>
    <w:rsid w:val="1D1125A5"/>
    <w:rsid w:val="1D491F5C"/>
    <w:rsid w:val="1D5F6196"/>
    <w:rsid w:val="1D6132A5"/>
    <w:rsid w:val="1D8E56D5"/>
    <w:rsid w:val="1D9F4DA2"/>
    <w:rsid w:val="1DA75AD7"/>
    <w:rsid w:val="1DE33F41"/>
    <w:rsid w:val="1DF20628"/>
    <w:rsid w:val="1E093332"/>
    <w:rsid w:val="1E0F2FC8"/>
    <w:rsid w:val="1E2B5859"/>
    <w:rsid w:val="1E320A25"/>
    <w:rsid w:val="1E38091B"/>
    <w:rsid w:val="1E7A43DA"/>
    <w:rsid w:val="1E8E51CA"/>
    <w:rsid w:val="1E9D4066"/>
    <w:rsid w:val="1EA71413"/>
    <w:rsid w:val="1EE859BD"/>
    <w:rsid w:val="1F0F7BA4"/>
    <w:rsid w:val="1F112F09"/>
    <w:rsid w:val="1F173D55"/>
    <w:rsid w:val="1F301408"/>
    <w:rsid w:val="1F413615"/>
    <w:rsid w:val="1F510074"/>
    <w:rsid w:val="1F67481D"/>
    <w:rsid w:val="1FD44489"/>
    <w:rsid w:val="1FE7539E"/>
    <w:rsid w:val="201605FE"/>
    <w:rsid w:val="20671BE0"/>
    <w:rsid w:val="20696A4F"/>
    <w:rsid w:val="20963CB8"/>
    <w:rsid w:val="20A81A1B"/>
    <w:rsid w:val="20B07FB6"/>
    <w:rsid w:val="20B147CB"/>
    <w:rsid w:val="20B646FB"/>
    <w:rsid w:val="20C75D9C"/>
    <w:rsid w:val="20DB23CB"/>
    <w:rsid w:val="20DC4341"/>
    <w:rsid w:val="21315A65"/>
    <w:rsid w:val="213B74B1"/>
    <w:rsid w:val="215869F4"/>
    <w:rsid w:val="215A2310"/>
    <w:rsid w:val="21717AB6"/>
    <w:rsid w:val="217750CC"/>
    <w:rsid w:val="219928C4"/>
    <w:rsid w:val="21A2105B"/>
    <w:rsid w:val="21A640FD"/>
    <w:rsid w:val="21C50575"/>
    <w:rsid w:val="21DE318A"/>
    <w:rsid w:val="21EF5B80"/>
    <w:rsid w:val="22007243"/>
    <w:rsid w:val="220426D8"/>
    <w:rsid w:val="22425151"/>
    <w:rsid w:val="224824C5"/>
    <w:rsid w:val="22576990"/>
    <w:rsid w:val="225E628C"/>
    <w:rsid w:val="227131DB"/>
    <w:rsid w:val="229B128E"/>
    <w:rsid w:val="22F47480"/>
    <w:rsid w:val="22F56BF1"/>
    <w:rsid w:val="22F63C21"/>
    <w:rsid w:val="22F95FB5"/>
    <w:rsid w:val="23206A81"/>
    <w:rsid w:val="233A7FAB"/>
    <w:rsid w:val="234C5D73"/>
    <w:rsid w:val="236817F3"/>
    <w:rsid w:val="23751179"/>
    <w:rsid w:val="2382116C"/>
    <w:rsid w:val="238E7074"/>
    <w:rsid w:val="23957A8C"/>
    <w:rsid w:val="23A07D16"/>
    <w:rsid w:val="23A4052A"/>
    <w:rsid w:val="23A45F21"/>
    <w:rsid w:val="23CB7976"/>
    <w:rsid w:val="23D34A58"/>
    <w:rsid w:val="23DE1C48"/>
    <w:rsid w:val="240210CD"/>
    <w:rsid w:val="2412372E"/>
    <w:rsid w:val="24276A3E"/>
    <w:rsid w:val="242F70F8"/>
    <w:rsid w:val="24455956"/>
    <w:rsid w:val="24977044"/>
    <w:rsid w:val="24BF09F7"/>
    <w:rsid w:val="24DB5972"/>
    <w:rsid w:val="24E05525"/>
    <w:rsid w:val="24FD4953"/>
    <w:rsid w:val="25101C58"/>
    <w:rsid w:val="2515126C"/>
    <w:rsid w:val="25165F07"/>
    <w:rsid w:val="252D53FE"/>
    <w:rsid w:val="256D4B36"/>
    <w:rsid w:val="257B6368"/>
    <w:rsid w:val="25AE1679"/>
    <w:rsid w:val="25C66309"/>
    <w:rsid w:val="25C72C15"/>
    <w:rsid w:val="25E51779"/>
    <w:rsid w:val="25EC2D81"/>
    <w:rsid w:val="268838D8"/>
    <w:rsid w:val="268C2392"/>
    <w:rsid w:val="2697225D"/>
    <w:rsid w:val="26DD78FA"/>
    <w:rsid w:val="26E76B46"/>
    <w:rsid w:val="26ED1EA3"/>
    <w:rsid w:val="27533EE6"/>
    <w:rsid w:val="277057A2"/>
    <w:rsid w:val="27877E2C"/>
    <w:rsid w:val="27CE76BA"/>
    <w:rsid w:val="27D600F8"/>
    <w:rsid w:val="27F96BE6"/>
    <w:rsid w:val="28147F23"/>
    <w:rsid w:val="283B461B"/>
    <w:rsid w:val="28567276"/>
    <w:rsid w:val="28607343"/>
    <w:rsid w:val="28851C9C"/>
    <w:rsid w:val="289B3992"/>
    <w:rsid w:val="28B9246E"/>
    <w:rsid w:val="29096F10"/>
    <w:rsid w:val="29206EB8"/>
    <w:rsid w:val="29257B91"/>
    <w:rsid w:val="2947706F"/>
    <w:rsid w:val="29595666"/>
    <w:rsid w:val="297E0FC2"/>
    <w:rsid w:val="29874881"/>
    <w:rsid w:val="298B5A4B"/>
    <w:rsid w:val="298F6B20"/>
    <w:rsid w:val="29DF6F58"/>
    <w:rsid w:val="29E325E0"/>
    <w:rsid w:val="2A1F09F7"/>
    <w:rsid w:val="2A211947"/>
    <w:rsid w:val="2A452503"/>
    <w:rsid w:val="2A486EB7"/>
    <w:rsid w:val="2A794B88"/>
    <w:rsid w:val="2A9434C1"/>
    <w:rsid w:val="2A9C5BA4"/>
    <w:rsid w:val="2B747C1D"/>
    <w:rsid w:val="2B8F395A"/>
    <w:rsid w:val="2B91452A"/>
    <w:rsid w:val="2B974B22"/>
    <w:rsid w:val="2BA936A8"/>
    <w:rsid w:val="2C300C99"/>
    <w:rsid w:val="2C315A5A"/>
    <w:rsid w:val="2C4A407F"/>
    <w:rsid w:val="2C4B1C25"/>
    <w:rsid w:val="2C7072E8"/>
    <w:rsid w:val="2C835B49"/>
    <w:rsid w:val="2D391DD0"/>
    <w:rsid w:val="2D394B62"/>
    <w:rsid w:val="2D834DF9"/>
    <w:rsid w:val="2D963F44"/>
    <w:rsid w:val="2D9E56F5"/>
    <w:rsid w:val="2DB97AF9"/>
    <w:rsid w:val="2DF31F7F"/>
    <w:rsid w:val="2E311CC0"/>
    <w:rsid w:val="2E3D2EAD"/>
    <w:rsid w:val="2E47051C"/>
    <w:rsid w:val="2E667F96"/>
    <w:rsid w:val="2E7D7A9A"/>
    <w:rsid w:val="2E7F041C"/>
    <w:rsid w:val="2E821554"/>
    <w:rsid w:val="2E8226AB"/>
    <w:rsid w:val="2ED64A42"/>
    <w:rsid w:val="2ED911B1"/>
    <w:rsid w:val="2ED92B7B"/>
    <w:rsid w:val="2EF829D4"/>
    <w:rsid w:val="2F0E4C7B"/>
    <w:rsid w:val="2F3F2FA2"/>
    <w:rsid w:val="2F6D39B1"/>
    <w:rsid w:val="2FD065E6"/>
    <w:rsid w:val="2FD96870"/>
    <w:rsid w:val="3036343A"/>
    <w:rsid w:val="303D0759"/>
    <w:rsid w:val="30580BC9"/>
    <w:rsid w:val="30B410FB"/>
    <w:rsid w:val="30BB2AFC"/>
    <w:rsid w:val="30D33BFB"/>
    <w:rsid w:val="30E95C0A"/>
    <w:rsid w:val="31064DD9"/>
    <w:rsid w:val="311E2ED7"/>
    <w:rsid w:val="3126089C"/>
    <w:rsid w:val="312B554B"/>
    <w:rsid w:val="315619EE"/>
    <w:rsid w:val="315C449C"/>
    <w:rsid w:val="31685CA1"/>
    <w:rsid w:val="31B82709"/>
    <w:rsid w:val="31D05482"/>
    <w:rsid w:val="321150C9"/>
    <w:rsid w:val="32215FFD"/>
    <w:rsid w:val="32241DB4"/>
    <w:rsid w:val="323A4815"/>
    <w:rsid w:val="32400B34"/>
    <w:rsid w:val="325B13D0"/>
    <w:rsid w:val="328C68A3"/>
    <w:rsid w:val="329E6876"/>
    <w:rsid w:val="32A5512D"/>
    <w:rsid w:val="32BF4B25"/>
    <w:rsid w:val="32D07EF0"/>
    <w:rsid w:val="32DD31FD"/>
    <w:rsid w:val="32E912FB"/>
    <w:rsid w:val="33010A1B"/>
    <w:rsid w:val="330A77D0"/>
    <w:rsid w:val="33234279"/>
    <w:rsid w:val="333015F2"/>
    <w:rsid w:val="334B6320"/>
    <w:rsid w:val="334D06AD"/>
    <w:rsid w:val="334F40FB"/>
    <w:rsid w:val="33CD4FD4"/>
    <w:rsid w:val="33D934D4"/>
    <w:rsid w:val="33FE2F6A"/>
    <w:rsid w:val="340017DC"/>
    <w:rsid w:val="340547BA"/>
    <w:rsid w:val="340E07E5"/>
    <w:rsid w:val="34117602"/>
    <w:rsid w:val="341F5CDD"/>
    <w:rsid w:val="34235BF7"/>
    <w:rsid w:val="34740018"/>
    <w:rsid w:val="34A12946"/>
    <w:rsid w:val="34DD1293"/>
    <w:rsid w:val="34DF500B"/>
    <w:rsid w:val="355A1FE3"/>
    <w:rsid w:val="356837BA"/>
    <w:rsid w:val="35723D2E"/>
    <w:rsid w:val="358C5FA8"/>
    <w:rsid w:val="358E0C7B"/>
    <w:rsid w:val="35C15DF1"/>
    <w:rsid w:val="35E27E73"/>
    <w:rsid w:val="36074A7F"/>
    <w:rsid w:val="36087DFE"/>
    <w:rsid w:val="364944CB"/>
    <w:rsid w:val="36502E06"/>
    <w:rsid w:val="367148C1"/>
    <w:rsid w:val="367C39C8"/>
    <w:rsid w:val="36923549"/>
    <w:rsid w:val="369260AD"/>
    <w:rsid w:val="36AF48D2"/>
    <w:rsid w:val="36B17579"/>
    <w:rsid w:val="36B75FBF"/>
    <w:rsid w:val="36BD0C45"/>
    <w:rsid w:val="36EA58C0"/>
    <w:rsid w:val="37136525"/>
    <w:rsid w:val="3717735A"/>
    <w:rsid w:val="371B7F91"/>
    <w:rsid w:val="372F715C"/>
    <w:rsid w:val="37A70CCC"/>
    <w:rsid w:val="37AC697A"/>
    <w:rsid w:val="37B02C8E"/>
    <w:rsid w:val="37E00298"/>
    <w:rsid w:val="37EA03CB"/>
    <w:rsid w:val="38455ACD"/>
    <w:rsid w:val="386575FD"/>
    <w:rsid w:val="389473F2"/>
    <w:rsid w:val="38AB7751"/>
    <w:rsid w:val="38B302F9"/>
    <w:rsid w:val="38B54705"/>
    <w:rsid w:val="38DA05BB"/>
    <w:rsid w:val="38F12CD3"/>
    <w:rsid w:val="38F94775"/>
    <w:rsid w:val="392604CC"/>
    <w:rsid w:val="392971ED"/>
    <w:rsid w:val="39325651"/>
    <w:rsid w:val="394C2E8B"/>
    <w:rsid w:val="39DF4C64"/>
    <w:rsid w:val="39E51E02"/>
    <w:rsid w:val="39FA28E7"/>
    <w:rsid w:val="3A013C75"/>
    <w:rsid w:val="3A187590"/>
    <w:rsid w:val="3A461C7D"/>
    <w:rsid w:val="3A824DB6"/>
    <w:rsid w:val="3A872856"/>
    <w:rsid w:val="3AA06FEA"/>
    <w:rsid w:val="3AAD5BAB"/>
    <w:rsid w:val="3ADD023E"/>
    <w:rsid w:val="3AF278A4"/>
    <w:rsid w:val="3AFE01B5"/>
    <w:rsid w:val="3B3763D1"/>
    <w:rsid w:val="3B44422B"/>
    <w:rsid w:val="3B786976"/>
    <w:rsid w:val="3B9647EA"/>
    <w:rsid w:val="3B9B341F"/>
    <w:rsid w:val="3BE7729D"/>
    <w:rsid w:val="3C2F6E1E"/>
    <w:rsid w:val="3C3D6D89"/>
    <w:rsid w:val="3C4C2B78"/>
    <w:rsid w:val="3C4F64BA"/>
    <w:rsid w:val="3C6072BF"/>
    <w:rsid w:val="3C6A6B6E"/>
    <w:rsid w:val="3CC06379"/>
    <w:rsid w:val="3CC80A7A"/>
    <w:rsid w:val="3CDA245A"/>
    <w:rsid w:val="3CE17A2B"/>
    <w:rsid w:val="3D1B504E"/>
    <w:rsid w:val="3D1E06B7"/>
    <w:rsid w:val="3D30629B"/>
    <w:rsid w:val="3D3F6F8E"/>
    <w:rsid w:val="3D7C3859"/>
    <w:rsid w:val="3D7D20D5"/>
    <w:rsid w:val="3DBD0877"/>
    <w:rsid w:val="3DC56D68"/>
    <w:rsid w:val="3DD647EB"/>
    <w:rsid w:val="3DE37F14"/>
    <w:rsid w:val="3E076F5D"/>
    <w:rsid w:val="3E1E0A00"/>
    <w:rsid w:val="3E265A58"/>
    <w:rsid w:val="3E2E3B94"/>
    <w:rsid w:val="3E7C6408"/>
    <w:rsid w:val="3E8804C1"/>
    <w:rsid w:val="3E8973E9"/>
    <w:rsid w:val="3EC15781"/>
    <w:rsid w:val="3EC971FD"/>
    <w:rsid w:val="3EDA0523"/>
    <w:rsid w:val="3EF23B8C"/>
    <w:rsid w:val="3F283A52"/>
    <w:rsid w:val="3F407C06"/>
    <w:rsid w:val="3F5A41DF"/>
    <w:rsid w:val="3F88395D"/>
    <w:rsid w:val="3FA72BC9"/>
    <w:rsid w:val="3FEC36C9"/>
    <w:rsid w:val="40363199"/>
    <w:rsid w:val="404C1F33"/>
    <w:rsid w:val="40541DBC"/>
    <w:rsid w:val="407A6407"/>
    <w:rsid w:val="40B56CC7"/>
    <w:rsid w:val="40DF0D69"/>
    <w:rsid w:val="412355AA"/>
    <w:rsid w:val="414F0FC9"/>
    <w:rsid w:val="417D0253"/>
    <w:rsid w:val="41834B41"/>
    <w:rsid w:val="41D165E6"/>
    <w:rsid w:val="41DA36EC"/>
    <w:rsid w:val="41E86B3C"/>
    <w:rsid w:val="41F61C8A"/>
    <w:rsid w:val="41FA66BA"/>
    <w:rsid w:val="4200449D"/>
    <w:rsid w:val="42163ED3"/>
    <w:rsid w:val="423A3BCC"/>
    <w:rsid w:val="42462A1F"/>
    <w:rsid w:val="424E57D2"/>
    <w:rsid w:val="42513F6A"/>
    <w:rsid w:val="42867FCA"/>
    <w:rsid w:val="42957651"/>
    <w:rsid w:val="42B26C49"/>
    <w:rsid w:val="42E66114"/>
    <w:rsid w:val="433A6FE6"/>
    <w:rsid w:val="43401E7D"/>
    <w:rsid w:val="43480868"/>
    <w:rsid w:val="4350713C"/>
    <w:rsid w:val="436653E0"/>
    <w:rsid w:val="43B6162D"/>
    <w:rsid w:val="43C4431A"/>
    <w:rsid w:val="43EA2C38"/>
    <w:rsid w:val="44022AC4"/>
    <w:rsid w:val="44027DCD"/>
    <w:rsid w:val="44254A04"/>
    <w:rsid w:val="44256384"/>
    <w:rsid w:val="442C5D93"/>
    <w:rsid w:val="448A58C4"/>
    <w:rsid w:val="44B951CC"/>
    <w:rsid w:val="44BF0368"/>
    <w:rsid w:val="44CD14E0"/>
    <w:rsid w:val="44E97C6C"/>
    <w:rsid w:val="44F20B0B"/>
    <w:rsid w:val="44FE7684"/>
    <w:rsid w:val="452E5F4C"/>
    <w:rsid w:val="453E3FCF"/>
    <w:rsid w:val="45612018"/>
    <w:rsid w:val="45763769"/>
    <w:rsid w:val="458946E9"/>
    <w:rsid w:val="45A47C0E"/>
    <w:rsid w:val="45F615BE"/>
    <w:rsid w:val="46000326"/>
    <w:rsid w:val="460D5750"/>
    <w:rsid w:val="46577FD6"/>
    <w:rsid w:val="46B502C1"/>
    <w:rsid w:val="46D955A7"/>
    <w:rsid w:val="46DC3AA0"/>
    <w:rsid w:val="46F34946"/>
    <w:rsid w:val="46F66F1E"/>
    <w:rsid w:val="470D3944"/>
    <w:rsid w:val="47133957"/>
    <w:rsid w:val="47176886"/>
    <w:rsid w:val="47221898"/>
    <w:rsid w:val="472F4F7E"/>
    <w:rsid w:val="473A4F16"/>
    <w:rsid w:val="473C33E6"/>
    <w:rsid w:val="47503AA9"/>
    <w:rsid w:val="47747454"/>
    <w:rsid w:val="47A07E0C"/>
    <w:rsid w:val="47A44265"/>
    <w:rsid w:val="47C76A70"/>
    <w:rsid w:val="47CA744D"/>
    <w:rsid w:val="47F6293F"/>
    <w:rsid w:val="48164C72"/>
    <w:rsid w:val="482030C0"/>
    <w:rsid w:val="48215BAD"/>
    <w:rsid w:val="482A3B58"/>
    <w:rsid w:val="4870272E"/>
    <w:rsid w:val="48852131"/>
    <w:rsid w:val="48952158"/>
    <w:rsid w:val="48AF22C8"/>
    <w:rsid w:val="48B3438D"/>
    <w:rsid w:val="48B37296"/>
    <w:rsid w:val="48B81751"/>
    <w:rsid w:val="48BC5937"/>
    <w:rsid w:val="49325BF9"/>
    <w:rsid w:val="4959127E"/>
    <w:rsid w:val="496460CB"/>
    <w:rsid w:val="4964767D"/>
    <w:rsid w:val="498B7EF7"/>
    <w:rsid w:val="49AF62F0"/>
    <w:rsid w:val="49D24AB9"/>
    <w:rsid w:val="49DC7715"/>
    <w:rsid w:val="49EB1F18"/>
    <w:rsid w:val="4A023139"/>
    <w:rsid w:val="4A057010"/>
    <w:rsid w:val="4A0C53EB"/>
    <w:rsid w:val="4A2D43AB"/>
    <w:rsid w:val="4A4573C0"/>
    <w:rsid w:val="4A631DE2"/>
    <w:rsid w:val="4A6F2535"/>
    <w:rsid w:val="4A7B576F"/>
    <w:rsid w:val="4A94561E"/>
    <w:rsid w:val="4AA61309"/>
    <w:rsid w:val="4AF561A9"/>
    <w:rsid w:val="4AFD5D93"/>
    <w:rsid w:val="4B0D464A"/>
    <w:rsid w:val="4B2858BC"/>
    <w:rsid w:val="4B4A6DC5"/>
    <w:rsid w:val="4B77224F"/>
    <w:rsid w:val="4B807A40"/>
    <w:rsid w:val="4B827E66"/>
    <w:rsid w:val="4B846136"/>
    <w:rsid w:val="4BF468E6"/>
    <w:rsid w:val="4C143200"/>
    <w:rsid w:val="4C4A0649"/>
    <w:rsid w:val="4C607A0C"/>
    <w:rsid w:val="4C7E5ECA"/>
    <w:rsid w:val="4C876AA5"/>
    <w:rsid w:val="4C9B3B0D"/>
    <w:rsid w:val="4CC545EF"/>
    <w:rsid w:val="4CF03E01"/>
    <w:rsid w:val="4D0C009E"/>
    <w:rsid w:val="4D0E00FB"/>
    <w:rsid w:val="4D176606"/>
    <w:rsid w:val="4D7A191D"/>
    <w:rsid w:val="4D7C38E7"/>
    <w:rsid w:val="4D9F646F"/>
    <w:rsid w:val="4DE80BBC"/>
    <w:rsid w:val="4DEC4FB0"/>
    <w:rsid w:val="4E002C4A"/>
    <w:rsid w:val="4E075D8A"/>
    <w:rsid w:val="4E3E294A"/>
    <w:rsid w:val="4E41068C"/>
    <w:rsid w:val="4E4A08F5"/>
    <w:rsid w:val="4E6F6FA8"/>
    <w:rsid w:val="4E8D125F"/>
    <w:rsid w:val="4E916F1E"/>
    <w:rsid w:val="4EB26E94"/>
    <w:rsid w:val="4EC00FAD"/>
    <w:rsid w:val="4EC5306C"/>
    <w:rsid w:val="4ED65279"/>
    <w:rsid w:val="4EDA5463"/>
    <w:rsid w:val="4EE07EA5"/>
    <w:rsid w:val="4EEE25C2"/>
    <w:rsid w:val="4F052A08"/>
    <w:rsid w:val="4F53761E"/>
    <w:rsid w:val="4F5927B3"/>
    <w:rsid w:val="4F6D68D9"/>
    <w:rsid w:val="4F782D3E"/>
    <w:rsid w:val="4F9843DC"/>
    <w:rsid w:val="4FAC1EC3"/>
    <w:rsid w:val="4FC62A8C"/>
    <w:rsid w:val="4FDF1F0B"/>
    <w:rsid w:val="4FE20F0D"/>
    <w:rsid w:val="4FE51552"/>
    <w:rsid w:val="4FFF25AD"/>
    <w:rsid w:val="50475A2E"/>
    <w:rsid w:val="50504C4B"/>
    <w:rsid w:val="506C4A66"/>
    <w:rsid w:val="507C3BFE"/>
    <w:rsid w:val="509C6E7C"/>
    <w:rsid w:val="50A836D6"/>
    <w:rsid w:val="50B138A7"/>
    <w:rsid w:val="50B82E88"/>
    <w:rsid w:val="511278FC"/>
    <w:rsid w:val="51155AAE"/>
    <w:rsid w:val="511E60E3"/>
    <w:rsid w:val="51271C3C"/>
    <w:rsid w:val="514F4075"/>
    <w:rsid w:val="5162104E"/>
    <w:rsid w:val="51CA67AD"/>
    <w:rsid w:val="51FC4FF6"/>
    <w:rsid w:val="525C6E76"/>
    <w:rsid w:val="526606C2"/>
    <w:rsid w:val="526F3A1A"/>
    <w:rsid w:val="52754DA9"/>
    <w:rsid w:val="52886450"/>
    <w:rsid w:val="5299484C"/>
    <w:rsid w:val="52D7534E"/>
    <w:rsid w:val="530879E0"/>
    <w:rsid w:val="53147020"/>
    <w:rsid w:val="5370619F"/>
    <w:rsid w:val="53956848"/>
    <w:rsid w:val="53A039CC"/>
    <w:rsid w:val="53A1505A"/>
    <w:rsid w:val="53A23789"/>
    <w:rsid w:val="53A96AB8"/>
    <w:rsid w:val="53B012A6"/>
    <w:rsid w:val="53B474E4"/>
    <w:rsid w:val="53EB59BA"/>
    <w:rsid w:val="540463E4"/>
    <w:rsid w:val="54063E08"/>
    <w:rsid w:val="54070BB3"/>
    <w:rsid w:val="54320E3D"/>
    <w:rsid w:val="543437E8"/>
    <w:rsid w:val="54CD636F"/>
    <w:rsid w:val="54DE3377"/>
    <w:rsid w:val="54E63D3C"/>
    <w:rsid w:val="54F73313"/>
    <w:rsid w:val="54F80955"/>
    <w:rsid w:val="551629E8"/>
    <w:rsid w:val="55200136"/>
    <w:rsid w:val="55513B90"/>
    <w:rsid w:val="555170A7"/>
    <w:rsid w:val="55542EC9"/>
    <w:rsid w:val="556D1AB0"/>
    <w:rsid w:val="5587536D"/>
    <w:rsid w:val="559B174B"/>
    <w:rsid w:val="55CE0CF4"/>
    <w:rsid w:val="55D74085"/>
    <w:rsid w:val="55E42755"/>
    <w:rsid w:val="56044479"/>
    <w:rsid w:val="560F349B"/>
    <w:rsid w:val="569A28A6"/>
    <w:rsid w:val="56AE2637"/>
    <w:rsid w:val="56B22A9C"/>
    <w:rsid w:val="56D008D8"/>
    <w:rsid w:val="56F82360"/>
    <w:rsid w:val="57572CCF"/>
    <w:rsid w:val="575E5E0B"/>
    <w:rsid w:val="579A754C"/>
    <w:rsid w:val="57B72A76"/>
    <w:rsid w:val="57C3426C"/>
    <w:rsid w:val="57CE1F93"/>
    <w:rsid w:val="581B3174"/>
    <w:rsid w:val="585462E0"/>
    <w:rsid w:val="588743D1"/>
    <w:rsid w:val="5887701A"/>
    <w:rsid w:val="58B1598E"/>
    <w:rsid w:val="58E653BD"/>
    <w:rsid w:val="591E612A"/>
    <w:rsid w:val="593412BC"/>
    <w:rsid w:val="594828CF"/>
    <w:rsid w:val="59484FC5"/>
    <w:rsid w:val="59572F83"/>
    <w:rsid w:val="59611861"/>
    <w:rsid w:val="59813A11"/>
    <w:rsid w:val="59C0439F"/>
    <w:rsid w:val="59D4414D"/>
    <w:rsid w:val="59D87BA9"/>
    <w:rsid w:val="59F24396"/>
    <w:rsid w:val="5AAC50E0"/>
    <w:rsid w:val="5AAF41B7"/>
    <w:rsid w:val="5ABE2233"/>
    <w:rsid w:val="5AD905DB"/>
    <w:rsid w:val="5B1B5C1C"/>
    <w:rsid w:val="5B1C04B7"/>
    <w:rsid w:val="5B206E52"/>
    <w:rsid w:val="5B3255E5"/>
    <w:rsid w:val="5B392E17"/>
    <w:rsid w:val="5B516BD5"/>
    <w:rsid w:val="5B545ADE"/>
    <w:rsid w:val="5B692378"/>
    <w:rsid w:val="5B8C137A"/>
    <w:rsid w:val="5B8F77D4"/>
    <w:rsid w:val="5BA43DF3"/>
    <w:rsid w:val="5BC85D5C"/>
    <w:rsid w:val="5BDF5D95"/>
    <w:rsid w:val="5BFE7528"/>
    <w:rsid w:val="5C477552"/>
    <w:rsid w:val="5C787017"/>
    <w:rsid w:val="5C867E0E"/>
    <w:rsid w:val="5CCE758F"/>
    <w:rsid w:val="5CF51909"/>
    <w:rsid w:val="5D0564A4"/>
    <w:rsid w:val="5D172CE4"/>
    <w:rsid w:val="5D254ABE"/>
    <w:rsid w:val="5D810AA5"/>
    <w:rsid w:val="5D861A18"/>
    <w:rsid w:val="5DBB5D65"/>
    <w:rsid w:val="5DD8554C"/>
    <w:rsid w:val="5DE828D3"/>
    <w:rsid w:val="5DF81914"/>
    <w:rsid w:val="5E2467F1"/>
    <w:rsid w:val="5E2F1F48"/>
    <w:rsid w:val="5E437B09"/>
    <w:rsid w:val="5E4E6BDA"/>
    <w:rsid w:val="5E556CB7"/>
    <w:rsid w:val="5E593800"/>
    <w:rsid w:val="5E611DCF"/>
    <w:rsid w:val="5E6540A0"/>
    <w:rsid w:val="5E705DCB"/>
    <w:rsid w:val="5E723E03"/>
    <w:rsid w:val="5E96232F"/>
    <w:rsid w:val="5F1A2B43"/>
    <w:rsid w:val="5F5323BF"/>
    <w:rsid w:val="5F5D2E4C"/>
    <w:rsid w:val="5FB837BB"/>
    <w:rsid w:val="5FC1264B"/>
    <w:rsid w:val="5FEF619A"/>
    <w:rsid w:val="602B6F27"/>
    <w:rsid w:val="603F32EC"/>
    <w:rsid w:val="604162CA"/>
    <w:rsid w:val="60AE54FE"/>
    <w:rsid w:val="60CA0D04"/>
    <w:rsid w:val="60CC405A"/>
    <w:rsid w:val="60D473C7"/>
    <w:rsid w:val="616D515B"/>
    <w:rsid w:val="61BE15B2"/>
    <w:rsid w:val="61C844B6"/>
    <w:rsid w:val="61D42856"/>
    <w:rsid w:val="61E11837"/>
    <w:rsid w:val="61E215D8"/>
    <w:rsid w:val="61EF4230"/>
    <w:rsid w:val="621B3775"/>
    <w:rsid w:val="6236041D"/>
    <w:rsid w:val="62364782"/>
    <w:rsid w:val="626369CC"/>
    <w:rsid w:val="63071A4D"/>
    <w:rsid w:val="630F11F1"/>
    <w:rsid w:val="632223E3"/>
    <w:rsid w:val="634E31D8"/>
    <w:rsid w:val="635D78BF"/>
    <w:rsid w:val="636320E4"/>
    <w:rsid w:val="637846F9"/>
    <w:rsid w:val="6394356A"/>
    <w:rsid w:val="63C61B2C"/>
    <w:rsid w:val="63D40BE9"/>
    <w:rsid w:val="63D57455"/>
    <w:rsid w:val="64102431"/>
    <w:rsid w:val="64124205"/>
    <w:rsid w:val="642A0795"/>
    <w:rsid w:val="643318CB"/>
    <w:rsid w:val="64454F05"/>
    <w:rsid w:val="64610CE9"/>
    <w:rsid w:val="64980F8E"/>
    <w:rsid w:val="64A5243A"/>
    <w:rsid w:val="64B419A3"/>
    <w:rsid w:val="64F531DE"/>
    <w:rsid w:val="65096AC1"/>
    <w:rsid w:val="65316C0C"/>
    <w:rsid w:val="65373578"/>
    <w:rsid w:val="65CE17C5"/>
    <w:rsid w:val="65D01D11"/>
    <w:rsid w:val="65E367A7"/>
    <w:rsid w:val="661204ED"/>
    <w:rsid w:val="661F5C42"/>
    <w:rsid w:val="662523C0"/>
    <w:rsid w:val="662E2405"/>
    <w:rsid w:val="6656690D"/>
    <w:rsid w:val="66815672"/>
    <w:rsid w:val="66A30B94"/>
    <w:rsid w:val="66A93F39"/>
    <w:rsid w:val="66B617C0"/>
    <w:rsid w:val="66F60674"/>
    <w:rsid w:val="671F124A"/>
    <w:rsid w:val="67303449"/>
    <w:rsid w:val="67392449"/>
    <w:rsid w:val="676655C8"/>
    <w:rsid w:val="677A33C6"/>
    <w:rsid w:val="67801FF6"/>
    <w:rsid w:val="67B0620F"/>
    <w:rsid w:val="67C61C7D"/>
    <w:rsid w:val="67D434B4"/>
    <w:rsid w:val="67E92855"/>
    <w:rsid w:val="68081204"/>
    <w:rsid w:val="681F6961"/>
    <w:rsid w:val="68610A2F"/>
    <w:rsid w:val="68805514"/>
    <w:rsid w:val="68817BAC"/>
    <w:rsid w:val="688833CE"/>
    <w:rsid w:val="68A240D7"/>
    <w:rsid w:val="68B65AA7"/>
    <w:rsid w:val="68B913D5"/>
    <w:rsid w:val="68EC14C9"/>
    <w:rsid w:val="690B26C1"/>
    <w:rsid w:val="691F5270"/>
    <w:rsid w:val="69225157"/>
    <w:rsid w:val="69316E2F"/>
    <w:rsid w:val="694E2071"/>
    <w:rsid w:val="6959790A"/>
    <w:rsid w:val="6963544F"/>
    <w:rsid w:val="69766163"/>
    <w:rsid w:val="697A3B33"/>
    <w:rsid w:val="699658D9"/>
    <w:rsid w:val="69D44760"/>
    <w:rsid w:val="6A0A597F"/>
    <w:rsid w:val="6A14313F"/>
    <w:rsid w:val="6A440E91"/>
    <w:rsid w:val="6A520EC7"/>
    <w:rsid w:val="6A930EAF"/>
    <w:rsid w:val="6AA3205B"/>
    <w:rsid w:val="6AE52674"/>
    <w:rsid w:val="6AEF1B05"/>
    <w:rsid w:val="6AF87E20"/>
    <w:rsid w:val="6AFA2A24"/>
    <w:rsid w:val="6B0C1DF0"/>
    <w:rsid w:val="6B322639"/>
    <w:rsid w:val="6B596BBE"/>
    <w:rsid w:val="6B78606C"/>
    <w:rsid w:val="6B947E46"/>
    <w:rsid w:val="6B957791"/>
    <w:rsid w:val="6BAE6F0A"/>
    <w:rsid w:val="6BC444C4"/>
    <w:rsid w:val="6BD9385B"/>
    <w:rsid w:val="6BE80FDC"/>
    <w:rsid w:val="6BEC5E9B"/>
    <w:rsid w:val="6C141316"/>
    <w:rsid w:val="6C636C38"/>
    <w:rsid w:val="6C6D7D23"/>
    <w:rsid w:val="6C7A4185"/>
    <w:rsid w:val="6CF9075F"/>
    <w:rsid w:val="6CFC4AEB"/>
    <w:rsid w:val="6D01750D"/>
    <w:rsid w:val="6D283D77"/>
    <w:rsid w:val="6D4D2752"/>
    <w:rsid w:val="6D8343C6"/>
    <w:rsid w:val="6D8C1AA4"/>
    <w:rsid w:val="6D940381"/>
    <w:rsid w:val="6D9D7236"/>
    <w:rsid w:val="6DAD31F1"/>
    <w:rsid w:val="6DB34098"/>
    <w:rsid w:val="6DB545B6"/>
    <w:rsid w:val="6DC742B3"/>
    <w:rsid w:val="6DE02FB4"/>
    <w:rsid w:val="6DE2309F"/>
    <w:rsid w:val="6DE76703"/>
    <w:rsid w:val="6E0C4C0B"/>
    <w:rsid w:val="6E514CED"/>
    <w:rsid w:val="6E530BFC"/>
    <w:rsid w:val="6E674724"/>
    <w:rsid w:val="6E7837FF"/>
    <w:rsid w:val="6EB5433E"/>
    <w:rsid w:val="6EB563D5"/>
    <w:rsid w:val="6EBC1F27"/>
    <w:rsid w:val="6EC203E2"/>
    <w:rsid w:val="6EC74F0A"/>
    <w:rsid w:val="6ED92677"/>
    <w:rsid w:val="6F125F93"/>
    <w:rsid w:val="6F225983"/>
    <w:rsid w:val="6F3F1B6C"/>
    <w:rsid w:val="6F4D4C8B"/>
    <w:rsid w:val="6F584353"/>
    <w:rsid w:val="6F597C8C"/>
    <w:rsid w:val="6F6F5408"/>
    <w:rsid w:val="6FD55380"/>
    <w:rsid w:val="6FE74798"/>
    <w:rsid w:val="6FF43359"/>
    <w:rsid w:val="6FFC5590"/>
    <w:rsid w:val="6FFE0673"/>
    <w:rsid w:val="702827F7"/>
    <w:rsid w:val="7033448F"/>
    <w:rsid w:val="70526D69"/>
    <w:rsid w:val="706D1DD0"/>
    <w:rsid w:val="70856B87"/>
    <w:rsid w:val="70883CB6"/>
    <w:rsid w:val="70B54896"/>
    <w:rsid w:val="70CA3E8B"/>
    <w:rsid w:val="70D527EE"/>
    <w:rsid w:val="70D6705C"/>
    <w:rsid w:val="70EC0BE5"/>
    <w:rsid w:val="70FD02C4"/>
    <w:rsid w:val="71017ADB"/>
    <w:rsid w:val="7115157F"/>
    <w:rsid w:val="7135611A"/>
    <w:rsid w:val="713D4160"/>
    <w:rsid w:val="7148395C"/>
    <w:rsid w:val="71531CB1"/>
    <w:rsid w:val="715B5300"/>
    <w:rsid w:val="717209D9"/>
    <w:rsid w:val="71B8185F"/>
    <w:rsid w:val="71C64881"/>
    <w:rsid w:val="71D27F8A"/>
    <w:rsid w:val="71DA7716"/>
    <w:rsid w:val="71E13469"/>
    <w:rsid w:val="72233A82"/>
    <w:rsid w:val="723B526F"/>
    <w:rsid w:val="723F6E82"/>
    <w:rsid w:val="72553024"/>
    <w:rsid w:val="727C403E"/>
    <w:rsid w:val="72821947"/>
    <w:rsid w:val="72910096"/>
    <w:rsid w:val="72BF066C"/>
    <w:rsid w:val="73122968"/>
    <w:rsid w:val="731864DA"/>
    <w:rsid w:val="731F5D5E"/>
    <w:rsid w:val="73593BFF"/>
    <w:rsid w:val="73781BAB"/>
    <w:rsid w:val="73C51AD5"/>
    <w:rsid w:val="73D6666E"/>
    <w:rsid w:val="741E793C"/>
    <w:rsid w:val="74310B9B"/>
    <w:rsid w:val="74381C1A"/>
    <w:rsid w:val="745E3944"/>
    <w:rsid w:val="74801C9B"/>
    <w:rsid w:val="748C1DB2"/>
    <w:rsid w:val="74AE3AD6"/>
    <w:rsid w:val="74C340B9"/>
    <w:rsid w:val="74E25E76"/>
    <w:rsid w:val="74E350E1"/>
    <w:rsid w:val="75303555"/>
    <w:rsid w:val="75613ABB"/>
    <w:rsid w:val="75800C01"/>
    <w:rsid w:val="758962F1"/>
    <w:rsid w:val="76322C84"/>
    <w:rsid w:val="7635099D"/>
    <w:rsid w:val="76587DF7"/>
    <w:rsid w:val="766B1E99"/>
    <w:rsid w:val="7673728E"/>
    <w:rsid w:val="76966C10"/>
    <w:rsid w:val="769E33D8"/>
    <w:rsid w:val="76A72ED3"/>
    <w:rsid w:val="76B873F0"/>
    <w:rsid w:val="76C01E4D"/>
    <w:rsid w:val="76EC4D8A"/>
    <w:rsid w:val="76EF1C01"/>
    <w:rsid w:val="775A46BB"/>
    <w:rsid w:val="77762421"/>
    <w:rsid w:val="777D59E2"/>
    <w:rsid w:val="77B56B1F"/>
    <w:rsid w:val="77C71871"/>
    <w:rsid w:val="77D74BF7"/>
    <w:rsid w:val="780F09F4"/>
    <w:rsid w:val="783C6D42"/>
    <w:rsid w:val="787119EB"/>
    <w:rsid w:val="789D27E0"/>
    <w:rsid w:val="78A90480"/>
    <w:rsid w:val="78BE62B2"/>
    <w:rsid w:val="78C25DA2"/>
    <w:rsid w:val="78D83818"/>
    <w:rsid w:val="79267C3F"/>
    <w:rsid w:val="79562F06"/>
    <w:rsid w:val="79651059"/>
    <w:rsid w:val="79695714"/>
    <w:rsid w:val="79751067"/>
    <w:rsid w:val="797671FC"/>
    <w:rsid w:val="797E2E25"/>
    <w:rsid w:val="798D4602"/>
    <w:rsid w:val="79A1196F"/>
    <w:rsid w:val="79F93A46"/>
    <w:rsid w:val="7A2B1BAD"/>
    <w:rsid w:val="7A364017"/>
    <w:rsid w:val="7A3902E6"/>
    <w:rsid w:val="7A684022"/>
    <w:rsid w:val="7A6D1D3E"/>
    <w:rsid w:val="7A7D74B0"/>
    <w:rsid w:val="7A8265E1"/>
    <w:rsid w:val="7A8D418E"/>
    <w:rsid w:val="7AA339B1"/>
    <w:rsid w:val="7AC202DC"/>
    <w:rsid w:val="7B0E0E67"/>
    <w:rsid w:val="7B2D3912"/>
    <w:rsid w:val="7B334A52"/>
    <w:rsid w:val="7B442B32"/>
    <w:rsid w:val="7B5C4055"/>
    <w:rsid w:val="7B641393"/>
    <w:rsid w:val="7B686D42"/>
    <w:rsid w:val="7B7D7EBE"/>
    <w:rsid w:val="7B841746"/>
    <w:rsid w:val="7B863583"/>
    <w:rsid w:val="7BB3231A"/>
    <w:rsid w:val="7BC57958"/>
    <w:rsid w:val="7BEF513B"/>
    <w:rsid w:val="7C013085"/>
    <w:rsid w:val="7C347DF6"/>
    <w:rsid w:val="7C3965AB"/>
    <w:rsid w:val="7C574819"/>
    <w:rsid w:val="7C663DE2"/>
    <w:rsid w:val="7C6929D9"/>
    <w:rsid w:val="7C6C5AC7"/>
    <w:rsid w:val="7C724D05"/>
    <w:rsid w:val="7C945CA8"/>
    <w:rsid w:val="7C9C690A"/>
    <w:rsid w:val="7CA26617"/>
    <w:rsid w:val="7CC6544B"/>
    <w:rsid w:val="7CCC5336"/>
    <w:rsid w:val="7CF41F96"/>
    <w:rsid w:val="7D0239FF"/>
    <w:rsid w:val="7D1F37A1"/>
    <w:rsid w:val="7D2749BA"/>
    <w:rsid w:val="7D4C4E58"/>
    <w:rsid w:val="7D4D208B"/>
    <w:rsid w:val="7D5471E5"/>
    <w:rsid w:val="7D5E40CD"/>
    <w:rsid w:val="7D8E6B9B"/>
    <w:rsid w:val="7D905C3E"/>
    <w:rsid w:val="7DA964D0"/>
    <w:rsid w:val="7DB91B62"/>
    <w:rsid w:val="7DCD56F2"/>
    <w:rsid w:val="7DEE29B3"/>
    <w:rsid w:val="7E975AC1"/>
    <w:rsid w:val="7EDE7086"/>
    <w:rsid w:val="7F001CE7"/>
    <w:rsid w:val="7F3C5BE4"/>
    <w:rsid w:val="7F5964A7"/>
    <w:rsid w:val="7F5F474C"/>
    <w:rsid w:val="7F985ED5"/>
    <w:rsid w:val="7FDF0B86"/>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qFormat="1" w:unhideWhenUsed="0" w:uiPriority="99"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22"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iPriority="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72"/>
    <w:autoRedefine/>
    <w:semiHidden/>
    <w:unhideWhenUsed/>
    <w:qFormat/>
    <w:locked/>
    <w:uiPriority w:val="0"/>
    <w:pPr>
      <w:keepNext/>
      <w:keepLines/>
      <w:spacing w:before="260" w:after="260" w:line="416" w:lineRule="auto"/>
      <w:outlineLvl w:val="1"/>
    </w:pPr>
    <w:rPr>
      <w:rFonts w:ascii="Cambria" w:hAnsi="Cambria"/>
      <w:b/>
      <w:bCs/>
      <w:sz w:val="32"/>
      <w:szCs w:val="32"/>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71"/>
    <w:autoRedefine/>
    <w:qFormat/>
    <w:locked/>
    <w:uiPriority w:val="0"/>
    <w:pPr>
      <w:ind w:firstLine="420"/>
    </w:pPr>
    <w:rPr>
      <w:kern w:val="0"/>
      <w:sz w:val="20"/>
      <w:szCs w:val="20"/>
    </w:rPr>
  </w:style>
  <w:style w:type="paragraph" w:styleId="5">
    <w:name w:val="annotation text"/>
    <w:basedOn w:val="1"/>
    <w:link w:val="40"/>
    <w:autoRedefine/>
    <w:qFormat/>
    <w:uiPriority w:val="99"/>
    <w:pPr>
      <w:jc w:val="left"/>
    </w:pPr>
    <w:rPr>
      <w:kern w:val="0"/>
      <w:sz w:val="24"/>
      <w:szCs w:val="20"/>
    </w:rPr>
  </w:style>
  <w:style w:type="paragraph" w:styleId="6">
    <w:name w:val="index 6"/>
    <w:basedOn w:val="1"/>
    <w:next w:val="1"/>
    <w:autoRedefine/>
    <w:qFormat/>
    <w:locked/>
    <w:uiPriority w:val="99"/>
    <w:pPr>
      <w:widowControl/>
      <w:ind w:left="1000" w:leftChars="1000"/>
      <w:jc w:val="left"/>
    </w:pPr>
    <w:rPr>
      <w:kern w:val="0"/>
      <w:sz w:val="20"/>
      <w:szCs w:val="20"/>
    </w:rPr>
  </w:style>
  <w:style w:type="paragraph" w:styleId="7">
    <w:name w:val="Body Text"/>
    <w:basedOn w:val="1"/>
    <w:next w:val="1"/>
    <w:link w:val="39"/>
    <w:autoRedefine/>
    <w:qFormat/>
    <w:uiPriority w:val="0"/>
    <w:pPr>
      <w:widowControl/>
      <w:snapToGrid w:val="0"/>
      <w:spacing w:before="60" w:after="160" w:line="259" w:lineRule="auto"/>
      <w:ind w:right="113"/>
    </w:pPr>
    <w:rPr>
      <w:kern w:val="0"/>
      <w:sz w:val="18"/>
      <w:szCs w:val="20"/>
    </w:rPr>
  </w:style>
  <w:style w:type="paragraph" w:styleId="8">
    <w:name w:val="Body Text Indent"/>
    <w:basedOn w:val="1"/>
    <w:link w:val="48"/>
    <w:autoRedefine/>
    <w:qFormat/>
    <w:uiPriority w:val="0"/>
    <w:pPr>
      <w:spacing w:after="120"/>
      <w:ind w:left="420" w:leftChars="200"/>
    </w:pPr>
    <w:rPr>
      <w:kern w:val="0"/>
      <w:sz w:val="24"/>
      <w:szCs w:val="20"/>
    </w:rPr>
  </w:style>
  <w:style w:type="paragraph" w:styleId="9">
    <w:name w:val="Plain Text"/>
    <w:basedOn w:val="1"/>
    <w:link w:val="53"/>
    <w:autoRedefine/>
    <w:qFormat/>
    <w:locked/>
    <w:uiPriority w:val="0"/>
    <w:rPr>
      <w:rFonts w:ascii="宋体" w:hAnsi="Courier New"/>
      <w:szCs w:val="21"/>
    </w:rPr>
  </w:style>
  <w:style w:type="paragraph" w:styleId="10">
    <w:name w:val="Date"/>
    <w:basedOn w:val="1"/>
    <w:next w:val="1"/>
    <w:link w:val="36"/>
    <w:autoRedefine/>
    <w:qFormat/>
    <w:uiPriority w:val="0"/>
    <w:pPr>
      <w:ind w:left="100" w:leftChars="2500"/>
    </w:pPr>
    <w:rPr>
      <w:kern w:val="0"/>
      <w:sz w:val="24"/>
      <w:szCs w:val="20"/>
    </w:rPr>
  </w:style>
  <w:style w:type="paragraph" w:styleId="11">
    <w:name w:val="Body Text Indent 2"/>
    <w:basedOn w:val="1"/>
    <w:link w:val="77"/>
    <w:autoRedefine/>
    <w:qFormat/>
    <w:locked/>
    <w:uiPriority w:val="0"/>
    <w:pPr>
      <w:spacing w:after="120" w:line="480" w:lineRule="auto"/>
      <w:ind w:left="420" w:leftChars="200"/>
    </w:pPr>
  </w:style>
  <w:style w:type="paragraph" w:styleId="12">
    <w:name w:val="Balloon Text"/>
    <w:basedOn w:val="1"/>
    <w:link w:val="44"/>
    <w:autoRedefine/>
    <w:semiHidden/>
    <w:qFormat/>
    <w:uiPriority w:val="0"/>
    <w:rPr>
      <w:kern w:val="0"/>
      <w:sz w:val="18"/>
      <w:szCs w:val="20"/>
    </w:rPr>
  </w:style>
  <w:style w:type="paragraph" w:styleId="13">
    <w:name w:val="footer"/>
    <w:basedOn w:val="1"/>
    <w:link w:val="35"/>
    <w:autoRedefine/>
    <w:qFormat/>
    <w:uiPriority w:val="99"/>
    <w:pPr>
      <w:tabs>
        <w:tab w:val="center" w:pos="4153"/>
        <w:tab w:val="right" w:pos="8306"/>
      </w:tabs>
      <w:snapToGrid w:val="0"/>
      <w:jc w:val="left"/>
    </w:pPr>
    <w:rPr>
      <w:kern w:val="0"/>
      <w:sz w:val="18"/>
      <w:szCs w:val="20"/>
    </w:rPr>
  </w:style>
  <w:style w:type="paragraph" w:styleId="14">
    <w:name w:val="header"/>
    <w:basedOn w:val="1"/>
    <w:link w:val="46"/>
    <w:autoRedefine/>
    <w:qFormat/>
    <w:uiPriority w:val="99"/>
    <w:pPr>
      <w:pBdr>
        <w:bottom w:val="single" w:color="auto" w:sz="6" w:space="1"/>
      </w:pBdr>
      <w:tabs>
        <w:tab w:val="center" w:pos="4153"/>
        <w:tab w:val="right" w:pos="8306"/>
      </w:tabs>
      <w:snapToGrid w:val="0"/>
      <w:jc w:val="center"/>
    </w:pPr>
    <w:rPr>
      <w:kern w:val="0"/>
      <w:sz w:val="18"/>
      <w:szCs w:val="20"/>
    </w:rPr>
  </w:style>
  <w:style w:type="paragraph" w:styleId="15">
    <w:name w:val="List"/>
    <w:basedOn w:val="1"/>
    <w:link w:val="79"/>
    <w:autoRedefine/>
    <w:qFormat/>
    <w:locked/>
    <w:uiPriority w:val="0"/>
    <w:pPr>
      <w:spacing w:line="360" w:lineRule="exact"/>
      <w:jc w:val="center"/>
    </w:pPr>
    <w:rPr>
      <w:rFonts w:ascii="仿宋_GB2312" w:eastAsia="仿宋_GB2312"/>
      <w:sz w:val="24"/>
      <w:szCs w:val="20"/>
    </w:rPr>
  </w:style>
  <w:style w:type="paragraph" w:styleId="16">
    <w:name w:val="toc 2"/>
    <w:basedOn w:val="1"/>
    <w:next w:val="1"/>
    <w:autoRedefine/>
    <w:qFormat/>
    <w:locked/>
    <w:uiPriority w:val="0"/>
    <w:pPr>
      <w:ind w:left="420" w:leftChars="200"/>
    </w:pPr>
  </w:style>
  <w:style w:type="paragraph" w:styleId="17">
    <w:name w:val="Body Text 2"/>
    <w:basedOn w:val="1"/>
    <w:link w:val="68"/>
    <w:autoRedefine/>
    <w:qFormat/>
    <w:locked/>
    <w:uiPriority w:val="0"/>
    <w:pPr>
      <w:spacing w:after="120" w:line="480" w:lineRule="auto"/>
    </w:pPr>
    <w:rPr>
      <w:rFonts w:ascii="Calibri" w:hAnsi="Calibri"/>
      <w:sz w:val="28"/>
    </w:rPr>
  </w:style>
  <w:style w:type="paragraph" w:styleId="18">
    <w:name w:val="Normal (Web)"/>
    <w:basedOn w:val="1"/>
    <w:link w:val="37"/>
    <w:autoRedefine/>
    <w:qFormat/>
    <w:uiPriority w:val="0"/>
    <w:pPr>
      <w:widowControl/>
      <w:spacing w:before="100" w:beforeAutospacing="1" w:after="100" w:afterAutospacing="1"/>
      <w:jc w:val="left"/>
    </w:pPr>
    <w:rPr>
      <w:rFonts w:ascii="宋体" w:hAnsi="宋体"/>
      <w:kern w:val="0"/>
      <w:sz w:val="24"/>
      <w:szCs w:val="20"/>
    </w:rPr>
  </w:style>
  <w:style w:type="paragraph" w:styleId="19">
    <w:name w:val="annotation subject"/>
    <w:basedOn w:val="5"/>
    <w:next w:val="5"/>
    <w:link w:val="45"/>
    <w:autoRedefine/>
    <w:semiHidden/>
    <w:qFormat/>
    <w:uiPriority w:val="0"/>
    <w:rPr>
      <w:b/>
    </w:rPr>
  </w:style>
  <w:style w:type="paragraph" w:styleId="20">
    <w:name w:val="Body Text First Indent 2"/>
    <w:basedOn w:val="8"/>
    <w:link w:val="87"/>
    <w:autoRedefine/>
    <w:qFormat/>
    <w:locked/>
    <w:uiPriority w:val="0"/>
    <w:pPr>
      <w:ind w:firstLine="420" w:firstLineChars="200"/>
    </w:pPr>
    <w:rPr>
      <w:kern w:val="2"/>
      <w:sz w:val="21"/>
      <w:szCs w:val="24"/>
    </w:rPr>
  </w:style>
  <w:style w:type="table" w:styleId="22">
    <w:name w:val="Table Grid"/>
    <w:basedOn w:val="2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autoRedefine/>
    <w:qFormat/>
    <w:locked/>
    <w:uiPriority w:val="22"/>
    <w:rPr>
      <w:b/>
      <w:bCs/>
    </w:rPr>
  </w:style>
  <w:style w:type="character" w:styleId="25">
    <w:name w:val="page number"/>
    <w:basedOn w:val="23"/>
    <w:autoRedefine/>
    <w:qFormat/>
    <w:locked/>
    <w:uiPriority w:val="0"/>
  </w:style>
  <w:style w:type="character" w:styleId="26">
    <w:name w:val="Emphasis"/>
    <w:basedOn w:val="23"/>
    <w:qFormat/>
    <w:locked/>
    <w:uiPriority w:val="0"/>
    <w:rPr>
      <w:i/>
    </w:rPr>
  </w:style>
  <w:style w:type="character" w:styleId="27">
    <w:name w:val="Hyperlink"/>
    <w:basedOn w:val="23"/>
    <w:qFormat/>
    <w:locked/>
    <w:uiPriority w:val="0"/>
    <w:rPr>
      <w:color w:val="0000FF"/>
      <w:u w:val="single"/>
    </w:rPr>
  </w:style>
  <w:style w:type="character" w:styleId="28">
    <w:name w:val="annotation reference"/>
    <w:autoRedefine/>
    <w:semiHidden/>
    <w:qFormat/>
    <w:uiPriority w:val="0"/>
    <w:rPr>
      <w:sz w:val="21"/>
    </w:rPr>
  </w:style>
  <w:style w:type="paragraph" w:customStyle="1" w:styleId="29">
    <w:name w:val="xl27"/>
    <w:basedOn w:val="1"/>
    <w:next w:val="1"/>
    <w:qFormat/>
    <w:uiPriority w:val="0"/>
    <w:pPr>
      <w:widowControl/>
      <w:pBdr>
        <w:bottom w:val="single" w:color="auto" w:sz="12" w:space="0"/>
        <w:right w:val="single" w:color="auto" w:sz="12" w:space="0"/>
      </w:pBdr>
      <w:spacing w:before="100" w:beforeAutospacing="1" w:after="100" w:afterAutospacing="1" w:line="480" w:lineRule="exact"/>
      <w:jc w:val="center"/>
    </w:pPr>
    <w:rPr>
      <w:szCs w:val="21"/>
    </w:rPr>
  </w:style>
  <w:style w:type="character" w:customStyle="1" w:styleId="30">
    <w:name w:val="页脚 字符"/>
    <w:basedOn w:val="23"/>
    <w:autoRedefine/>
    <w:qFormat/>
    <w:uiPriority w:val="99"/>
  </w:style>
  <w:style w:type="paragraph" w:customStyle="1" w:styleId="31">
    <w:name w:val="Default"/>
    <w:basedOn w:val="32"/>
    <w:link w:val="88"/>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2">
    <w:name w:val="纯文本1"/>
    <w:basedOn w:val="1"/>
    <w:qFormat/>
    <w:uiPriority w:val="99"/>
    <w:rPr>
      <w:rFonts w:ascii="宋体" w:hAnsi="Courier New"/>
    </w:rPr>
  </w:style>
  <w:style w:type="paragraph" w:customStyle="1" w:styleId="33">
    <w:name w:val="样式3"/>
    <w:basedOn w:val="1"/>
    <w:next w:val="34"/>
    <w:qFormat/>
    <w:uiPriority w:val="99"/>
    <w:pPr>
      <w:spacing w:line="360" w:lineRule="auto"/>
      <w:ind w:firstLine="200"/>
    </w:pPr>
    <w:rPr>
      <w:rFonts w:cs="宋体"/>
      <w:color w:val="000000"/>
      <w:sz w:val="28"/>
    </w:rPr>
  </w:style>
  <w:style w:type="paragraph" w:customStyle="1" w:styleId="34">
    <w:name w:val="目录 53"/>
    <w:basedOn w:val="1"/>
    <w:next w:val="1"/>
    <w:qFormat/>
    <w:uiPriority w:val="99"/>
    <w:pPr>
      <w:ind w:left="840"/>
    </w:pPr>
    <w:rPr>
      <w:rFonts w:cs="宋体"/>
      <w:color w:val="000000"/>
    </w:rPr>
  </w:style>
  <w:style w:type="character" w:customStyle="1" w:styleId="35">
    <w:name w:val="页脚 字符1"/>
    <w:link w:val="13"/>
    <w:autoRedefine/>
    <w:qFormat/>
    <w:locked/>
    <w:uiPriority w:val="99"/>
    <w:rPr>
      <w:sz w:val="18"/>
    </w:rPr>
  </w:style>
  <w:style w:type="character" w:customStyle="1" w:styleId="36">
    <w:name w:val="日期 字符1"/>
    <w:link w:val="10"/>
    <w:autoRedefine/>
    <w:qFormat/>
    <w:locked/>
    <w:uiPriority w:val="0"/>
    <w:rPr>
      <w:rFonts w:ascii="Times New Roman" w:hAnsi="Times New Roman" w:eastAsia="宋体"/>
      <w:sz w:val="24"/>
    </w:rPr>
  </w:style>
  <w:style w:type="character" w:customStyle="1" w:styleId="37">
    <w:name w:val="普通(网站) 字符"/>
    <w:link w:val="18"/>
    <w:autoRedefine/>
    <w:qFormat/>
    <w:locked/>
    <w:uiPriority w:val="0"/>
    <w:rPr>
      <w:rFonts w:ascii="宋体" w:hAnsi="宋体" w:eastAsia="宋体"/>
      <w:sz w:val="24"/>
    </w:rPr>
  </w:style>
  <w:style w:type="character" w:customStyle="1" w:styleId="38">
    <w:name w:val="正文文本 字符1"/>
    <w:autoRedefine/>
    <w:semiHidden/>
    <w:qFormat/>
    <w:uiPriority w:val="0"/>
    <w:rPr>
      <w:rFonts w:ascii="Times New Roman" w:hAnsi="Times New Roman" w:eastAsia="宋体"/>
      <w:sz w:val="24"/>
    </w:rPr>
  </w:style>
  <w:style w:type="character" w:customStyle="1" w:styleId="39">
    <w:name w:val="正文文本 字符2"/>
    <w:link w:val="7"/>
    <w:autoRedefine/>
    <w:qFormat/>
    <w:locked/>
    <w:uiPriority w:val="0"/>
    <w:rPr>
      <w:sz w:val="18"/>
    </w:rPr>
  </w:style>
  <w:style w:type="character" w:customStyle="1" w:styleId="40">
    <w:name w:val="批注文字 字符"/>
    <w:link w:val="5"/>
    <w:autoRedefine/>
    <w:qFormat/>
    <w:locked/>
    <w:uiPriority w:val="0"/>
    <w:rPr>
      <w:rFonts w:ascii="Times New Roman" w:hAnsi="Times New Roman" w:eastAsia="宋体"/>
      <w:sz w:val="24"/>
    </w:rPr>
  </w:style>
  <w:style w:type="character" w:customStyle="1" w:styleId="41">
    <w:name w:val="表格 Char"/>
    <w:link w:val="42"/>
    <w:autoRedefine/>
    <w:qFormat/>
    <w:locked/>
    <w:uiPriority w:val="0"/>
    <w:rPr>
      <w:rFonts w:ascii="宋体"/>
      <w:sz w:val="21"/>
    </w:rPr>
  </w:style>
  <w:style w:type="paragraph" w:customStyle="1" w:styleId="42">
    <w:name w:val="表格"/>
    <w:basedOn w:val="1"/>
    <w:next w:val="1"/>
    <w:link w:val="41"/>
    <w:autoRedefine/>
    <w:qFormat/>
    <w:uiPriority w:val="0"/>
    <w:pPr>
      <w:adjustRightInd w:val="0"/>
      <w:snapToGrid w:val="0"/>
      <w:spacing w:beforeLines="10" w:afterLines="10" w:line="259" w:lineRule="auto"/>
      <w:jc w:val="center"/>
    </w:pPr>
    <w:rPr>
      <w:rFonts w:ascii="宋体"/>
      <w:kern w:val="0"/>
      <w:szCs w:val="20"/>
    </w:rPr>
  </w:style>
  <w:style w:type="character" w:customStyle="1" w:styleId="43">
    <w:name w:val="日期 字符"/>
    <w:autoRedefine/>
    <w:semiHidden/>
    <w:qFormat/>
    <w:uiPriority w:val="0"/>
    <w:rPr>
      <w:rFonts w:ascii="Times New Roman" w:hAnsi="Times New Roman" w:eastAsia="宋体"/>
      <w:sz w:val="24"/>
    </w:rPr>
  </w:style>
  <w:style w:type="character" w:customStyle="1" w:styleId="44">
    <w:name w:val="批注框文本 字符"/>
    <w:link w:val="12"/>
    <w:autoRedefine/>
    <w:semiHidden/>
    <w:qFormat/>
    <w:locked/>
    <w:uiPriority w:val="0"/>
    <w:rPr>
      <w:rFonts w:ascii="Times New Roman" w:hAnsi="Times New Roman" w:eastAsia="宋体"/>
      <w:sz w:val="18"/>
    </w:rPr>
  </w:style>
  <w:style w:type="character" w:customStyle="1" w:styleId="45">
    <w:name w:val="批注主题 字符"/>
    <w:link w:val="19"/>
    <w:autoRedefine/>
    <w:semiHidden/>
    <w:qFormat/>
    <w:locked/>
    <w:uiPriority w:val="0"/>
    <w:rPr>
      <w:rFonts w:ascii="Times New Roman" w:hAnsi="Times New Roman" w:eastAsia="宋体"/>
      <w:b/>
      <w:kern w:val="2"/>
      <w:sz w:val="24"/>
    </w:rPr>
  </w:style>
  <w:style w:type="character" w:customStyle="1" w:styleId="46">
    <w:name w:val="页眉 字符"/>
    <w:link w:val="14"/>
    <w:autoRedefine/>
    <w:qFormat/>
    <w:locked/>
    <w:uiPriority w:val="99"/>
    <w:rPr>
      <w:sz w:val="18"/>
    </w:rPr>
  </w:style>
  <w:style w:type="character" w:customStyle="1" w:styleId="47">
    <w:name w:val="批注文字 字符1"/>
    <w:autoRedefine/>
    <w:semiHidden/>
    <w:qFormat/>
    <w:uiPriority w:val="0"/>
    <w:rPr>
      <w:rFonts w:ascii="Times New Roman" w:hAnsi="Times New Roman" w:eastAsia="宋体"/>
      <w:sz w:val="24"/>
    </w:rPr>
  </w:style>
  <w:style w:type="character" w:customStyle="1" w:styleId="48">
    <w:name w:val="正文文本缩进 字符"/>
    <w:link w:val="8"/>
    <w:autoRedefine/>
    <w:semiHidden/>
    <w:qFormat/>
    <w:locked/>
    <w:uiPriority w:val="0"/>
    <w:rPr>
      <w:rFonts w:ascii="Times New Roman" w:hAnsi="Times New Roman" w:eastAsia="宋体"/>
      <w:sz w:val="24"/>
    </w:rPr>
  </w:style>
  <w:style w:type="paragraph" w:customStyle="1" w:styleId="49">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0">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styleId="51">
    <w:name w:val="No Spacing"/>
    <w:link w:val="52"/>
    <w:autoRedefine/>
    <w:qFormat/>
    <w:uiPriority w:val="1"/>
    <w:rPr>
      <w:rFonts w:ascii="Calibri" w:hAnsi="Calibri" w:eastAsia="宋体" w:cs="Times New Roman"/>
      <w:sz w:val="22"/>
      <w:szCs w:val="22"/>
      <w:lang w:val="en-US" w:eastAsia="zh-CN" w:bidi="ar-SA"/>
    </w:rPr>
  </w:style>
  <w:style w:type="character" w:customStyle="1" w:styleId="52">
    <w:name w:val="无间隔 字符"/>
    <w:link w:val="51"/>
    <w:autoRedefine/>
    <w:qFormat/>
    <w:uiPriority w:val="1"/>
    <w:rPr>
      <w:rFonts w:ascii="Calibri" w:hAnsi="Calibri"/>
      <w:sz w:val="22"/>
      <w:szCs w:val="22"/>
    </w:rPr>
  </w:style>
  <w:style w:type="character" w:customStyle="1" w:styleId="53">
    <w:name w:val="纯文本 字符1"/>
    <w:link w:val="9"/>
    <w:autoRedefine/>
    <w:qFormat/>
    <w:uiPriority w:val="0"/>
    <w:rPr>
      <w:rFonts w:ascii="宋体" w:hAnsi="Courier New"/>
      <w:kern w:val="2"/>
      <w:sz w:val="21"/>
      <w:szCs w:val="21"/>
    </w:rPr>
  </w:style>
  <w:style w:type="paragraph" w:customStyle="1" w:styleId="54">
    <w:name w:val="表头"/>
    <w:basedOn w:val="1"/>
    <w:link w:val="55"/>
    <w:autoRedefine/>
    <w:qFormat/>
    <w:uiPriority w:val="0"/>
    <w:pPr>
      <w:spacing w:line="420" w:lineRule="exact"/>
      <w:jc w:val="center"/>
    </w:pPr>
    <w:rPr>
      <w:rFonts w:ascii="Calibri" w:hAnsi="宋体"/>
      <w:b/>
      <w:color w:val="000000"/>
      <w:position w:val="2"/>
      <w:sz w:val="24"/>
    </w:rPr>
  </w:style>
  <w:style w:type="character" w:customStyle="1" w:styleId="55">
    <w:name w:val="表头 Char Char"/>
    <w:link w:val="54"/>
    <w:autoRedefine/>
    <w:qFormat/>
    <w:uiPriority w:val="0"/>
    <w:rPr>
      <w:rFonts w:ascii="Calibri" w:hAnsi="宋体"/>
      <w:b/>
      <w:color w:val="000000"/>
      <w:kern w:val="2"/>
      <w:position w:val="2"/>
      <w:sz w:val="24"/>
      <w:szCs w:val="24"/>
    </w:rPr>
  </w:style>
  <w:style w:type="paragraph" w:customStyle="1" w:styleId="56">
    <w:name w:val="表格 标题"/>
    <w:link w:val="57"/>
    <w:autoRedefine/>
    <w:qFormat/>
    <w:uiPriority w:val="0"/>
    <w:pPr>
      <w:snapToGrid w:val="0"/>
      <w:spacing w:beforeLines="20" w:afterLines="20" w:line="500" w:lineRule="exact"/>
      <w:jc w:val="center"/>
    </w:pPr>
    <w:rPr>
      <w:rFonts w:ascii="Times New Roman" w:hAnsi="Times New Roman" w:eastAsia="宋体" w:cs="Times New Roman"/>
      <w:b/>
      <w:kern w:val="2"/>
      <w:sz w:val="24"/>
      <w:szCs w:val="24"/>
      <w:lang w:val="en-US" w:eastAsia="zh-CN" w:bidi="ar-SA"/>
    </w:rPr>
  </w:style>
  <w:style w:type="character" w:customStyle="1" w:styleId="57">
    <w:name w:val="表格 标题 Char"/>
    <w:link w:val="56"/>
    <w:autoRedefine/>
    <w:qFormat/>
    <w:uiPriority w:val="0"/>
    <w:rPr>
      <w:b/>
      <w:kern w:val="2"/>
      <w:sz w:val="24"/>
      <w:szCs w:val="24"/>
    </w:rPr>
  </w:style>
  <w:style w:type="paragraph" w:customStyle="1" w:styleId="58">
    <w:name w:val="样式2"/>
    <w:basedOn w:val="1"/>
    <w:next w:val="9"/>
    <w:link w:val="59"/>
    <w:autoRedefine/>
    <w:qFormat/>
    <w:uiPriority w:val="0"/>
    <w:pPr>
      <w:spacing w:line="440" w:lineRule="exact"/>
      <w:ind w:firstLine="480" w:firstLineChars="200"/>
    </w:pPr>
    <w:rPr>
      <w:rFonts w:cs="Arial Unicode MS"/>
      <w:sz w:val="24"/>
    </w:rPr>
  </w:style>
  <w:style w:type="character" w:customStyle="1" w:styleId="59">
    <w:name w:val="样式2 Char"/>
    <w:link w:val="58"/>
    <w:autoRedefine/>
    <w:qFormat/>
    <w:uiPriority w:val="0"/>
    <w:rPr>
      <w:rFonts w:cs="Arial Unicode MS"/>
      <w:kern w:val="2"/>
      <w:sz w:val="24"/>
      <w:szCs w:val="24"/>
    </w:rPr>
  </w:style>
  <w:style w:type="paragraph" w:customStyle="1" w:styleId="60">
    <w:name w:val="列出段落1"/>
    <w:basedOn w:val="1"/>
    <w:link w:val="61"/>
    <w:autoRedefine/>
    <w:qFormat/>
    <w:uiPriority w:val="34"/>
    <w:pPr>
      <w:widowControl/>
      <w:ind w:firstLine="420" w:firstLineChars="200"/>
      <w:jc w:val="left"/>
    </w:pPr>
    <w:rPr>
      <w:kern w:val="0"/>
      <w:sz w:val="20"/>
      <w:szCs w:val="20"/>
    </w:rPr>
  </w:style>
  <w:style w:type="character" w:customStyle="1" w:styleId="61">
    <w:name w:val="List Paragraph Char"/>
    <w:link w:val="60"/>
    <w:autoRedefine/>
    <w:qFormat/>
    <w:locked/>
    <w:uiPriority w:val="0"/>
  </w:style>
  <w:style w:type="character" w:customStyle="1" w:styleId="62">
    <w:name w:val="正文文本 字符"/>
    <w:autoRedefine/>
    <w:qFormat/>
    <w:locked/>
    <w:uiPriority w:val="0"/>
    <w:rPr>
      <w:sz w:val="18"/>
    </w:rPr>
  </w:style>
  <w:style w:type="character" w:customStyle="1" w:styleId="63">
    <w:name w:val="正文（首行缩进2字） Char1"/>
    <w:link w:val="64"/>
    <w:autoRedefine/>
    <w:qFormat/>
    <w:locked/>
    <w:uiPriority w:val="99"/>
    <w:rPr>
      <w:kern w:val="2"/>
      <w:sz w:val="30"/>
    </w:rPr>
  </w:style>
  <w:style w:type="paragraph" w:customStyle="1" w:styleId="64">
    <w:name w:val="正文（首行缩进2字）"/>
    <w:basedOn w:val="1"/>
    <w:link w:val="63"/>
    <w:autoRedefine/>
    <w:qFormat/>
    <w:uiPriority w:val="99"/>
    <w:pPr>
      <w:spacing w:line="440" w:lineRule="exact"/>
      <w:ind w:firstLine="480" w:firstLineChars="200"/>
    </w:pPr>
    <w:rPr>
      <w:sz w:val="30"/>
      <w:szCs w:val="20"/>
    </w:rPr>
  </w:style>
  <w:style w:type="paragraph" w:customStyle="1" w:styleId="65">
    <w:name w:val="Table Paragraph"/>
    <w:basedOn w:val="1"/>
    <w:autoRedefine/>
    <w:qFormat/>
    <w:uiPriority w:val="1"/>
    <w:pPr>
      <w:autoSpaceDE w:val="0"/>
      <w:autoSpaceDN w:val="0"/>
      <w:spacing w:before="58"/>
      <w:jc w:val="center"/>
    </w:pPr>
    <w:rPr>
      <w:rFonts w:ascii="宋体" w:hAnsi="宋体" w:cs="宋体"/>
      <w:kern w:val="0"/>
      <w:sz w:val="22"/>
      <w:szCs w:val="22"/>
      <w:lang w:val="zh-CN" w:bidi="zh-CN"/>
    </w:rPr>
  </w:style>
  <w:style w:type="paragraph" w:customStyle="1" w:styleId="66">
    <w:name w:val="A正文"/>
    <w:basedOn w:val="1"/>
    <w:link w:val="67"/>
    <w:autoRedefine/>
    <w:qFormat/>
    <w:uiPriority w:val="0"/>
    <w:pPr>
      <w:snapToGrid w:val="0"/>
      <w:spacing w:line="500" w:lineRule="exact"/>
      <w:ind w:firstLine="480"/>
    </w:pPr>
    <w:rPr>
      <w:sz w:val="24"/>
    </w:rPr>
  </w:style>
  <w:style w:type="character" w:customStyle="1" w:styleId="67">
    <w:name w:val="A正文 Char"/>
    <w:link w:val="66"/>
    <w:autoRedefine/>
    <w:qFormat/>
    <w:uiPriority w:val="0"/>
    <w:rPr>
      <w:kern w:val="2"/>
      <w:sz w:val="24"/>
      <w:szCs w:val="24"/>
    </w:rPr>
  </w:style>
  <w:style w:type="character" w:customStyle="1" w:styleId="68">
    <w:name w:val="正文文本 2 字符"/>
    <w:link w:val="17"/>
    <w:autoRedefine/>
    <w:qFormat/>
    <w:uiPriority w:val="0"/>
    <w:rPr>
      <w:rFonts w:ascii="Calibri" w:hAnsi="Calibri"/>
      <w:kern w:val="2"/>
      <w:sz w:val="28"/>
      <w:szCs w:val="24"/>
    </w:rPr>
  </w:style>
  <w:style w:type="paragraph" w:customStyle="1" w:styleId="69">
    <w:name w:val="表格居中"/>
    <w:autoRedefine/>
    <w:qFormat/>
    <w:uiPriority w:val="0"/>
    <w:pPr>
      <w:jc w:val="center"/>
    </w:pPr>
    <w:rPr>
      <w:rFonts w:ascii="Times New Roman" w:hAnsi="Times New Roman" w:eastAsia="宋体" w:cs="Times New Roman"/>
      <w:kern w:val="2"/>
      <w:sz w:val="24"/>
      <w:szCs w:val="24"/>
      <w:lang w:val="en-US" w:eastAsia="zh-CN" w:bidi="ar-SA"/>
    </w:rPr>
  </w:style>
  <w:style w:type="paragraph" w:customStyle="1" w:styleId="70">
    <w:name w:val="表格内容自定"/>
    <w:basedOn w:val="1"/>
    <w:autoRedefine/>
    <w:qFormat/>
    <w:uiPriority w:val="0"/>
    <w:pPr>
      <w:spacing w:line="280" w:lineRule="exact"/>
      <w:jc w:val="center"/>
    </w:pPr>
    <w:rPr>
      <w:rFonts w:ascii="Calibri" w:hAnsi="Calibri"/>
      <w:kern w:val="0"/>
      <w:sz w:val="18"/>
      <w:szCs w:val="21"/>
    </w:rPr>
  </w:style>
  <w:style w:type="character" w:customStyle="1" w:styleId="71">
    <w:name w:val="正文缩进 字符"/>
    <w:link w:val="4"/>
    <w:autoRedefine/>
    <w:qFormat/>
    <w:locked/>
    <w:uiPriority w:val="0"/>
  </w:style>
  <w:style w:type="character" w:customStyle="1" w:styleId="72">
    <w:name w:val="标题 2 字符"/>
    <w:link w:val="3"/>
    <w:autoRedefine/>
    <w:semiHidden/>
    <w:qFormat/>
    <w:uiPriority w:val="0"/>
    <w:rPr>
      <w:rFonts w:ascii="Cambria" w:hAnsi="Cambria" w:eastAsia="宋体" w:cs="Times New Roman"/>
      <w:b/>
      <w:bCs/>
      <w:kern w:val="2"/>
      <w:sz w:val="32"/>
      <w:szCs w:val="32"/>
    </w:rPr>
  </w:style>
  <w:style w:type="paragraph" w:customStyle="1" w:styleId="73">
    <w:name w:val="表格 首行"/>
    <w:link w:val="74"/>
    <w:autoRedefine/>
    <w:qFormat/>
    <w:uiPriority w:val="0"/>
    <w:pPr>
      <w:snapToGrid w:val="0"/>
      <w:jc w:val="center"/>
    </w:pPr>
    <w:rPr>
      <w:rFonts w:ascii="Times New Roman" w:hAnsi="Times New Roman" w:eastAsia="仿宋_GB2312" w:cs="Times New Roman"/>
      <w:b/>
      <w:kern w:val="2"/>
      <w:sz w:val="21"/>
      <w:szCs w:val="21"/>
      <w:lang w:val="en-US" w:eastAsia="zh-CN" w:bidi="ar-SA"/>
    </w:rPr>
  </w:style>
  <w:style w:type="character" w:customStyle="1" w:styleId="74">
    <w:name w:val="表格 首行 Char"/>
    <w:link w:val="73"/>
    <w:autoRedefine/>
    <w:qFormat/>
    <w:uiPriority w:val="0"/>
    <w:rPr>
      <w:rFonts w:eastAsia="仿宋_GB2312"/>
      <w:b/>
      <w:kern w:val="2"/>
      <w:sz w:val="21"/>
      <w:szCs w:val="21"/>
    </w:rPr>
  </w:style>
  <w:style w:type="paragraph" w:customStyle="1" w:styleId="75">
    <w:name w:val="表名"/>
    <w:basedOn w:val="1"/>
    <w:autoRedefine/>
    <w:qFormat/>
    <w:uiPriority w:val="0"/>
    <w:pPr>
      <w:jc w:val="center"/>
    </w:pPr>
    <w:rPr>
      <w:szCs w:val="21"/>
    </w:rPr>
  </w:style>
  <w:style w:type="paragraph" w:customStyle="1" w:styleId="76">
    <w:name w:val="默认段落字体 Para Char Char Char Char Char Char Char Char Char Char Char Char Char"/>
    <w:basedOn w:val="1"/>
    <w:autoRedefine/>
    <w:qFormat/>
    <w:uiPriority w:val="0"/>
  </w:style>
  <w:style w:type="character" w:customStyle="1" w:styleId="77">
    <w:name w:val="正文文本缩进 2 字符"/>
    <w:link w:val="11"/>
    <w:autoRedefine/>
    <w:qFormat/>
    <w:uiPriority w:val="0"/>
    <w:rPr>
      <w:kern w:val="2"/>
      <w:sz w:val="21"/>
      <w:szCs w:val="24"/>
    </w:rPr>
  </w:style>
  <w:style w:type="paragraph" w:customStyle="1" w:styleId="78">
    <w:name w:val="表格标题"/>
    <w:basedOn w:val="1"/>
    <w:autoRedefine/>
    <w:qFormat/>
    <w:uiPriority w:val="0"/>
    <w:pPr>
      <w:jc w:val="center"/>
    </w:pPr>
    <w:rPr>
      <w:b/>
      <w:sz w:val="24"/>
    </w:rPr>
  </w:style>
  <w:style w:type="character" w:customStyle="1" w:styleId="79">
    <w:name w:val="列表 字符"/>
    <w:link w:val="15"/>
    <w:autoRedefine/>
    <w:qFormat/>
    <w:uiPriority w:val="0"/>
    <w:rPr>
      <w:rFonts w:ascii="仿宋_GB2312" w:eastAsia="仿宋_GB2312"/>
      <w:kern w:val="2"/>
      <w:sz w:val="24"/>
    </w:rPr>
  </w:style>
  <w:style w:type="character" w:customStyle="1" w:styleId="80">
    <w:name w:val="纯文本 字符"/>
    <w:autoRedefine/>
    <w:qFormat/>
    <w:uiPriority w:val="0"/>
    <w:rPr>
      <w:rFonts w:ascii="宋体" w:hAnsi="Courier New"/>
      <w:kern w:val="2"/>
      <w:sz w:val="21"/>
      <w:szCs w:val="21"/>
    </w:rPr>
  </w:style>
  <w:style w:type="paragraph" w:customStyle="1" w:styleId="81">
    <w:name w:val="4"/>
    <w:basedOn w:val="1"/>
    <w:next w:val="82"/>
    <w:autoRedefine/>
    <w:qFormat/>
    <w:uiPriority w:val="34"/>
    <w:pPr>
      <w:widowControl/>
      <w:ind w:firstLine="420" w:firstLineChars="200"/>
      <w:jc w:val="left"/>
    </w:pPr>
    <w:rPr>
      <w:spacing w:val="-2"/>
      <w:kern w:val="0"/>
      <w:sz w:val="28"/>
      <w:szCs w:val="20"/>
    </w:rPr>
  </w:style>
  <w:style w:type="paragraph" w:styleId="82">
    <w:name w:val="List Paragraph"/>
    <w:basedOn w:val="1"/>
    <w:autoRedefine/>
    <w:qFormat/>
    <w:uiPriority w:val="34"/>
    <w:pPr>
      <w:ind w:firstLine="420" w:firstLineChars="200"/>
    </w:pPr>
  </w:style>
  <w:style w:type="character" w:customStyle="1" w:styleId="83">
    <w:name w:val="批注文字 字符2"/>
    <w:autoRedefine/>
    <w:qFormat/>
    <w:locked/>
    <w:uiPriority w:val="99"/>
    <w:rPr>
      <w:rFonts w:ascii="Times New Roman" w:hAnsi="Times New Roman" w:eastAsia="宋体"/>
      <w:sz w:val="24"/>
    </w:rPr>
  </w:style>
  <w:style w:type="character" w:customStyle="1" w:styleId="84">
    <w:name w:val="表头 Char"/>
    <w:autoRedefine/>
    <w:qFormat/>
    <w:locked/>
    <w:uiPriority w:val="0"/>
    <w:rPr>
      <w:rFonts w:eastAsia="黑体"/>
      <w:spacing w:val="-10"/>
      <w:w w:val="90"/>
      <w:sz w:val="28"/>
    </w:rPr>
  </w:style>
  <w:style w:type="paragraph" w:customStyle="1" w:styleId="85">
    <w:name w:val="1正文"/>
    <w:basedOn w:val="1"/>
    <w:autoRedefine/>
    <w:qFormat/>
    <w:uiPriority w:val="99"/>
    <w:pPr>
      <w:spacing w:line="360" w:lineRule="auto"/>
      <w:ind w:firstLine="480" w:firstLineChars="200"/>
      <w:jc w:val="left"/>
    </w:pPr>
    <w:rPr>
      <w:kern w:val="0"/>
      <w:sz w:val="24"/>
      <w:szCs w:val="20"/>
    </w:rPr>
  </w:style>
  <w:style w:type="paragraph" w:customStyle="1" w:styleId="86">
    <w:name w:val="1 正文"/>
    <w:basedOn w:val="1"/>
    <w:autoRedefine/>
    <w:qFormat/>
    <w:uiPriority w:val="0"/>
    <w:pPr>
      <w:adjustRightInd w:val="0"/>
      <w:snapToGrid w:val="0"/>
      <w:spacing w:line="360" w:lineRule="auto"/>
      <w:ind w:firstLine="200" w:firstLineChars="200"/>
    </w:pPr>
    <w:rPr>
      <w:rFonts w:ascii="Calibri" w:hAnsi="Calibri"/>
      <w:kern w:val="0"/>
      <w:sz w:val="24"/>
      <w:szCs w:val="20"/>
    </w:rPr>
  </w:style>
  <w:style w:type="character" w:customStyle="1" w:styleId="87">
    <w:name w:val="正文文本首行缩进 2 字符"/>
    <w:basedOn w:val="48"/>
    <w:link w:val="20"/>
    <w:autoRedefine/>
    <w:qFormat/>
    <w:uiPriority w:val="0"/>
    <w:rPr>
      <w:rFonts w:ascii="Times New Roman" w:hAnsi="Times New Roman" w:eastAsia="宋体"/>
      <w:kern w:val="2"/>
      <w:sz w:val="21"/>
      <w:szCs w:val="24"/>
    </w:rPr>
  </w:style>
  <w:style w:type="character" w:customStyle="1" w:styleId="88">
    <w:name w:val="Default Char"/>
    <w:link w:val="31"/>
    <w:autoRedefine/>
    <w:qFormat/>
    <w:uiPriority w:val="0"/>
    <w:rPr>
      <w:rFonts w:ascii="宋体" w:hAnsi="Calibri" w:cs="宋体"/>
      <w:color w:val="000000"/>
      <w:sz w:val="24"/>
      <w:szCs w:val="24"/>
    </w:rPr>
  </w:style>
  <w:style w:type="paragraph" w:customStyle="1" w:styleId="89">
    <w:name w:val="正文首行缩进1"/>
    <w:basedOn w:val="7"/>
    <w:next w:val="1"/>
    <w:autoRedefine/>
    <w:qFormat/>
    <w:uiPriority w:val="0"/>
    <w:pPr>
      <w:widowControl w:val="0"/>
      <w:autoSpaceDE w:val="0"/>
      <w:autoSpaceDN w:val="0"/>
      <w:snapToGrid/>
      <w:spacing w:before="0" w:after="0" w:line="240" w:lineRule="auto"/>
      <w:ind w:right="0" w:firstLine="420" w:firstLineChars="100"/>
      <w:jc w:val="left"/>
    </w:pPr>
    <w:rPr>
      <w:rFonts w:ascii="宋体" w:hAnsi="宋体" w:cs="宋体"/>
      <w:sz w:val="24"/>
      <w:szCs w:val="24"/>
    </w:rPr>
  </w:style>
  <w:style w:type="paragraph" w:customStyle="1" w:styleId="90">
    <w:name w:val="图 标题"/>
    <w:basedOn w:val="1"/>
    <w:autoRedefine/>
    <w:qFormat/>
    <w:uiPriority w:val="0"/>
    <w:pPr>
      <w:jc w:val="center"/>
    </w:pPr>
    <w:rPr>
      <w:rFonts w:hAnsi="宋体"/>
      <w:b/>
      <w:kern w:val="0"/>
      <w:sz w:val="24"/>
      <w:szCs w:val="20"/>
    </w:rPr>
  </w:style>
  <w:style w:type="character" w:customStyle="1" w:styleId="91">
    <w:name w:val="纯文本 Char"/>
    <w:autoRedefine/>
    <w:qFormat/>
    <w:uiPriority w:val="0"/>
    <w:rPr>
      <w:rFonts w:ascii="宋体" w:hAnsi="Courier New"/>
      <w:kern w:val="2"/>
      <w:sz w:val="21"/>
      <w:szCs w:val="21"/>
    </w:rPr>
  </w:style>
  <w:style w:type="character" w:customStyle="1" w:styleId="92">
    <w:name w:val="正文文本 Char"/>
    <w:autoRedefine/>
    <w:qFormat/>
    <w:locked/>
    <w:uiPriority w:val="0"/>
    <w:rPr>
      <w:sz w:val="18"/>
    </w:rPr>
  </w:style>
  <w:style w:type="paragraph" w:customStyle="1" w:styleId="93">
    <w:name w:val="111正文"/>
    <w:basedOn w:val="1"/>
    <w:autoRedefine/>
    <w:qFormat/>
    <w:uiPriority w:val="0"/>
    <w:pPr>
      <w:tabs>
        <w:tab w:val="left" w:pos="600"/>
      </w:tabs>
      <w:spacing w:line="360" w:lineRule="auto"/>
      <w:ind w:firstLine="200" w:firstLineChars="200"/>
    </w:pPr>
    <w:rPr>
      <w:sz w:val="24"/>
      <w:szCs w:val="22"/>
    </w:rPr>
  </w:style>
  <w:style w:type="paragraph" w:customStyle="1" w:styleId="94">
    <w:name w:val="11111111111"/>
    <w:basedOn w:val="1"/>
    <w:autoRedefine/>
    <w:qFormat/>
    <w:uiPriority w:val="0"/>
    <w:pPr>
      <w:spacing w:line="480" w:lineRule="exact"/>
      <w:jc w:val="center"/>
    </w:pPr>
    <w:rPr>
      <w:rFonts w:ascii="Calibri" w:hAnsi="Calibri"/>
      <w:b/>
      <w:szCs w:val="20"/>
    </w:rPr>
  </w:style>
  <w:style w:type="paragraph" w:customStyle="1" w:styleId="95">
    <w:name w:val="表格内文字"/>
    <w:basedOn w:val="1"/>
    <w:qFormat/>
    <w:uiPriority w:val="0"/>
    <w:rPr>
      <w:rFonts w:eastAsia="楷体_GB2312"/>
      <w:szCs w:val="22"/>
    </w:rPr>
  </w:style>
  <w:style w:type="paragraph" w:customStyle="1" w:styleId="96">
    <w:name w:val="表格内容--中祥"/>
    <w:basedOn w:val="1"/>
    <w:qFormat/>
    <w:uiPriority w:val="0"/>
    <w:pPr>
      <w:spacing w:line="240" w:lineRule="auto"/>
      <w:ind w:firstLine="0" w:firstLineChars="0"/>
      <w:jc w:val="center"/>
    </w:pPr>
    <w:rPr>
      <w:rFonts w:ascii="Times New Roman" w:hAnsi="Times New Roman" w:eastAsia="宋体" w:cs="Times New Roman"/>
      <w:kern w:val="0"/>
      <w:sz w:val="21"/>
      <w:szCs w:val="21"/>
    </w:rPr>
  </w:style>
  <w:style w:type="paragraph" w:customStyle="1" w:styleId="97">
    <w:name w:val="表格标题--中祥"/>
    <w:basedOn w:val="1"/>
    <w:qFormat/>
    <w:uiPriority w:val="0"/>
    <w:pPr>
      <w:spacing w:line="320" w:lineRule="exact"/>
      <w:ind w:firstLine="0" w:firstLineChars="0"/>
      <w:jc w:val="center"/>
    </w:pPr>
    <w:rPr>
      <w:rFonts w:ascii="Times New Roman" w:hAnsi="Times New Roman"/>
      <w:b/>
      <w:color w:val="000000"/>
      <w:lang w:val="zh-CN"/>
    </w:rPr>
  </w:style>
  <w:style w:type="paragraph" w:customStyle="1" w:styleId="98">
    <w:name w:val="表格文字"/>
    <w:basedOn w:val="1"/>
    <w:qFormat/>
    <w:uiPriority w:val="0"/>
    <w:pPr>
      <w:adjustRightInd w:val="0"/>
      <w:snapToGrid w:val="0"/>
      <w:jc w:val="center"/>
    </w:pPr>
    <w:rPr>
      <w:rFonts w:ascii="仿宋_GB2312" w:hAnsi="Arial Black" w:eastAsia="仿宋_GB2312"/>
      <w:kern w:val="44"/>
      <w:sz w:val="24"/>
      <w:szCs w:val="20"/>
    </w:rPr>
  </w:style>
  <w:style w:type="table" w:customStyle="1" w:styleId="9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wmf"/><Relationship Id="rId21" Type="http://schemas.openxmlformats.org/officeDocument/2006/relationships/oleObject" Target="embeddings/oleObject2.bin"/><Relationship Id="rId20" Type="http://schemas.openxmlformats.org/officeDocument/2006/relationships/image" Target="media/image12.w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jpe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102</Pages>
  <Words>23601</Words>
  <Characters>25604</Characters>
  <Lines>315</Lines>
  <Paragraphs>88</Paragraphs>
  <TotalTime>21</TotalTime>
  <ScaleCrop>false</ScaleCrop>
  <LinksUpToDate>false</LinksUpToDate>
  <CharactersWithSpaces>25756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2022-08-09T01:54:00Z</dcterms:created>
  <dc:creator>lhj</dc:creator>
  <cp:lastModifiedBy>王俊</cp:lastModifiedBy>
  <cp:lastPrinted>2024-06-11T02:34:00Z</cp:lastPrinted>
  <dcterms:modified xsi:type="dcterms:W3CDTF">2025-03-17T09:09:20Z</dcterms:modified>
  <dc:title>附件2</dc:title>
  <cp:revision>582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4CF5062F320143819ADDB6C01E0DFB53_13</vt:lpwstr>
  </property>
  <property fmtid="{D5CDD505-2E9C-101B-9397-08002B2CF9AE}" pid="4" name="KSOTemplateDocerSaveRecord">
    <vt:lpwstr>eyJoZGlkIjoiZmIzYjM4Nzc0OTE2ZDA3YjRiN2Y1Y2U0ZjcwYWY5NjciLCJ1c2VySWQiOiIyMTA3NzYzNTMifQ==</vt:lpwstr>
  </property>
</Properties>
</file>